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 003 Guia Do Agente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Man 003 Guia Do Agente</w:t>
      </w:r>
    </w:p>
    <w:p>
      <w:pPr>
        <w:pStyle w:val="Heading2"/>
      </w:pPr>
      <w:r>
        <w:t>Objetivo</w:t>
        <w:br/>
        <w:t>Instruções operacionais para o agente.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