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Mnt 005 Continuidade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Mnt 005 Continuidade</w:t>
      </w:r>
    </w:p>
    <w:p>
      <w:pPr>
        <w:pStyle w:val="Heading2"/>
      </w:pPr>
      <w:r>
        <w:t>Objetivo</w:t>
        <w:br/>
        <w:t>Como outro profissional poderá assumir o projeto.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