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Perfis de Acesso e Visões — V6</w:t>
      </w:r>
    </w:p>
    <w:p>
      <w:pPr>
        <w:pStyle w:val="Heading1"/>
      </w:pPr>
      <w:r>
        <w:t>Administrador/Operador</w:t>
      </w:r>
    </w:p>
    <w:p>
      <w:r>
        <w:t>Uma única função responsável por administrar e operar os módulos autorizados, incluindo cadastros, lançamentos, correções, acompanhamento, configurações e auditoria.</w:t>
      </w:r>
    </w:p>
    <w:p>
      <w:pPr>
        <w:pStyle w:val="Heading1"/>
      </w:pPr>
      <w:r>
        <w:t>Cliente</w:t>
      </w:r>
    </w:p>
    <w:p>
      <w:r>
        <w:t>Perfil predominantemente consultivo, com acesso à visão gerencial e somente às informações autorizadas. Não edita base operacional, fórmulas, configurações ou áreas técnicas.</w:t>
      </w:r>
    </w:p>
    <w:p>
      <w:pPr>
        <w:pStyle w:val="Heading1"/>
      </w:pPr>
      <w:r>
        <w:t>Segurança</w:t>
      </w:r>
    </w:p>
    <w:p>
      <w:r>
        <w:t>Abas ocultas não são segurança suficiente. A solução combina interface por perfil, permissões, proteção de células/planilhas/arquivo e permissões do ambiente de armazenamento.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