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Reg 006 Financeiro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Reg 006 Financeiro</w:t>
      </w:r>
    </w:p>
    <w:p>
      <w:pPr>
        <w:pStyle w:val="Heading2"/>
      </w:pPr>
      <w:r>
        <w:t>Objetivo</w:t>
        <w:br/>
        <w:t>Regras financeiras.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