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Sec 001 Protecao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Sec 001 Protecao</w:t>
      </w:r>
    </w:p>
    <w:p>
      <w:pPr>
        <w:pStyle w:val="Heading2"/>
      </w:pPr>
      <w:r>
        <w:t>Objetivo</w:t>
        <w:br/>
        <w:t>Proteção de fórmulas e estruturas.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