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Sec 002 Campos Editaveis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Sec 002 Campos Editaveis</w:t>
      </w:r>
    </w:p>
    <w:p>
      <w:pPr>
        <w:pStyle w:val="Heading2"/>
      </w:pPr>
      <w:r>
        <w:t>Objetivo</w:t>
        <w:br/>
        <w:t>Definição de áreas de entrada.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