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Versões e Histórico — V6.3</w:t>
      </w:r>
    </w:p>
    <w:p>
      <w:pPr>
        <w:pStyle w:val="Heading1"/>
      </w:pPr>
      <w:r>
        <w:t>Regra</w:t>
      </w:r>
    </w:p>
    <w:p>
      <w:r>
        <w:t>A documentação corrente fica separada do histórico.</w:t>
      </w:r>
    </w:p>
    <w:p>
      <w:pPr>
        <w:pStyle w:val="Heading1"/>
      </w:pPr>
      <w:r>
        <w:t>Histórico</w:t>
      </w:r>
    </w:p>
    <w:p>
      <w:r>
        <w:t>Materiais anteriores foram preservados em `ARQUIVO_HISTORICO/MATERIAL_V1_V6`.</w:t>
      </w:r>
    </w:p>
    <w:p>
      <w:pPr>
        <w:pStyle w:val="Heading1"/>
      </w:pPr>
      <w:r>
        <w:t>V6.3</w:t>
      </w:r>
    </w:p>
    <w:p>
      <w:r>
        <w:t>Versão corrente limpa criada para eliminar a mistura de documentos históricos e correntes.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