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Inteligência e Análise — V6.3</w:t>
      </w:r>
    </w:p>
    <w:p>
      <w:pPr>
        <w:pStyle w:val="Heading1"/>
      </w:pPr>
      <w:r>
        <w:t>Papel</w:t>
      </w:r>
    </w:p>
    <w:p>
      <w:r>
        <w:t>Analisar tendências, anomalias, desvios, atrasos, concentração de despesas, fornecedores e outras informações relevantes.</w:t>
      </w:r>
    </w:p>
    <w:p>
      <w:pPr>
        <w:pStyle w:val="Heading1"/>
      </w:pPr>
      <w:r>
        <w:t>Limite</w:t>
      </w:r>
    </w:p>
    <w:p>
      <w:r>
        <w:t>Insights apoiam decisões e não substituem o julgamento do gestor.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