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e Execução — V6.3</w:t>
      </w:r>
    </w:p>
    <w:p>
      <w:pPr>
        <w:pStyle w:val="Heading1"/>
      </w:pPr>
      <w:r>
        <w:t>Prazo</w:t>
      </w:r>
    </w:p>
    <w:p>
      <w:r>
        <w:t>21 dias planejados de execução dentro de prazo total de 30 dias, mantendo 9 dias de margem.</w:t>
      </w:r>
    </w:p>
    <w:p>
      <w:pPr>
        <w:pStyle w:val="Heading1"/>
      </w:pPr>
      <w:r>
        <w:t>Ordem</w:t>
      </w:r>
    </w:p>
    <w:p>
      <w:r>
        <w:t>Fundação documental → ambiente → dados → Excel → integração → painéis → inteligência/auditoria → testes → homologação →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