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Quarterly report</w:t>
      </w:r>
    </w:p>
    <w:p>
      <w:r>
        <w:t xml:space="preserve">Accented words: café, relatório, ação. CJK: 報告.</w:t>
      </w:r>
    </w:p>
    <w:p>
      <w:pPr>
        <w:pStyle w:val="Heading2"/>
      </w:pPr>
      <w:r>
        <w:t xml:space="preserve">Highlights</w:t>
      </w:r>
    </w:p>
    <w:p>
      <w:pPr>
        <w:pStyle w:val="ListParagraph"/>
        <w:numPr>
          <w:ilvl w:val="0"/>
          <w:numId w:val="1"/>
        </w:numPr>
      </w:pPr>
      <w:r>
        <w:t xml:space="preserve">First point</w:t>
      </w:r>
    </w:p>
    <w:p>
      <w:pPr>
        <w:pStyle w:val="ListParagraph"/>
        <w:numPr>
          <w:ilvl w:val="0"/>
          <w:numId w:val="1"/>
        </w:numPr>
      </w:pPr>
      <w:r>
        <w:t xml:space="preserve">Second point</w:t>
      </w:r>
    </w:p>
    <w:p>
      <w:pPr>
        <w:pStyle w:val="ListParagraph"/>
        <w:numPr>
          <w:ilvl w:val="0"/>
          <w:numId w:val="1"/>
        </w:numPr>
      </w:pPr>
      <w:r>
        <w:t xml:space="preserve">Third point</w:t>
      </w:r>
    </w:p>
    <w:p>
      <w:pPr>
        <w:pStyle w:val="Heading2"/>
      </w:pPr>
      <w:r>
        <w:t xml:space="preserve">Numbers</w:t>
      </w:r>
    </w:p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Region</w:t>
            </w:r>
          </w:p>
        </w:tc>
        <w:tc>
          <w:tcPr>
            <w:tcW w:w="3000" w:type="dxa"/>
          </w:tcPr>
          <w:p>
            <w:r>
              <w:t xml:space="preserve">Q1</w:t>
            </w:r>
          </w:p>
        </w:tc>
        <w:tc>
          <w:tcPr>
            <w:tcW w:w="3000" w:type="dxa"/>
          </w:tcPr>
          <w:p>
            <w:r>
              <w:t xml:space="preserve">Q2</w:t>
            </w:r>
          </w:p>
        </w:tc>
      </w:tr>
      <w:tr>
        <w:tc>
          <w:tcPr>
            <w:tcW w:w="3000" w:type="dxa"/>
          </w:tcPr>
          <w:p>
            <w:r>
              <w:t xml:space="preserve">North</w:t>
            </w:r>
          </w:p>
        </w:tc>
        <w:tc>
          <w:tcPr>
            <w:tcW w:w="3000" w:type="dxa"/>
          </w:tcPr>
          <w:p>
            <w:r>
              <w:t xml:space="preserve">120</w:t>
            </w:r>
          </w:p>
        </w:tc>
        <w:tc>
          <w:tcPr>
            <w:tcW w:w="3000" w:type="dxa"/>
          </w:tcPr>
          <w:p>
            <w:r>
              <w:t xml:space="preserve">135</w:t>
            </w:r>
          </w:p>
        </w:tc>
      </w:tr>
      <w:tr>
        <w:tc>
          <w:tcPr>
            <w:tcW w:w="3000" w:type="dxa"/>
          </w:tcPr>
          <w:p>
            <w:r>
              <w:t xml:space="preserve">South</w:t>
            </w:r>
          </w:p>
        </w:tc>
        <w:tc>
          <w:tcPr>
            <w:tcW w:w="3000" w:type="dxa"/>
          </w:tcPr>
          <w:p>
            <w:r>
              <w:t xml:space="preserve">98</w:t>
            </w:r>
          </w:p>
        </w:tc>
        <w:tc>
          <w:tcPr>
            <w:tcW w:w="3000" w:type="dxa"/>
          </w:tcPr>
          <w:p>
            <w:r>
              <w:t xml:space="preserve">110</w:t>
            </w:r>
          </w:p>
        </w:tc>
      </w:tr>
    </w:tbl>
    <w:p>
      <w:pPr>
        <w:pStyle w:val="Heading2"/>
      </w:pPr>
      <w:r>
        <w:t xml:space="preserve">Picture</w:t>
      </w:r>
    </w:p>
    <w:p>
      <w:r>
        <w:drawing>
          <wp:inline distT="0" distB="0" distL="0" distR="0">
            <wp:extent cx="914400" cy="609600"/>
            <wp:docPr id="1" name="Picture 1" descr="Sample picture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MS Mincho" w:cs="Calibri"/>
        <w:sz w:val="22"/>
        <w:lang w:val="en-US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