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IELTS Academic – Simulated Test</w:t>
      </w:r>
    </w:p>
    <w:p>
      <w:pPr>
        <w:pStyle w:val="BodyText"/>
        <w:bidi w:val="0"/>
        <w:spacing w:lineRule="auto" w:line="276" w:before="0" w:after="140"/>
        <w:jc w:val="start"/>
        <w:rPr/>
      </w:pPr>
      <w:r>
        <w:rPr>
          <w:rStyle w:val="Strong"/>
        </w:rPr>
        <w:t>Total Test Time:</w:t>
      </w:r>
      <w:r>
        <w:rPr/>
        <w:t xml:space="preserve"> 2 hours 45 minutes (plus Speaking)</w:t>
      </w:r>
    </w:p>
    <w:p>
      <w:pPr>
        <w:pStyle w:val="BodyText"/>
        <w:numPr>
          <w:ilvl w:val="0"/>
          <w:numId w:val="2"/>
        </w:numPr>
        <w:tabs>
          <w:tab w:val="left" w:pos="709" w:leader="none"/>
        </w:tabs>
        <w:bidi w:val="0"/>
        <w:ind w:hanging="283" w:start="709"/>
        <w:jc w:val="start"/>
        <w:rPr/>
      </w:pPr>
      <w:r>
        <w:rPr/>
        <w:t>Listening: 40 minutes (including 10 minutes to transfer answers)</w:t>
      </w:r>
    </w:p>
    <w:p>
      <w:pPr>
        <w:pStyle w:val="BodyText"/>
        <w:numPr>
          <w:ilvl w:val="0"/>
          <w:numId w:val="2"/>
        </w:numPr>
        <w:tabs>
          <w:tab w:val="left" w:pos="709" w:leader="none"/>
        </w:tabs>
        <w:bidi w:val="0"/>
        <w:ind w:hanging="283" w:start="709"/>
        <w:jc w:val="start"/>
        <w:rPr/>
      </w:pPr>
      <w:r>
        <w:rPr/>
        <w:t>Reading: 60 minutes</w:t>
      </w:r>
    </w:p>
    <w:p>
      <w:pPr>
        <w:pStyle w:val="BodyText"/>
        <w:numPr>
          <w:ilvl w:val="0"/>
          <w:numId w:val="2"/>
        </w:numPr>
        <w:tabs>
          <w:tab w:val="left" w:pos="709" w:leader="none"/>
        </w:tabs>
        <w:bidi w:val="0"/>
        <w:ind w:hanging="283" w:start="709"/>
        <w:jc w:val="start"/>
        <w:rPr/>
      </w:pPr>
      <w:r>
        <w:rPr/>
        <w:t>Writing: 60 minutes</w:t>
      </w:r>
    </w:p>
    <w:p>
      <w:pPr>
        <w:pStyle w:val="BodyText"/>
        <w:numPr>
          <w:ilvl w:val="0"/>
          <w:numId w:val="2"/>
        </w:numPr>
        <w:tabs>
          <w:tab w:val="left" w:pos="709" w:leader="none"/>
        </w:tabs>
        <w:bidi w:val="0"/>
        <w:ind w:hanging="283" w:start="709"/>
        <w:jc w:val="start"/>
        <w:rPr/>
      </w:pPr>
      <w:r>
        <w:rPr/>
        <w:t>Speaking: 11–14 minutes (separate)</w:t>
      </w:r>
    </w:p>
    <w:p>
      <w:pPr>
        <w:pStyle w:val="HorizontalLine"/>
        <w:bidi w:val="0"/>
        <w:jc w:val="start"/>
        <w:rPr/>
      </w:pPr>
      <w:r>
        <w:rPr/>
      </w:r>
    </w:p>
    <w:p>
      <w:pPr>
        <w:pStyle w:val="Heading2"/>
        <w:bidi w:val="0"/>
        <w:ind w:hanging="0" w:start="0" w:end="0"/>
        <w:jc w:val="start"/>
        <w:rPr/>
      </w:pPr>
      <w:bookmarkStart w:id="0" w:name="answer-keys-for-examiners"/>
      <w:bookmarkEnd w:id="0"/>
      <w:r>
        <w:rPr/>
        <w:t>ANSWER KEYS (FOR EXAMINERS)</w:t>
      </w:r>
    </w:p>
    <w:p>
      <w:pPr>
        <w:pStyle w:val="Heading2"/>
        <w:bidi w:val="0"/>
        <w:jc w:val="start"/>
        <w:rPr/>
      </w:pPr>
      <w:r>
        <w:rPr/>
        <w:t>Listening Answer Key</w:t>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1</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Male: Hello, is this Mrs. Carter?</w:t>
        <w:br/>
        <w:t>Female: Yes, speaking.</w:t>
        <w:br/>
        <w:t>Male: Hi, my name’s Daniel Smith. I’m calling about the one-bedroom flat you have available on Willow Street. Is it still on the market?</w:t>
        <w:br/>
        <w:t>Female: Yes, it is. Are you looking to move in soon?</w:t>
        <w:br/>
        <w:t>Male: As soon as possible, actually. I finish my contract on the 15th of next month. I wanted to ask a few questions — if that’s alright.</w:t>
        <w:br/>
        <w:t>Female: Of course. What would you like to know?</w:t>
        <w:br/>
        <w:t>Male: First, could you tell me the monthly rent and whether utilities are included?</w:t>
        <w:br/>
        <w:t>Female: The rent is £850 per month. Gas and water are included, but electricity and council tax are not.</w:t>
        <w:br/>
        <w:t>Male: Okay. And is there any deposit required, and how long is the lease?</w:t>
        <w:br/>
        <w:t>Female: We ask for a one-month deposit, and the lease is for a minimum of six months. There’s an option to extend.</w:t>
        <w:br/>
        <w:t>Male: Great. Is the flat furnished?</w:t>
        <w:br/>
        <w:t>Female: It comes partly furnished — a sofa, a table, and the kitchen appliances. You’ll need to bring a bed and any other furniture.</w:t>
        <w:br/>
        <w:t>Male: That’s fine. Is there parking available?</w:t>
        <w:br/>
        <w:t>Female: There’s on-street parking with a resident permit. There’s usually space nearby, but it’s not guaranteed.</w:t>
        <w:br/>
        <w:t>Male: Right. And how about public transport — are there buses nearby?</w:t>
        <w:br/>
        <w:t>Female: Yes, there’s a bus stop two minutes’ walk away with frequent buses to the city centre.</w:t>
        <w:br/>
        <w:t>Male: Perfect. Would it be possible to view the flat this Saturday afternoon?</w:t>
        <w:br/>
        <w:t>Female: Saturday at 2 pm is available. Would that work for you?</w:t>
        <w:br/>
        <w:t>Male: Yes, Saturday 2 pm works. May I have the address?</w:t>
        <w:br/>
        <w:t>Female: Of course. It’s 14 Willow Street, flat 2B.</w:t>
        <w:br/>
        <w:t>Male: Thanks very much. I’ll see you on Saturday.</w:t>
        <w:br/>
        <w:t>Female: See you then. Goodbye.</w:t>
        <w:br/>
        <w:t>Male: Goodbye.</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Part 1 (1–10)</w:t>
      </w:r>
    </w:p>
    <w:p>
      <w:pPr>
        <w:pStyle w:val="BodyText"/>
        <w:numPr>
          <w:ilvl w:val="0"/>
          <w:numId w:val="3"/>
        </w:numPr>
        <w:tabs>
          <w:tab w:val="left" w:pos="709" w:leader="none"/>
        </w:tabs>
        <w:bidi w:val="0"/>
        <w:ind w:hanging="283" w:start="709"/>
        <w:jc w:val="start"/>
        <w:rPr/>
      </w:pPr>
      <w:r>
        <w:rPr/>
        <w:t>Daniel Smith</w:t>
      </w:r>
    </w:p>
    <w:p>
      <w:pPr>
        <w:pStyle w:val="BodyText"/>
        <w:numPr>
          <w:ilvl w:val="0"/>
          <w:numId w:val="3"/>
        </w:numPr>
        <w:tabs>
          <w:tab w:val="left" w:pos="709" w:leader="none"/>
        </w:tabs>
        <w:bidi w:val="0"/>
        <w:ind w:hanging="283" w:start="709"/>
        <w:jc w:val="start"/>
        <w:rPr/>
      </w:pPr>
      <w:r>
        <w:rPr/>
        <w:t>850 (per month)</w:t>
      </w:r>
    </w:p>
    <w:p>
      <w:pPr>
        <w:pStyle w:val="BodyText"/>
        <w:numPr>
          <w:ilvl w:val="0"/>
          <w:numId w:val="3"/>
        </w:numPr>
        <w:tabs>
          <w:tab w:val="left" w:pos="709" w:leader="none"/>
        </w:tabs>
        <w:bidi w:val="0"/>
        <w:ind w:hanging="283" w:start="709"/>
        <w:jc w:val="start"/>
        <w:rPr/>
      </w:pPr>
      <w:r>
        <w:rPr/>
        <w:t>Gas and water</w:t>
      </w:r>
    </w:p>
    <w:p>
      <w:pPr>
        <w:pStyle w:val="BodyText"/>
        <w:numPr>
          <w:ilvl w:val="0"/>
          <w:numId w:val="3"/>
        </w:numPr>
        <w:tabs>
          <w:tab w:val="left" w:pos="709" w:leader="none"/>
        </w:tabs>
        <w:bidi w:val="0"/>
        <w:ind w:hanging="283" w:start="709"/>
        <w:jc w:val="start"/>
        <w:rPr/>
      </w:pPr>
      <w:r>
        <w:rPr/>
        <w:t>One month’s rent / one-month deposit</w:t>
      </w:r>
    </w:p>
    <w:p>
      <w:pPr>
        <w:pStyle w:val="BodyText"/>
        <w:numPr>
          <w:ilvl w:val="0"/>
          <w:numId w:val="3"/>
        </w:numPr>
        <w:tabs>
          <w:tab w:val="left" w:pos="709" w:leader="none"/>
        </w:tabs>
        <w:bidi w:val="0"/>
        <w:ind w:hanging="283" w:start="709"/>
        <w:jc w:val="start"/>
        <w:rPr/>
      </w:pPr>
      <w:r>
        <w:rPr/>
        <w:t>Six months</w:t>
      </w:r>
    </w:p>
    <w:p>
      <w:pPr>
        <w:pStyle w:val="BodyText"/>
        <w:numPr>
          <w:ilvl w:val="0"/>
          <w:numId w:val="3"/>
        </w:numPr>
        <w:tabs>
          <w:tab w:val="left" w:pos="709" w:leader="none"/>
        </w:tabs>
        <w:bidi w:val="0"/>
        <w:ind w:hanging="283" w:start="709"/>
        <w:jc w:val="start"/>
        <w:rPr/>
      </w:pPr>
      <w:r>
        <w:rPr/>
        <w:t>No / partly furnished</w:t>
      </w:r>
    </w:p>
    <w:p>
      <w:pPr>
        <w:pStyle w:val="BodyText"/>
        <w:numPr>
          <w:ilvl w:val="0"/>
          <w:numId w:val="3"/>
        </w:numPr>
        <w:tabs>
          <w:tab w:val="left" w:pos="709" w:leader="none"/>
        </w:tabs>
        <w:bidi w:val="0"/>
        <w:ind w:hanging="283" w:start="709"/>
        <w:jc w:val="start"/>
        <w:rPr/>
      </w:pPr>
      <w:r>
        <w:rPr/>
        <w:t>A bed (and other furniture)</w:t>
      </w:r>
    </w:p>
    <w:p>
      <w:pPr>
        <w:pStyle w:val="BodyText"/>
        <w:numPr>
          <w:ilvl w:val="0"/>
          <w:numId w:val="3"/>
        </w:numPr>
        <w:tabs>
          <w:tab w:val="left" w:pos="709" w:leader="none"/>
        </w:tabs>
        <w:bidi w:val="0"/>
        <w:ind w:hanging="283" w:start="709"/>
        <w:jc w:val="start"/>
        <w:rPr/>
      </w:pPr>
      <w:r>
        <w:rPr/>
        <w:t>No</w:t>
      </w:r>
    </w:p>
    <w:p>
      <w:pPr>
        <w:pStyle w:val="BodyText"/>
        <w:numPr>
          <w:ilvl w:val="0"/>
          <w:numId w:val="3"/>
        </w:numPr>
        <w:tabs>
          <w:tab w:val="left" w:pos="709" w:leader="none"/>
        </w:tabs>
        <w:bidi w:val="0"/>
        <w:ind w:hanging="283" w:start="709"/>
        <w:jc w:val="start"/>
        <w:rPr/>
      </w:pPr>
      <w:r>
        <w:rPr/>
        <w:t>Two minutes’ walk</w:t>
      </w:r>
    </w:p>
    <w:p>
      <w:pPr>
        <w:pStyle w:val="BodyText"/>
        <w:numPr>
          <w:ilvl w:val="0"/>
          <w:numId w:val="3"/>
        </w:numPr>
        <w:tabs>
          <w:tab w:val="left" w:pos="709" w:leader="none"/>
        </w:tabs>
        <w:bidi w:val="0"/>
        <w:ind w:hanging="283" w:start="709"/>
        <w:jc w:val="start"/>
        <w:rPr/>
      </w:pPr>
      <w:r>
        <w:rPr/>
        <w:t>2 pm (Saturday)</w:t>
      </w:r>
    </w:p>
    <w:p>
      <w:pPr>
        <w:pStyle w:val="BodyText"/>
        <w:bidi w:val="0"/>
        <w:jc w:val="start"/>
        <w:rPr/>
      </w:pPr>
      <w:r>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2 (approx. 4:00)</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Speaker: Welcome to the University Library orientation for new postgraduate students. I’m Maria Gomez, the postgraduate liaison librarian. Today I’ll give you a brief overview of the services most relevant to postgraduate study. First, our opening hours are from 8 am to midnight Monday to Friday, and 9 am to 8 pm on weekends. You can access the library building with your student ID card — don’t forget to register your card at the front desk if you haven’t already. We have a range of study spaces: silent study on the fourth floor, group study rooms on the second floor which can be booked online, and a writing centre on the ground floor that offers appointments for thesis structure and referencing help. For borrowing, postgraduate students can borrow up to 20 items at a time for a loan period of eight weeks, renewable twice unless on reserve. Interlibrary loan services can obtain materials from other institutions; these usually take 7–14 working days. Online resources are extensive: our electronic journals and databases can be accessed remotely by logging in with your university credentials. If you need help with literature searches, our subject librarians provide one-to-one consultations — you can email the subject helpdesk to book a session. Finally, please take note of the printing policy: each student receives a printing allowance of £10 per semester; additional prints are charged at 10p per page. Thank you, and good luck with your studies.</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Part 2 (11–20)</w:t>
      </w:r>
      <w:r>
        <w:rPr/>
        <w:br/>
        <w:t>11. B (8 am–midnight)</w:t>
        <w:br/>
        <w:t>12. 20</w:t>
        <w:br/>
        <w:t>13. Eight weeks</w:t>
        <w:br/>
        <w:t>14. On the fourth floor</w:t>
        <w:br/>
        <w:t>15. 7–14 working days</w:t>
        <w:br/>
        <w:t>16. By logging in with university credentials / online login</w:t>
        <w:br/>
        <w:t>17. The writing centre</w:t>
        <w:br/>
        <w:t>18. 10 (pounds)</w:t>
        <w:br/>
        <w:t>19. 10p per page</w:t>
        <w:br/>
        <w:t>20. Emailing the subject helpdesk / booking a session</w:t>
      </w:r>
    </w:p>
    <w:p>
      <w:pPr>
        <w:pStyle w:val="BodyText"/>
        <w:bidi w:val="0"/>
        <w:jc w:val="start"/>
        <w:rPr/>
      </w:pPr>
      <w:r>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3 (approx. 7:00)</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Moderator (Anna): Thanks for coming, everyone. Let’s discuss our group research project for the Environmental Policy module. We need to choose a research question and divide tasks. Ben, do you want to start with your ideas?</w:t>
        <w:br/>
        <w:t>Ben: Sure. I was thinking about urban green spaces and their impact on local air quality. There’s a lot of data on tree cover and particulate matter, and it would allow us to use both field measurements and GIS analysis.</w:t>
        <w:br/>
        <w:t>Cara: That sounds promising. I was considering something related to transport emissions, like the effect of congestion charging on traffic emissions in nearby boroughs. It could involve policy analysis and modelling emission changes.</w:t>
        <w:br/>
        <w:t>Ben: Both ideas are good. Maybe we could combine elements: look at green spaces’ role in mitigating pollution in areas affected by transport emissions.</w:t>
        <w:br/>
        <w:t>Anna: Combining them might be complex. We should think about scope and available data. How about framing it as: “To what extent do urban green spaces mitigate traffic-related air pollution in [city district]?” That narrows it down.</w:t>
        <w:br/>
        <w:t>Cara: Agreed. For methodology, we could do a literature review, collect air quality data from local monitoring stations, and run a spatial analysis comparing green cover with pollution levels. Also, conduct a short survey of residents about perceived air quality.</w:t>
        <w:br/>
        <w:t>Ben: I can handle the GIS mapping and data visualization. Cara, would you be comfortable doing the policy context and literature review?</w:t>
        <w:br/>
        <w:t>Cara: Yes, I can do that. Anna, could you coordinate the survey and help with data collection logistics?</w:t>
        <w:br/>
        <w:t>Anna: I can. For timeline, we need to submit a proposal in three weeks, and the final report is due in 12 weeks. We should set internal deadlines: literature review completed in two weeks, data collection by week six, analysis by week nine, and draft by week eleven.</w:t>
        <w:br/>
        <w:t>Ben: Sounds tight, but doable if we divide tasks. We should also identify datasets now — I know the city council provides open air quality data and land use maps. We might also use satellite NDVI data for vegetation cover.</w:t>
        <w:br/>
        <w:t>Cara: Good point. We also need ethical approval for the survey if it involves human subjects. That process can take up to two weeks.</w:t>
        <w:br/>
        <w:t>Anna: Let’s assign responsibilities: Ben—data &amp; GIS; Cara—literature &amp; policy; Anna—survey &amp; ethics submission; All—analysis and editing. Any other issues?</w:t>
        <w:br/>
        <w:t>Ben: We should consider sampling sites and times for field measurements — weekdays rush hour vs. weekends, and monitor at multiple heights if possible.</w:t>
        <w:br/>
        <w:t>Cara: Also budget — we may need sensors or travel costs. We can ask for small funding from the department.</w:t>
        <w:br/>
        <w:t>Anna: OK. Let’s meet again in five days to confirm datasets and finalize the proposal outline.</w:t>
        <w:br/>
        <w:t>Ben &amp; Cara: Agreed.</w:t>
        <w:br/>
        <w:t>Anna: Thanks, everyone.</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Part 3 (21–30)</w:t>
      </w:r>
      <w:r>
        <w:rPr/>
        <w:br/>
        <w:t>21. Urban green spaces and their impact on local air quality</w:t>
        <w:br/>
        <w:t>22. Effect of congestion charging on traffic emissions</w:t>
        <w:br/>
        <w:t>23. “To what extent do urban green spaces mitigate traffic-related air pollution in a city district?” (or close equivalent)</w:t>
        <w:br/>
        <w:t>24. City council air quality data / land use maps / satellite NDVI data (any one)</w:t>
        <w:br/>
        <w:t>25. Ben</w:t>
        <w:br/>
        <w:t>26. Cara</w:t>
        <w:br/>
        <w:t>27. Coordinating the survey / data collection logistics / ethics submission</w:t>
        <w:br/>
        <w:t>28. Three weeks</w:t>
        <w:br/>
        <w:t>29. Ethical approval</w:t>
        <w:br/>
        <w:t>30. In five days</w:t>
      </w:r>
    </w:p>
    <w:p>
      <w:pPr>
        <w:pStyle w:val="BodyText"/>
        <w:bidi w:val="0"/>
        <w:jc w:val="start"/>
        <w:rPr/>
      </w:pPr>
      <w:r>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4 (approx. 10:30)</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Lecturer: Today I want to talk about neuroplasticity — the brain’s ability to reorganize itself by forming new neural connections throughout life — and its implications for adult learning. Historically, the brain was thought to be relatively fixed after early childhood, but research over the past few decades has shown that structural and functional changes occur in response to experience, even in older adults. Neuroplasticity can be divided into two types: synaptic plasticity, which involves the strengthening or weakening of synapses based on activity, and structural plasticity, which includes the growth of new dendritic spines and even neurogenesis in certain brain regions. Several factors influence plasticity. First, repetition and practice strengthen neural pathways — the classic “use it or lose it” principle. Second, novelty and challenge promote synaptic growth; learning tasks that are progressively more complex induce greater reorganization. Third, emotional salience and reward mechanisms, mediated by neurotransmitters like dopamine, enhance consolidation of new skills. Age is a factor but not a limiting one; while younger brains may change more rapidly, adults still show significant plasticity, especially when training is targeted and sustained. Practical implications for adult education include designing spaced and varied practice sessions, incorporating problem-based learning to maintain novelty and challenge, and using feedback and rewards to consolidate learning. Additionally, physical exercise and adequate sleep have been shown to support neuroplastic processes by improving vascularization and supporting memory consolidation during sleep. Finally, recent interventions using non-invasive brain stimulation show promise in enhancing plasticity in combination with cognitive training, although ethical and long-term effects are still under investigation. To conclude, embracing evidence-based practices that align with known mechanisms of plasticity can improve the effectiveness of adult learning programs.</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Part 4 (31–40)</w:t>
      </w:r>
      <w:r>
        <w:rPr/>
        <w:br/>
        <w:t>31. Synaptic plasticity and structural plasticity</w:t>
        <w:br/>
        <w:t>32. The “use it or lose it” principle</w:t>
        <w:br/>
        <w:t>33. Novelty; challenge; emotional salience; reward mechanisms (any one)</w:t>
        <w:br/>
        <w:t>34. Dopamine</w:t>
        <w:br/>
        <w:t>35. Yes</w:t>
        <w:br/>
        <w:t>36. Designing spaced and varied practice; problem-based learning; using feedback and rewards (any one)</w:t>
        <w:br/>
        <w:t>37. Physical exercise; adequate sleep (either or both)</w:t>
        <w:br/>
        <w:t>38. Non-invasive brain stimulation</w:t>
        <w:br/>
        <w:t>39. Ethical and long-term effects are still under investigation</w:t>
        <w:br/>
        <w:t>40. Use evidence-based practices that align with known mechanisms of plasticity</w:t>
      </w:r>
    </w:p>
    <w:p>
      <w:pPr>
        <w:pStyle w:val="HorizontalLine"/>
        <w:bidi w:val="0"/>
        <w:jc w:val="start"/>
        <w:rPr/>
      </w:pPr>
      <w:r>
        <w:rPr/>
      </w:r>
    </w:p>
    <w:p>
      <w:pPr>
        <w:pStyle w:val="Heading2"/>
        <w:bidi w:val="0"/>
        <w:jc w:val="start"/>
        <w:rPr/>
      </w:pPr>
      <w:r>
        <w:rPr/>
        <w:t>Reading Answer Key</w:t>
      </w:r>
    </w:p>
    <w:p>
      <w:pPr>
        <w:pStyle w:val="BodyText"/>
        <w:bidi w:val="0"/>
        <w:jc w:val="start"/>
        <w:rPr/>
      </w:pPr>
      <w:r>
        <w:rPr>
          <w:rStyle w:val="Strong"/>
        </w:rPr>
        <w:t>Passage 1 (1–13)</w:t>
      </w:r>
    </w:p>
    <w:p>
      <w:pPr>
        <w:pStyle w:val="BodyText"/>
        <w:numPr>
          <w:ilvl w:val="0"/>
          <w:numId w:val="4"/>
        </w:numPr>
        <w:bidi w:val="0"/>
        <w:jc w:val="start"/>
        <w:rPr/>
      </w:pPr>
      <w:r>
        <w:rPr/>
        <w:t>Contributing to urban biodiversity through pollination services</w:t>
      </w:r>
    </w:p>
    <w:p>
      <w:pPr>
        <w:pStyle w:val="BodyText"/>
        <w:numPr>
          <w:ilvl w:val="0"/>
          <w:numId w:val="4"/>
        </w:numPr>
        <w:bidi w:val="0"/>
        <w:jc w:val="start"/>
        <w:rPr/>
      </w:pPr>
      <w:r>
        <w:rPr/>
        <w:t>Risks to native pollinator populations and disease transmission</w:t>
      </w:r>
    </w:p>
    <w:p>
      <w:pPr>
        <w:pStyle w:val="BodyText"/>
        <w:numPr>
          <w:ilvl w:val="0"/>
          <w:numId w:val="4"/>
        </w:numPr>
        <w:bidi w:val="0"/>
        <w:jc w:val="start"/>
        <w:rPr/>
      </w:pPr>
      <w:r>
        <w:rPr/>
        <w:t>Apis mellifera</w:t>
      </w:r>
    </w:p>
    <w:p>
      <w:pPr>
        <w:pStyle w:val="BodyText"/>
        <w:numPr>
          <w:ilvl w:val="0"/>
          <w:numId w:val="4"/>
        </w:numPr>
        <w:bidi w:val="0"/>
        <w:jc w:val="start"/>
        <w:rPr/>
      </w:pPr>
      <w:r>
        <w:rPr/>
        <w:t>Studies showing correlations between hive density and increased visitation to urban flowers</w:t>
      </w:r>
    </w:p>
    <w:p>
      <w:pPr>
        <w:pStyle w:val="BodyText"/>
        <w:numPr>
          <w:ilvl w:val="0"/>
          <w:numId w:val="4"/>
        </w:numPr>
        <w:bidi w:val="0"/>
        <w:jc w:val="start"/>
        <w:rPr/>
      </w:pPr>
      <w:r>
        <w:rPr/>
        <w:t>They act as community hubs, fostering environmental awareness and practical skills</w:t>
      </w:r>
    </w:p>
    <w:p>
      <w:pPr>
        <w:pStyle w:val="BodyText"/>
        <w:numPr>
          <w:ilvl w:val="0"/>
          <w:numId w:val="4"/>
        </w:numPr>
        <w:bidi w:val="0"/>
        <w:jc w:val="start"/>
        <w:rPr/>
      </w:pPr>
      <w:r>
        <w:rPr/>
        <w:t>Competition for limited floral resources with native pollinators</w:t>
      </w:r>
    </w:p>
    <w:p>
      <w:pPr>
        <w:pStyle w:val="BodyText"/>
        <w:numPr>
          <w:ilvl w:val="0"/>
          <w:numId w:val="4"/>
        </w:numPr>
        <w:bidi w:val="0"/>
        <w:jc w:val="start"/>
        <w:rPr/>
      </w:pPr>
      <w:r>
        <w:rPr/>
        <w:t>Varroa destructor</w:t>
      </w:r>
    </w:p>
    <w:p>
      <w:pPr>
        <w:pStyle w:val="BodyText"/>
        <w:numPr>
          <w:ilvl w:val="0"/>
          <w:numId w:val="4"/>
        </w:numPr>
        <w:bidi w:val="0"/>
        <w:jc w:val="start"/>
        <w:rPr/>
      </w:pPr>
      <w:r>
        <w:rPr/>
        <w:t>Seasonal fluctuations in floral abundance creating periods of scarcity</w:t>
      </w:r>
    </w:p>
    <w:p>
      <w:pPr>
        <w:pStyle w:val="BodyText"/>
        <w:numPr>
          <w:ilvl w:val="0"/>
          <w:numId w:val="4"/>
        </w:numPr>
        <w:bidi w:val="0"/>
        <w:jc w:val="start"/>
        <w:rPr/>
      </w:pPr>
      <w:r>
        <w:rPr/>
        <w:t>Limiting hive density; registration; promoting best-practice husbandry (any)</w:t>
      </w:r>
    </w:p>
    <w:p>
      <w:pPr>
        <w:pStyle w:val="BodyText"/>
        <w:numPr>
          <w:ilvl w:val="0"/>
          <w:numId w:val="4"/>
        </w:numPr>
        <w:bidi w:val="0"/>
        <w:jc w:val="start"/>
        <w:rPr/>
      </w:pPr>
      <w:r>
        <w:rPr/>
        <w:t>Small-scale managed beekeeping combined with proactive urban planting</w:t>
      </w:r>
    </w:p>
    <w:p>
      <w:pPr>
        <w:pStyle w:val="BodyText"/>
        <w:numPr>
          <w:ilvl w:val="0"/>
          <w:numId w:val="4"/>
        </w:numPr>
        <w:bidi w:val="0"/>
        <w:jc w:val="start"/>
        <w:rPr/>
      </w:pPr>
      <w:r>
        <w:rPr/>
        <w:t>Need for longitudinal studies on long-term impacts on pollinator communities and plant reproduction</w:t>
      </w:r>
    </w:p>
    <w:p>
      <w:pPr>
        <w:pStyle w:val="BodyText"/>
        <w:numPr>
          <w:ilvl w:val="0"/>
          <w:numId w:val="4"/>
        </w:numPr>
        <w:bidi w:val="0"/>
        <w:jc w:val="start"/>
        <w:rPr/>
      </w:pPr>
      <w:r>
        <w:rPr/>
        <w:t>Differences between climates and city types (e.g. temperate vs. Mediterranean, high-density vs. green-rich)</w:t>
      </w:r>
    </w:p>
    <w:p>
      <w:pPr>
        <w:pStyle w:val="BodyText"/>
        <w:numPr>
          <w:ilvl w:val="0"/>
          <w:numId w:val="4"/>
        </w:numPr>
        <w:bidi w:val="0"/>
        <w:spacing w:lineRule="auto" w:line="276"/>
        <w:jc w:val="start"/>
        <w:rPr/>
      </w:pPr>
      <w:r>
        <w:rPr/>
        <w:t>Evidence-based policy and community engagement</w:t>
      </w:r>
    </w:p>
    <w:p>
      <w:pPr>
        <w:pStyle w:val="BodyText"/>
        <w:bidi w:val="0"/>
        <w:jc w:val="start"/>
        <w:rPr/>
      </w:pPr>
      <w:r>
        <w:rPr>
          <w:rStyle w:val="Strong"/>
        </w:rPr>
        <w:t>Passage 2 (14–26)</w:t>
      </w:r>
      <w:r>
        <w:rPr/>
        <w:br/>
        <w:t>14. Performing paid labour primarily from a location outside a traditional office</w:t>
        <w:br/>
        <w:t>15. Reduced overhead costs / smaller office space</w:t>
        <w:br/>
        <w:t>16. Challenges for collaboration, mentoring, and spontaneous innovation</w:t>
        <w:br/>
        <w:t>17. Mixed results (some gains, some declines)</w:t>
        <w:br/>
        <w:t>18. Knowledge-intensive roles needing deep, uninterrupted focus</w:t>
        <w:br/>
        <w:t>19. Reduced demand</w:t>
        <w:br/>
        <w:t>20. Cafés; retailers; public transport (any one)</w:t>
        <w:br/>
        <w:t>21. Lower business rates receipts and shifting tax burdens</w:t>
        <w:br/>
        <w:t>22. Hybrid models</w:t>
        <w:br/>
        <w:t>23. It widens talent pools across geographies</w:t>
        <w:br/>
        <w:t>24. Not all jobs can be done remotely; home office disparities increase inequality</w:t>
        <w:br/>
        <w:t>25. Promoting flexible offices; repurposing offices; investing in local amenities (any two)</w:t>
        <w:br/>
        <w:t>26. Sectoral composition, technological advances, and policy choices</w:t>
      </w:r>
    </w:p>
    <w:p>
      <w:pPr>
        <w:pStyle w:val="BodyText"/>
        <w:bidi w:val="0"/>
        <w:jc w:val="start"/>
        <w:rPr/>
      </w:pPr>
      <w:r>
        <w:rPr>
          <w:rStyle w:val="Strong"/>
        </w:rPr>
        <w:t>Passage 3 (27–40)</w:t>
      </w:r>
      <w:r>
        <w:rPr/>
        <w:br/>
        <w:t>27. Language is a tool of thought that mediates self-regulation and problem-solving</w:t>
        <w:br/>
        <w:t>28. Larger early vocabularies are linked with better later academic outcomes</w:t>
        <w:br/>
        <w:t>29. Advantages in attentional control and task-switching</w:t>
        <w:br/>
        <w:t>30. Regular practice managing multiple linguistic systems and inhibiting irrelevant information</w:t>
        <w:br/>
        <w:t>31. Proficiency level, age of acquisition, and socio-economic context</w:t>
        <w:br/>
        <w:t>32. Narrative practices transmit norms, morals, and collective memory, shaping cognitive styles</w:t>
        <w:br/>
        <w:t>33. How a language marks tense or evidentiality</w:t>
        <w:br/>
        <w:t>34. That language can influence habitual attention to certain kinds of information</w:t>
        <w:br/>
        <w:t>35. Rich conversational interaction; shared book reading; oral storytelling (any two)</w:t>
        <w:br/>
        <w:t>36. Support home languages while teaching the majority language</w:t>
        <w:br/>
        <w:t>37. Mechanisms behind bilingual advantages and long-term outcomes of language interventions</w:t>
        <w:br/>
        <w:t>38. By pointing to universal cognitive constraints as well as language-shaped biases</w:t>
        <w:br/>
        <w:t>39. Inner speech</w:t>
        <w:br/>
        <w:t>40. Education should foster language to support broader cognitive and academic development</w:t>
      </w:r>
    </w:p>
    <w:p>
      <w:pPr>
        <w:pStyle w:val="HorizontalLine"/>
        <w:bidi w:val="0"/>
        <w:spacing w:before="0" w:after="283"/>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Inter">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Source Han Sans CN" w:cs="Noto Sans Devanagari"/>
      <w:b/>
      <w:bCs/>
      <w:sz w:val="36"/>
      <w:szCs w:val="36"/>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LibreOffice/25.8.3.2$Linux_X86_64 LibreOffice_project/580$Build-2</Application>
  <AppVersion>15.0000</AppVersion>
  <Pages>6</Pages>
  <Words>1958</Words>
  <Characters>10666</Characters>
  <CharactersWithSpaces>12551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2025-12-02T09:58:02Z</dcterms:created>
  <dc:creator/>
  <dc:description/>
  <dc:language>en-US</dc:language>
  <cp:lastModifiedBy/>
  <dcterms:modified xsi:type="dcterms:W3CDTF">2025-12-02T10:09:57Z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