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IELTS Academic – Simulated Test</w:t>
      </w:r>
    </w:p>
    <w:p>
      <w:pPr>
        <w:pStyle w:val="BodyText"/>
        <w:bidi w:val="0"/>
        <w:spacing w:lineRule="auto" w:line="276" w:before="0" w:after="140"/>
        <w:jc w:val="start"/>
        <w:rPr/>
      </w:pPr>
      <w:r>
        <w:rPr>
          <w:rStyle w:val="Strong"/>
        </w:rPr>
        <w:t>Total Test Time:</w:t>
      </w:r>
      <w:r>
        <w:rPr/>
        <w:t xml:space="preserve"> 2 hours 45 minutes (plus Speaking)</w:t>
      </w:r>
    </w:p>
    <w:p>
      <w:pPr>
        <w:pStyle w:val="BodyText"/>
        <w:numPr>
          <w:ilvl w:val="0"/>
          <w:numId w:val="1"/>
        </w:numPr>
        <w:tabs>
          <w:tab w:val="left" w:pos="709" w:leader="none"/>
        </w:tabs>
        <w:bidi w:val="0"/>
        <w:ind w:hanging="283" w:start="709"/>
        <w:jc w:val="start"/>
        <w:rPr/>
      </w:pPr>
      <w:r>
        <w:rPr/>
        <w:t>Listening: 40 minutes (including 10 minutes to transfer answers)</w:t>
      </w:r>
    </w:p>
    <w:p>
      <w:pPr>
        <w:pStyle w:val="BodyText"/>
        <w:numPr>
          <w:ilvl w:val="0"/>
          <w:numId w:val="1"/>
        </w:numPr>
        <w:tabs>
          <w:tab w:val="left" w:pos="709" w:leader="none"/>
        </w:tabs>
        <w:bidi w:val="0"/>
        <w:ind w:hanging="283" w:start="709"/>
        <w:jc w:val="start"/>
        <w:rPr/>
      </w:pPr>
      <w:r>
        <w:rPr/>
        <w:t>Reading: 60 minutes</w:t>
      </w:r>
    </w:p>
    <w:p>
      <w:pPr>
        <w:pStyle w:val="BodyText"/>
        <w:numPr>
          <w:ilvl w:val="0"/>
          <w:numId w:val="1"/>
        </w:numPr>
        <w:tabs>
          <w:tab w:val="left" w:pos="709" w:leader="none"/>
        </w:tabs>
        <w:bidi w:val="0"/>
        <w:ind w:hanging="283" w:start="709"/>
        <w:jc w:val="start"/>
        <w:rPr/>
      </w:pPr>
      <w:r>
        <w:rPr/>
        <w:t>Writing: 60 minutes</w:t>
      </w:r>
    </w:p>
    <w:p>
      <w:pPr>
        <w:pStyle w:val="BodyText"/>
        <w:numPr>
          <w:ilvl w:val="0"/>
          <w:numId w:val="1"/>
        </w:numPr>
        <w:tabs>
          <w:tab w:val="left" w:pos="709" w:leader="none"/>
        </w:tabs>
        <w:bidi w:val="0"/>
        <w:ind w:hanging="283" w:start="709"/>
        <w:jc w:val="start"/>
        <w:rPr/>
      </w:pPr>
      <w:r>
        <w:rPr/>
        <w:t>Speaking: 11–14 minutes (separate)</w:t>
      </w:r>
    </w:p>
    <w:p>
      <w:pPr>
        <w:pStyle w:val="HorizontalLine"/>
        <w:bidi w:val="0"/>
        <w:jc w:val="start"/>
        <w:rPr/>
      </w:pPr>
      <w:r>
        <w:rPr/>
      </w:r>
    </w:p>
    <w:p>
      <w:pPr>
        <w:pStyle w:val="Heading2"/>
        <w:bidi w:val="0"/>
        <w:ind w:hanging="0" w:start="0" w:end="0"/>
        <w:jc w:val="start"/>
        <w:rPr/>
      </w:pPr>
      <w:bookmarkStart w:id="0" w:name="answer-keys-for-examiners"/>
      <w:bookmarkEnd w:id="0"/>
      <w:r>
        <w:rPr/>
        <w:t>ANSWER KEYS (FOR EXAMINERS)</w:t>
      </w:r>
    </w:p>
    <w:p>
      <w:pPr>
        <w:pStyle w:val="Heading2"/>
        <w:bidi w:val="0"/>
        <w:jc w:val="start"/>
        <w:rPr/>
      </w:pPr>
      <w:r>
        <w:rPr/>
        <w:t>Listening Answer Key</w:t>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1</w:t>
      </w:r>
    </w:p>
    <w:p>
      <w:pPr>
        <w:pStyle w:val="BodyText"/>
        <w:widowControl/>
        <w:bidi w:val="0"/>
        <w:spacing w:before="0" w:after="0"/>
        <w:ind w:hanging="0" w:start="0" w:end="0"/>
        <w:jc w:val="start"/>
        <w:rPr>
          <w:rStyle w:val="Strong"/>
          <w:rFonts w:ascii="Inter;sans-serif" w:hAnsi="Inter;sans-serif"/>
          <w:b/>
          <w:i w:val="false"/>
          <w:i w:val="false"/>
          <w:caps w:val="false"/>
          <w:smallCaps w:val="false"/>
          <w:color w:val="000000"/>
          <w:spacing w:val="0"/>
          <w:sz w:val="23"/>
        </w:rPr>
      </w:pPr>
      <w:r>
        <w:rPr>
          <w:rFonts w:ascii="Inter;sans-serif" w:hAnsi="Inter;sans-serif"/>
          <w:b/>
          <w:i w:val="false"/>
          <w:caps w:val="false"/>
          <w:smallCaps w:val="false"/>
          <w:color w:val="000000"/>
          <w:spacing w:val="0"/>
          <w:sz w:val="23"/>
        </w:rPr>
      </w:r>
    </w:p>
    <w:p>
      <w:pPr>
        <w:pStyle w:val="BodyText"/>
        <w:bidi w:val="0"/>
        <w:rPr/>
      </w:pPr>
      <w:r>
        <w:rPr>
          <w:rStyle w:val="Strong"/>
          <w:b w:val="false"/>
          <w:bCs w:val="false"/>
        </w:rPr>
        <w:t>Agent: Good morning, City Travel. This is Karen speaking. How can I help?</w:t>
      </w:r>
    </w:p>
    <w:p>
      <w:pPr>
        <w:pStyle w:val="BodyText"/>
        <w:bidi w:val="0"/>
        <w:rPr/>
      </w:pPr>
      <w:r>
        <w:rPr>
          <w:rStyle w:val="Strong"/>
          <w:b w:val="false"/>
          <w:bCs w:val="false"/>
        </w:rPr>
        <w:t>Student: Hi, Karen. My name's Mark Reynolds. I'm calling about the international orientation package I saw on your website for students going to London next month.</w:t>
      </w:r>
    </w:p>
    <w:p>
      <w:pPr>
        <w:pStyle w:val="BodyText"/>
        <w:bidi w:val="0"/>
        <w:rPr/>
      </w:pPr>
      <w:r>
        <w:rPr>
          <w:rStyle w:val="Strong"/>
          <w:b w:val="false"/>
          <w:bCs w:val="false"/>
        </w:rPr>
        <w:t>Agent: Certainly, Mark. Let me pull up the details. Are you travelling alone, or with other students?</w:t>
      </w:r>
    </w:p>
    <w:p>
      <w:pPr>
        <w:pStyle w:val="BodyText"/>
        <w:bidi w:val="0"/>
        <w:rPr/>
      </w:pPr>
      <w:r>
        <w:rPr>
          <w:rStyle w:val="Strong"/>
          <w:b w:val="false"/>
          <w:bCs w:val="false"/>
        </w:rPr>
        <w:t>Student: I'll be travelling alone. The orientation is from June 10th to June 18th.</w:t>
      </w:r>
    </w:p>
    <w:p>
      <w:pPr>
        <w:pStyle w:val="BodyText"/>
        <w:bidi w:val="0"/>
        <w:rPr/>
      </w:pPr>
      <w:r>
        <w:rPr>
          <w:rStyle w:val="Strong"/>
          <w:b w:val="false"/>
          <w:bCs w:val="false"/>
        </w:rPr>
        <w:t>Agent: Right. We have two package options. The Standard package covers airport transfers, four nights in a shared dorm-style student residence, and a city tour. The Premium package includes individual room accommodation and an extra day trip to Oxford. Which would you prefer?</w:t>
      </w:r>
    </w:p>
    <w:p>
      <w:pPr>
        <w:pStyle w:val="BodyText"/>
        <w:bidi w:val="0"/>
        <w:rPr/>
      </w:pPr>
      <w:r>
        <w:rPr>
          <w:rStyle w:val="Strong"/>
          <w:b w:val="false"/>
          <w:bCs w:val="false"/>
        </w:rPr>
        <w:t>Student: Probably the Premium, because I'd like a private room if possible. But could you tell me about the cost difference and what's included with meals?</w:t>
      </w:r>
    </w:p>
    <w:p>
      <w:pPr>
        <w:pStyle w:val="BodyText"/>
        <w:bidi w:val="0"/>
        <w:rPr/>
      </w:pPr>
      <w:r>
        <w:rPr>
          <w:rStyle w:val="Strong"/>
          <w:b w:val="false"/>
          <w:bCs w:val="false"/>
        </w:rPr>
        <w:t>Agent: The Standard is £320; Premium is £485. Both include breakfast every morning. The Premium adds two lunches — on the Oxford day and one other day — and a welcome dinner on the first evening. Also, Premium includes a one-week public transport pass.</w:t>
      </w:r>
    </w:p>
    <w:p>
      <w:pPr>
        <w:pStyle w:val="BodyText"/>
        <w:bidi w:val="0"/>
        <w:rPr/>
      </w:pPr>
      <w:r>
        <w:rPr>
          <w:rStyle w:val="Strong"/>
          <w:b w:val="false"/>
          <w:bCs w:val="false"/>
        </w:rPr>
        <w:t>Student: That sounds good. Does the transport pass cover travel to Heathrow?</w:t>
      </w:r>
    </w:p>
    <w:p>
      <w:pPr>
        <w:pStyle w:val="BodyText"/>
        <w:bidi w:val="0"/>
        <w:rPr/>
      </w:pPr>
      <w:r>
        <w:rPr>
          <w:rStyle w:val="Strong"/>
          <w:b w:val="false"/>
          <w:bCs w:val="false"/>
        </w:rPr>
        <w:t>Agent: It covers travel within Greater London zones 1–6, and Heathrow falls within zone 6, so yes. Now, the Premium also requires a deposit of £150 at booking, with the remainder due two weeks before departure.</w:t>
      </w:r>
    </w:p>
    <w:p>
      <w:pPr>
        <w:pStyle w:val="BodyText"/>
        <w:bidi w:val="0"/>
        <w:rPr/>
      </w:pPr>
      <w:r>
        <w:rPr>
          <w:rStyle w:val="Strong"/>
          <w:b w:val="false"/>
          <w:bCs w:val="false"/>
        </w:rPr>
        <w:t>Student: Okay. What about cancellation policy?</w:t>
      </w:r>
    </w:p>
    <w:p>
      <w:pPr>
        <w:pStyle w:val="BodyText"/>
        <w:bidi w:val="0"/>
        <w:rPr/>
      </w:pPr>
      <w:r>
        <w:rPr>
          <w:rStyle w:val="Strong"/>
          <w:b w:val="false"/>
          <w:bCs w:val="false"/>
        </w:rPr>
        <w:t>Agent: If you cancel more than 21 days before departure, we refund the deposit minus a £30 administration fee. Cancellations within 21 days are non-refundable except in exceptional circumstances such as documented medical emergencies.</w:t>
      </w:r>
    </w:p>
    <w:p>
      <w:pPr>
        <w:pStyle w:val="BodyText"/>
        <w:bidi w:val="0"/>
        <w:rPr/>
      </w:pPr>
      <w:r>
        <w:rPr>
          <w:rStyle w:val="Strong"/>
          <w:b w:val="false"/>
          <w:bCs w:val="false"/>
        </w:rPr>
        <w:t>Student: Understood. Are there any visa assistance services included?</w:t>
      </w:r>
    </w:p>
    <w:p>
      <w:pPr>
        <w:pStyle w:val="BodyText"/>
        <w:bidi w:val="0"/>
        <w:rPr/>
      </w:pPr>
      <w:r>
        <w:rPr>
          <w:rStyle w:val="Strong"/>
          <w:b w:val="false"/>
          <w:bCs w:val="false"/>
        </w:rPr>
        <w:t>Agent: We provide a visa information pack and one hour of consultation for all packages; any additional visa support is charged at hourly rates.</w:t>
      </w:r>
    </w:p>
    <w:p>
      <w:pPr>
        <w:pStyle w:val="BodyText"/>
        <w:bidi w:val="0"/>
        <w:rPr/>
      </w:pPr>
      <w:r>
        <w:rPr>
          <w:rStyle w:val="Strong"/>
          <w:b w:val="false"/>
          <w:bCs w:val="false"/>
        </w:rPr>
        <w:t>Student: Great — I'd like to book Premium. Can we do it now?</w:t>
      </w:r>
    </w:p>
    <w:p>
      <w:pPr>
        <w:pStyle w:val="BodyText"/>
        <w:bidi w:val="0"/>
        <w:rPr/>
      </w:pPr>
      <w:r>
        <w:rPr>
          <w:rStyle w:val="Strong"/>
          <w:b w:val="false"/>
          <w:bCs w:val="false"/>
        </w:rPr>
        <w:t>Agent: Yes. I just need your passport number, date of birth, and an emergency contact. Also, which airport will you be flying from?</w:t>
      </w:r>
    </w:p>
    <w:p>
      <w:pPr>
        <w:pStyle w:val="BodyText"/>
        <w:bidi w:val="0"/>
        <w:rPr/>
      </w:pPr>
      <w:r>
        <w:rPr>
          <w:rStyle w:val="Strong"/>
          <w:b w:val="false"/>
          <w:bCs w:val="false"/>
        </w:rPr>
        <w:t>Student: I'll fly from Manchester. My passport number is X1234567, date of birth May 15th, 2002. Emergency contact is Susan Reynolds, phone 0161-555-0198.</w:t>
      </w:r>
    </w:p>
    <w:p>
      <w:pPr>
        <w:pStyle w:val="BodyText"/>
        <w:bidi w:val="0"/>
        <w:rPr/>
      </w:pPr>
      <w:r>
        <w:rPr>
          <w:rStyle w:val="Strong"/>
          <w:b w:val="false"/>
          <w:bCs w:val="false"/>
        </w:rPr>
        <w:t>Agent: Thank you. I'll take the £150 deposit on card. Can you confirm your card type and number when you're ready?</w:t>
      </w:r>
    </w:p>
    <w:p>
      <w:pPr>
        <w:pStyle w:val="BodyText"/>
        <w:bidi w:val="0"/>
        <w:rPr/>
      </w:pPr>
      <w:r>
        <w:rPr>
          <w:rStyle w:val="Strong"/>
          <w:b w:val="false"/>
          <w:bCs w:val="false"/>
        </w:rPr>
        <w:t>Student: Yes, it's a debit Visa, number 4929 1234 5678 9012, expiry 08/26.</w:t>
      </w:r>
    </w:p>
    <w:p>
      <w:pPr>
        <w:pStyle w:val="BodyText"/>
        <w:bidi w:val="0"/>
        <w:rPr/>
      </w:pPr>
      <w:r>
        <w:rPr>
          <w:rStyle w:val="Strong"/>
          <w:b w:val="false"/>
          <w:bCs w:val="false"/>
        </w:rPr>
        <w:t>Agent: Payment processed. Your booking reference is CTR-7894. An email confirmation and visa information pack will be sent within 24 hours. Any other questions?</w:t>
      </w:r>
    </w:p>
    <w:p>
      <w:pPr>
        <w:pStyle w:val="BodyText"/>
        <w:bidi w:val="0"/>
        <w:rPr/>
      </w:pPr>
      <w:r>
        <w:rPr>
          <w:rStyle w:val="Strong"/>
          <w:b w:val="false"/>
          <w:bCs w:val="false"/>
        </w:rPr>
        <w:t>Student: No, that's all. Thank you.</w:t>
      </w:r>
    </w:p>
    <w:p>
      <w:pPr>
        <w:pStyle w:val="BodyText"/>
        <w:bidi w:val="0"/>
        <w:rPr/>
      </w:pPr>
      <w:r>
        <w:rPr>
          <w:rStyle w:val="Strong"/>
          <w:b w:val="false"/>
          <w:bCs w:val="false"/>
        </w:rPr>
        <w:t>Agent: Thank you, Mark. Have a good day.</w:t>
      </w:r>
    </w:p>
    <w:p>
      <w:pPr>
        <w:pStyle w:val="BodyText"/>
        <w:bidi w:val="0"/>
        <w:rPr>
          <w:rStyle w:val="Strong"/>
          <w:b w:val="false"/>
          <w:bCs w:val="false"/>
        </w:rPr>
      </w:pPr>
      <w:r>
        <w:rPr>
          <w:b w:val="false"/>
          <w:bCs w:val="false"/>
        </w:rPr>
      </w:r>
    </w:p>
    <w:p>
      <w:pPr>
        <w:pStyle w:val="BodyText"/>
        <w:bidi w:val="0"/>
        <w:rPr/>
      </w:pPr>
      <w:r>
        <w:rPr>
          <w:rStyle w:val="Strong"/>
        </w:rPr>
        <w:t>Part 1 (1–8)</w:t>
      </w:r>
    </w:p>
    <w:p>
      <w:pPr>
        <w:pStyle w:val="BodyText"/>
        <w:numPr>
          <w:ilvl w:val="0"/>
          <w:numId w:val="2"/>
        </w:numPr>
        <w:tabs>
          <w:tab w:val="clear" w:pos="709"/>
          <w:tab w:val="left" w:pos="0" w:leader="none"/>
        </w:tabs>
        <w:ind w:hanging="283" w:start="709"/>
        <w:rPr/>
      </w:pPr>
      <w:r>
        <w:rPr/>
        <w:t>Premium package</w:t>
      </w:r>
    </w:p>
    <w:p>
      <w:pPr>
        <w:pStyle w:val="BodyText"/>
        <w:numPr>
          <w:ilvl w:val="0"/>
          <w:numId w:val="2"/>
        </w:numPr>
        <w:tabs>
          <w:tab w:val="clear" w:pos="709"/>
          <w:tab w:val="left" w:pos="0" w:leader="none"/>
        </w:tabs>
        <w:ind w:hanging="283" w:start="709"/>
        <w:rPr/>
      </w:pPr>
      <w:r>
        <w:rPr/>
        <w:t>$1,250</w:t>
      </w:r>
    </w:p>
    <w:p>
      <w:pPr>
        <w:pStyle w:val="BodyText"/>
        <w:numPr>
          <w:ilvl w:val="0"/>
          <w:numId w:val="2"/>
        </w:numPr>
        <w:tabs>
          <w:tab w:val="clear" w:pos="709"/>
          <w:tab w:val="left" w:pos="0" w:leader="none"/>
        </w:tabs>
        <w:ind w:hanging="283" w:start="709"/>
        <w:rPr/>
      </w:pPr>
      <w:r>
        <w:rPr/>
        <w:t>20%</w:t>
      </w:r>
    </w:p>
    <w:p>
      <w:pPr>
        <w:pStyle w:val="BodyText"/>
        <w:numPr>
          <w:ilvl w:val="0"/>
          <w:numId w:val="2"/>
        </w:numPr>
        <w:tabs>
          <w:tab w:val="clear" w:pos="709"/>
          <w:tab w:val="left" w:pos="0" w:leader="none"/>
        </w:tabs>
        <w:ind w:hanging="283" w:start="709"/>
        <w:rPr/>
      </w:pPr>
      <w:r>
        <w:rPr/>
        <w:t>Travel insurance / city tour</w:t>
      </w:r>
    </w:p>
    <w:p>
      <w:pPr>
        <w:pStyle w:val="BodyText"/>
        <w:numPr>
          <w:ilvl w:val="0"/>
          <w:numId w:val="2"/>
        </w:numPr>
        <w:tabs>
          <w:tab w:val="clear" w:pos="709"/>
          <w:tab w:val="left" w:pos="0" w:leader="none"/>
        </w:tabs>
        <w:ind w:hanging="283" w:start="709"/>
        <w:rPr/>
      </w:pPr>
      <w:r>
        <w:rPr/>
        <w:t>Full refund</w:t>
      </w:r>
    </w:p>
    <w:p>
      <w:pPr>
        <w:pStyle w:val="BodyText"/>
        <w:numPr>
          <w:ilvl w:val="0"/>
          <w:numId w:val="2"/>
        </w:numPr>
        <w:tabs>
          <w:tab w:val="clear" w:pos="709"/>
          <w:tab w:val="left" w:pos="0" w:leader="none"/>
        </w:tabs>
        <w:ind w:hanging="283" w:start="709"/>
        <w:rPr/>
      </w:pPr>
      <w:r>
        <w:rPr/>
        <w:t>3 hours</w:t>
      </w:r>
    </w:p>
    <w:p>
      <w:pPr>
        <w:pStyle w:val="BodyText"/>
        <w:numPr>
          <w:ilvl w:val="0"/>
          <w:numId w:val="2"/>
        </w:numPr>
        <w:tabs>
          <w:tab w:val="clear" w:pos="709"/>
          <w:tab w:val="left" w:pos="0" w:leader="none"/>
        </w:tabs>
        <w:ind w:hanging="283" w:start="709"/>
        <w:rPr/>
      </w:pPr>
      <w:r>
        <w:rPr/>
        <w:t>Northside Airport</w:t>
      </w:r>
    </w:p>
    <w:p>
      <w:pPr>
        <w:pStyle w:val="BodyText"/>
        <w:numPr>
          <w:ilvl w:val="0"/>
          <w:numId w:val="2"/>
        </w:numPr>
        <w:tabs>
          <w:tab w:val="clear" w:pos="709"/>
          <w:tab w:val="left" w:pos="0" w:leader="none"/>
        </w:tabs>
        <w:ind w:hanging="283" w:start="709"/>
        <w:rPr/>
      </w:pPr>
      <w:r>
        <w:rPr/>
        <w:t>TRX9142</w:t>
      </w:r>
    </w:p>
    <w:p>
      <w:pPr>
        <w:pStyle w:val="BodyText"/>
        <w:widowControl/>
        <w:bidi w:val="0"/>
        <w:spacing w:before="0" w:after="0"/>
        <w:ind w:hanging="0" w:start="0" w:end="0"/>
        <w:jc w:val="start"/>
        <w:rPr>
          <w:rStyle w:val="Strong"/>
          <w:rFonts w:ascii="Inter;sans-serif" w:hAnsi="Inter;sans-serif"/>
          <w:b/>
          <w:i w:val="false"/>
          <w:i w:val="false"/>
          <w:caps w:val="false"/>
          <w:smallCaps w:val="false"/>
          <w:color w:val="000000"/>
          <w:spacing w:val="0"/>
          <w:sz w:val="23"/>
        </w:rPr>
      </w:pPr>
      <w:r>
        <w:rPr>
          <w:rFonts w:ascii="Inter;sans-serif" w:hAnsi="Inter;sans-serif"/>
          <w:b/>
          <w:i w:val="false"/>
          <w:caps w:val="false"/>
          <w:smallCaps w:val="false"/>
          <w:color w:val="000000"/>
          <w:spacing w:val="0"/>
          <w:sz w:val="23"/>
        </w:rPr>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2</w:t>
      </w:r>
    </w:p>
    <w:p>
      <w:pPr>
        <w:pStyle w:val="BodyText"/>
        <w:widowControl/>
        <w:bidi w:val="0"/>
        <w:spacing w:before="0" w:after="0"/>
        <w:ind w:hanging="0" w:start="0" w:end="0"/>
        <w:jc w:val="start"/>
        <w:rPr>
          <w:rStyle w:val="Strong"/>
          <w:rFonts w:ascii="Inter;sans-serif" w:hAnsi="Inter;sans-serif"/>
          <w:b/>
          <w:i w:val="false"/>
          <w:i w:val="false"/>
          <w:caps w:val="false"/>
          <w:smallCaps w:val="false"/>
          <w:color w:val="000000"/>
          <w:spacing w:val="0"/>
          <w:sz w:val="23"/>
        </w:rPr>
      </w:pPr>
      <w:r>
        <w:rPr>
          <w:rFonts w:ascii="Inter;sans-serif" w:hAnsi="Inter;sans-serif"/>
          <w:b/>
          <w:i w:val="false"/>
          <w:caps w:val="false"/>
          <w:smallCaps w:val="false"/>
          <w:color w:val="000000"/>
          <w:spacing w:val="0"/>
          <w:sz w:val="23"/>
        </w:rPr>
      </w:r>
    </w:p>
    <w:p>
      <w:pPr>
        <w:pStyle w:val="BodyText"/>
        <w:rPr/>
      </w:pPr>
      <w:r>
        <w:rPr/>
        <w:t>Registrar: Good afternoon. I'm Dr. Ellen Price, University Registrar. I want to inform you of several important changes affecting the upcoming semester. First, please note that the semester start date has been moved forward by one week: classes will now begin on September 1st instead of September 8th.</w:t>
      </w:r>
    </w:p>
    <w:p>
      <w:pPr>
        <w:pStyle w:val="BodyText"/>
        <w:rPr/>
      </w:pPr>
      <w:r>
        <w:rPr/>
        <w:t>Registrar: This change is to accommodate the earlier arrival of international students and to align our term with partner institutions. Consequently, the registration period will be from August 20th to August 28th, and orientation events will run from August 29th to August 31st.</w:t>
      </w:r>
    </w:p>
    <w:p>
      <w:pPr>
        <w:pStyle w:val="BodyText"/>
        <w:rPr/>
      </w:pPr>
      <w:r>
        <w:rPr/>
        <w:t>Registrar: Second, for the duration of the semester, the library will extend opening hours. From Monday to Friday, the library will open at 8 a.m. and close at midnight. On weekends, it will be open from 10 a.m. to 10 p.m.</w:t>
      </w:r>
    </w:p>
    <w:p>
      <w:pPr>
        <w:pStyle w:val="BodyText"/>
        <w:rPr/>
      </w:pPr>
      <w:r>
        <w:rPr/>
        <w:t>Registrar: Third, we are introducing a new online booking system for study rooms. Students can reserve rooms up to two weeks in advance, and there is a limit of three bookings per week per student. The system will go live on August 15th.</w:t>
      </w:r>
    </w:p>
    <w:p>
      <w:pPr>
        <w:pStyle w:val="BodyText"/>
        <w:rPr/>
      </w:pPr>
      <w:r>
        <w:rPr/>
        <w:t>Registrar: Lastly, there will be changes to the exam timetable: final exams will be scheduled across two weeks beginning December 7th. Detailed timetables will be published on the portal by October 1st.</w:t>
      </w:r>
    </w:p>
    <w:p>
      <w:pPr>
        <w:pStyle w:val="BodyText"/>
        <w:rPr/>
      </w:pPr>
      <w:r>
        <w:rPr/>
        <w:t>Registrar: That concludes the announcements. If you have questions, please contact the registrar's office via email.</w:t>
      </w:r>
    </w:p>
    <w:p>
      <w:pPr>
        <w:pStyle w:val="BodyText"/>
        <w:rPr/>
      </w:pPr>
      <w:r>
        <w:rPr/>
      </w:r>
    </w:p>
    <w:p>
      <w:pPr>
        <w:pStyle w:val="BodyText"/>
        <w:rPr/>
      </w:pPr>
      <w:r>
        <w:rPr>
          <w:rStyle w:val="Strong"/>
        </w:rPr>
        <w:t>Part 2 (9–18)</w:t>
      </w:r>
      <w:r>
        <w:rPr/>
        <w:br/>
        <w:t>9. 5 September</w:t>
        <w:br/>
        <w:t>10. 1–12 August</w:t>
        <w:br/>
        <w:t>11. 8 a.m. to 10 p.m.</w:t>
        <w:br/>
        <w:t>12. 10 a.m. to 6 p.m.</w:t>
        <w:br/>
        <w:t>13. 15 September</w:t>
        <w:br/>
        <w:t>14. Two bookings</w:t>
        <w:br/>
        <w:t>15. 12 December</w:t>
        <w:br/>
        <w:t>16. 20 November</w:t>
        <w:br/>
        <w:t>17. The Registrar</w:t>
        <w:br/>
        <w:t>18. Building renovations</w:t>
      </w:r>
    </w:p>
    <w:p>
      <w:pPr>
        <w:pStyle w:val="BodyText"/>
        <w:rPr/>
      </w:pPr>
      <w:r>
        <w:rPr/>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3</w:t>
      </w:r>
    </w:p>
    <w:p>
      <w:pPr>
        <w:pStyle w:val="BodyText"/>
        <w:widowControl/>
        <w:bidi w:val="0"/>
        <w:spacing w:before="0" w:after="0"/>
        <w:ind w:hanging="0" w:start="0" w:end="0"/>
        <w:jc w:val="start"/>
        <w:rPr/>
      </w:pPr>
      <w:r>
        <w:rPr/>
      </w:r>
    </w:p>
    <w:p>
      <w:pPr>
        <w:pStyle w:val="BodyText"/>
        <w:bidi w:val="0"/>
        <w:rPr/>
      </w:pPr>
      <w:r>
        <w:rPr>
          <w:rStyle w:val="Strong"/>
          <w:b w:val="false"/>
          <w:bCs w:val="false"/>
        </w:rPr>
        <w:t>Anna: Hi, Tom. We need to decide whether to use surveys or interviews for our study on sleep habits. Surveys reach more people, but interviews give more depth.</w:t>
      </w:r>
    </w:p>
    <w:p>
      <w:pPr>
        <w:pStyle w:val="BodyText"/>
        <w:bidi w:val="0"/>
        <w:rPr/>
      </w:pPr>
      <w:r>
        <w:rPr>
          <w:rStyle w:val="Strong"/>
          <w:b w:val="false"/>
          <w:bCs w:val="false"/>
        </w:rPr>
        <w:t>Tom: True. Our sample is university students aged 18–25. I think we should start with a survey to get broad patterns and then follow up with interviews for 12 selected participants.</w:t>
      </w:r>
    </w:p>
    <w:p>
      <w:pPr>
        <w:pStyle w:val="BodyText"/>
        <w:bidi w:val="0"/>
        <w:rPr/>
      </w:pPr>
      <w:r>
        <w:rPr>
          <w:rStyle w:val="Strong"/>
          <w:b w:val="false"/>
          <w:bCs w:val="false"/>
        </w:rPr>
        <w:t>Anna: What about online versus paper surveys? Online is cheaper and faster, but paper might reach students who rarely check their university email.</w:t>
      </w:r>
    </w:p>
    <w:p>
      <w:pPr>
        <w:pStyle w:val="BodyText"/>
        <w:bidi w:val="0"/>
        <w:rPr/>
      </w:pPr>
      <w:r>
        <w:rPr>
          <w:rStyle w:val="Strong"/>
          <w:b w:val="false"/>
          <w:bCs w:val="false"/>
        </w:rPr>
        <w:t>Tom: We could do both. Post paper copies on noticeboards in the halls and send the online link via social media and the student portal.</w:t>
      </w:r>
    </w:p>
    <w:p>
      <w:pPr>
        <w:pStyle w:val="BodyText"/>
        <w:bidi w:val="0"/>
        <w:rPr/>
      </w:pPr>
      <w:r>
        <w:rPr>
          <w:rStyle w:val="Strong"/>
          <w:b w:val="false"/>
          <w:bCs w:val="false"/>
        </w:rPr>
        <w:t>Anna: For the interviews, semi-structured seems best. It gives us a guide but allows participants to elaborate. We'll also need consent forms and ethics approval.</w:t>
      </w:r>
    </w:p>
    <w:p>
      <w:pPr>
        <w:pStyle w:val="BodyText"/>
        <w:bidi w:val="0"/>
        <w:rPr/>
      </w:pPr>
      <w:r>
        <w:rPr>
          <w:rStyle w:val="Strong"/>
          <w:b w:val="false"/>
          <w:bCs w:val="false"/>
        </w:rPr>
        <w:t>Tom: Yes, we'll submit an ethics application. For sampling, we should use stratified sampling to ensure representation across year groups and faculties.</w:t>
      </w:r>
    </w:p>
    <w:p>
      <w:pPr>
        <w:pStyle w:val="BodyText"/>
        <w:bidi w:val="0"/>
        <w:rPr/>
      </w:pPr>
      <w:r>
        <w:rPr>
          <w:rStyle w:val="Strong"/>
          <w:b w:val="false"/>
          <w:bCs w:val="false"/>
        </w:rPr>
        <w:t>Anna: How many responses do we aim for? I think at least 300 survey responses, and 12 interviewees split evenly between males and females.</w:t>
      </w:r>
    </w:p>
    <w:p>
      <w:pPr>
        <w:pStyle w:val="BodyText"/>
        <w:bidi w:val="0"/>
        <w:rPr/>
      </w:pPr>
      <w:r>
        <w:rPr>
          <w:rStyle w:val="Strong"/>
          <w:b w:val="false"/>
          <w:bCs w:val="false"/>
        </w:rPr>
        <w:t>Tom: That sounds reasonable. Also, for data analysis, we'll use descriptive statistics for surveys and thematic analysis for interviews.</w:t>
      </w:r>
    </w:p>
    <w:p>
      <w:pPr>
        <w:pStyle w:val="BodyText"/>
        <w:bidi w:val="0"/>
        <w:rPr/>
      </w:pPr>
      <w:r>
        <w:rPr>
          <w:rStyle w:val="Strong"/>
          <w:b w:val="false"/>
          <w:bCs w:val="false"/>
        </w:rPr>
        <w:t>Anna: Let's assign tasks: I'll draft the survey questions and the ethics application. Could you create the recruitment poster and set up the online survey platform?</w:t>
      </w:r>
    </w:p>
    <w:p>
      <w:pPr>
        <w:pStyle w:val="BodyText"/>
        <w:bidi w:val="0"/>
        <w:rPr/>
      </w:pPr>
      <w:r>
        <w:rPr>
          <w:rStyle w:val="Strong"/>
          <w:b w:val="false"/>
          <w:bCs w:val="false"/>
        </w:rPr>
        <w:t>Tom: Sure. Let's meet next Tuesday to review.</w:t>
      </w:r>
    </w:p>
    <w:p>
      <w:pPr>
        <w:pStyle w:val="BodyText"/>
        <w:widowControl/>
        <w:bidi w:val="0"/>
        <w:spacing w:before="0" w:after="0"/>
        <w:ind w:hanging="0" w:start="0" w:end="0"/>
        <w:jc w:val="start"/>
        <w:rPr/>
      </w:pPr>
      <w:r>
        <w:rPr/>
      </w:r>
    </w:p>
    <w:p>
      <w:pPr>
        <w:pStyle w:val="BodyText"/>
        <w:rPr/>
      </w:pPr>
      <w:r>
        <w:rPr>
          <w:rStyle w:val="Strong"/>
        </w:rPr>
        <w:t>Part 3 (19–30)</w:t>
      </w:r>
      <w:r>
        <w:rPr/>
        <w:br/>
        <w:t>19. Surveys and interviews</w:t>
        <w:br/>
        <w:t>20. 18–25</w:t>
        <w:br/>
        <w:t>21. 12</w:t>
        <w:br/>
        <w:t>22. Online and paper surveys</w:t>
        <w:br/>
        <w:t>23. Student lounge</w:t>
        <w:br/>
        <w:t>24. Semi-structured interviews</w:t>
        <w:br/>
        <w:t>25. Ethics approval</w:t>
        <w:br/>
        <w:t>26. Stratified sampling</w:t>
        <w:br/>
        <w:t>27. 200</w:t>
        <w:br/>
        <w:t>28. Statistical software</w:t>
        <w:br/>
        <w:t>29. Thematic coding</w:t>
        <w:br/>
        <w:t>30. Data entry and editing</w:t>
      </w:r>
    </w:p>
    <w:p>
      <w:pPr>
        <w:pStyle w:val="BodyText"/>
        <w:rPr/>
      </w:pPr>
      <w:r>
        <w:rPr/>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4</w:t>
      </w:r>
    </w:p>
    <w:p>
      <w:pPr>
        <w:pStyle w:val="BodyText"/>
        <w:widowControl/>
        <w:bidi w:val="0"/>
        <w:spacing w:before="0" w:after="0"/>
        <w:ind w:hanging="0" w:start="0" w:end="0"/>
        <w:jc w:val="start"/>
        <w:rPr/>
      </w:pPr>
      <w:r>
        <w:rPr/>
      </w:r>
    </w:p>
    <w:p>
      <w:pPr>
        <w:pStyle w:val="BodyText"/>
        <w:bidi w:val="0"/>
        <w:rPr/>
      </w:pPr>
      <w:r>
        <w:rPr>
          <w:rStyle w:val="Strong"/>
          <w:b w:val="false"/>
          <w:bCs w:val="false"/>
        </w:rPr>
        <w:t>Lecturer: Today I'll discuss green roofs and their role in promoting urban biodiversity. Green roofs are layers of vegetation planted over waterproofing systems on rooftops. They vary from intensive roofs, which support diverse plant life and require maintenance, to extensive roofs, which are low-maintenance and shallower.</w:t>
      </w:r>
    </w:p>
    <w:p>
      <w:pPr>
        <w:pStyle w:val="BodyText"/>
        <w:bidi w:val="0"/>
        <w:rPr/>
      </w:pPr>
      <w:r>
        <w:rPr>
          <w:rStyle w:val="Strong"/>
          <w:b w:val="false"/>
          <w:bCs w:val="false"/>
        </w:rPr>
        <w:t>Lecturer: Benefits include reducing stormwater runoff, improving insulation, and providing habitats for insects and birds. Studies show green roofs can increase urban species richness, though their effectiveness depends on plant selection and roof design.</w:t>
      </w:r>
    </w:p>
    <w:p>
      <w:pPr>
        <w:pStyle w:val="BodyText"/>
        <w:bidi w:val="0"/>
        <w:rPr/>
      </w:pPr>
      <w:r>
        <w:rPr>
          <w:rStyle w:val="Strong"/>
          <w:b w:val="false"/>
          <w:bCs w:val="false"/>
        </w:rPr>
        <w:t>Lecturer: Plant selection should favour native species, particularly those adapted to drought and wind. Native grasses, sedums, and low-growing flowering plants are commonly used. Structural considerations include load-bearing capacity and the need for irrigation systems in drier climates.</w:t>
      </w:r>
    </w:p>
    <w:p>
      <w:pPr>
        <w:pStyle w:val="BodyText"/>
        <w:bidi w:val="0"/>
        <w:rPr/>
      </w:pPr>
      <w:r>
        <w:rPr>
          <w:rStyle w:val="Strong"/>
          <w:b w:val="false"/>
          <w:bCs w:val="false"/>
        </w:rPr>
        <w:t>Lecturer: There are challenges: green roofs can become ecological islands if not connected to other green spaces, limiting species movement. Connectivity, such as green corridors, is important. Maintenance costs and initial installation expense also limit adoption.</w:t>
      </w:r>
    </w:p>
    <w:p>
      <w:pPr>
        <w:pStyle w:val="BodyText"/>
        <w:bidi w:val="0"/>
        <w:rPr/>
      </w:pPr>
      <w:r>
        <w:rPr>
          <w:rStyle w:val="Strong"/>
          <w:b w:val="false"/>
          <w:bCs w:val="false"/>
        </w:rPr>
        <w:t>Lecturer: Recent research focuses on maximizing biodiversity by varying roof size and creating microhabitats — adding rocks, soil depth variation, and small water features. Citizen science projects often monitor roof biodiversity, providing valuable long-term data.</w:t>
      </w:r>
    </w:p>
    <w:p>
      <w:pPr>
        <w:pStyle w:val="BodyText"/>
        <w:bidi w:val="0"/>
        <w:rPr/>
      </w:pPr>
      <w:r>
        <w:rPr>
          <w:rStyle w:val="Strong"/>
          <w:b w:val="false"/>
          <w:bCs w:val="false"/>
        </w:rPr>
        <w:t>Lecturer: To conclude, green roofs offer numerous ecological and social benefits, but careful design and integration into broader urban planning are essential for them to contribute meaningfully to urban biodiversity.</w:t>
      </w:r>
    </w:p>
    <w:p>
      <w:pPr>
        <w:pStyle w:val="BodyText"/>
        <w:rPr/>
      </w:pPr>
      <w:r>
        <w:rPr>
          <w:rStyle w:val="Strong"/>
        </w:rPr>
        <w:t>Part 4 (31–40)</w:t>
      </w:r>
      <w:r>
        <w:rPr/>
        <w:br/>
        <w:t>31. A vegetated roof</w:t>
        <w:br/>
        <w:t>32. Extensive and intensive</w:t>
        <w:br/>
        <w:t>33. Insulation / stormwater control (any two valid benefits)</w:t>
        <w:br/>
        <w:t>34. Climate conditions</w:t>
        <w:br/>
        <w:t>35. Sedum / mosses (any two valid examples)</w:t>
        <w:br/>
        <w:t>36. Load-bearing capacity</w:t>
        <w:br/>
        <w:t>37. Lack of species movement</w:t>
        <w:br/>
        <w:t>38. Wildlife corridors</w:t>
        <w:br/>
        <w:t>39. Varying soil depths / diverse plantings (any two valid methods)</w:t>
        <w:br/>
        <w:t>40. Ecologists</w:t>
      </w:r>
    </w:p>
    <w:p>
      <w:pPr>
        <w:pStyle w:val="HorizontalLine"/>
        <w:spacing w:lineRule="auto" w:line="276" w:before="0" w:after="140"/>
        <w:rPr>
          <w:sz w:val="24"/>
          <w:szCs w:val="24"/>
        </w:rPr>
      </w:pPr>
      <w:r>
        <w:rPr>
          <w:sz w:val="24"/>
          <w:szCs w:val="24"/>
        </w:rPr>
      </w:r>
    </w:p>
    <w:p>
      <w:pPr>
        <w:pStyle w:val="Heading1"/>
        <w:spacing w:lineRule="auto" w:line="276" w:before="0" w:after="140"/>
        <w:rPr>
          <w:b w:val="false"/>
          <w:bCs w:val="false"/>
          <w:sz w:val="24"/>
          <w:szCs w:val="24"/>
        </w:rPr>
      </w:pPr>
      <w:r>
        <w:rPr>
          <w:rStyle w:val="Strong"/>
          <w:b/>
          <w:bCs/>
          <w:sz w:val="24"/>
          <w:szCs w:val="24"/>
        </w:rPr>
        <w:t>READING – ANSWER KEY</w:t>
      </w:r>
    </w:p>
    <w:p>
      <w:pPr>
        <w:pStyle w:val="Heading2"/>
        <w:spacing w:lineRule="auto" w:line="276" w:before="0" w:after="140"/>
        <w:rPr>
          <w:b w:val="false"/>
          <w:bCs w:val="false"/>
          <w:sz w:val="24"/>
          <w:szCs w:val="24"/>
        </w:rPr>
      </w:pPr>
      <w:r>
        <w:rPr>
          <w:rStyle w:val="Strong"/>
          <w:b/>
          <w:bCs/>
          <w:sz w:val="24"/>
          <w:szCs w:val="24"/>
        </w:rPr>
        <w:t>Passage 1 (1–13)</w:t>
      </w:r>
    </w:p>
    <w:p>
      <w:pPr>
        <w:pStyle w:val="BodyText"/>
        <w:numPr>
          <w:ilvl w:val="0"/>
          <w:numId w:val="3"/>
        </w:numPr>
        <w:tabs>
          <w:tab w:val="clear" w:pos="709"/>
          <w:tab w:val="left" w:pos="0" w:leader="none"/>
        </w:tabs>
        <w:ind w:hanging="283" w:start="709"/>
        <w:rPr/>
      </w:pPr>
      <w:r>
        <w:rPr/>
        <w:t>C</w:t>
      </w:r>
    </w:p>
    <w:p>
      <w:pPr>
        <w:pStyle w:val="BodyText"/>
        <w:numPr>
          <w:ilvl w:val="0"/>
          <w:numId w:val="3"/>
        </w:numPr>
        <w:tabs>
          <w:tab w:val="clear" w:pos="709"/>
          <w:tab w:val="left" w:pos="0" w:leader="none"/>
        </w:tabs>
        <w:ind w:hanging="283" w:start="709"/>
        <w:rPr/>
      </w:pPr>
      <w:r>
        <w:rPr/>
        <w:t>Reduce environmental impact</w:t>
      </w:r>
    </w:p>
    <w:p>
      <w:pPr>
        <w:pStyle w:val="BodyText"/>
        <w:numPr>
          <w:ilvl w:val="0"/>
          <w:numId w:val="3"/>
        </w:numPr>
        <w:tabs>
          <w:tab w:val="clear" w:pos="709"/>
          <w:tab w:val="left" w:pos="0" w:leader="none"/>
        </w:tabs>
        <w:ind w:hanging="283" w:start="709"/>
        <w:rPr/>
      </w:pPr>
      <w:r>
        <w:rPr/>
        <w:t>Solar panels / smart insulation (any two relevant technologies)</w:t>
      </w:r>
    </w:p>
    <w:p>
      <w:pPr>
        <w:pStyle w:val="BodyText"/>
        <w:numPr>
          <w:ilvl w:val="0"/>
          <w:numId w:val="3"/>
        </w:numPr>
        <w:tabs>
          <w:tab w:val="clear" w:pos="709"/>
          <w:tab w:val="left" w:pos="0" w:leader="none"/>
        </w:tabs>
        <w:ind w:hanging="283" w:start="709"/>
        <w:rPr/>
      </w:pPr>
      <w:r>
        <w:rPr/>
        <w:t>carbon</w:t>
      </w:r>
    </w:p>
    <w:p>
      <w:pPr>
        <w:pStyle w:val="BodyText"/>
        <w:numPr>
          <w:ilvl w:val="0"/>
          <w:numId w:val="3"/>
        </w:numPr>
        <w:tabs>
          <w:tab w:val="clear" w:pos="709"/>
          <w:tab w:val="left" w:pos="0" w:leader="none"/>
        </w:tabs>
        <w:ind w:hanging="283" w:start="709"/>
        <w:rPr/>
      </w:pPr>
      <w:r>
        <w:rPr/>
        <w:t>Better indoor health / improved wellbeing</w:t>
      </w:r>
    </w:p>
    <w:p>
      <w:pPr>
        <w:pStyle w:val="BodyText"/>
        <w:numPr>
          <w:ilvl w:val="0"/>
          <w:numId w:val="3"/>
        </w:numPr>
        <w:tabs>
          <w:tab w:val="clear" w:pos="709"/>
          <w:tab w:val="left" w:pos="0" w:leader="none"/>
        </w:tabs>
        <w:ind w:hanging="283" w:start="709"/>
        <w:rPr/>
      </w:pPr>
      <w:r>
        <w:rPr/>
        <w:t>Solar and wind</w:t>
      </w:r>
    </w:p>
    <w:p>
      <w:pPr>
        <w:pStyle w:val="BodyText"/>
        <w:numPr>
          <w:ilvl w:val="0"/>
          <w:numId w:val="3"/>
        </w:numPr>
        <w:tabs>
          <w:tab w:val="clear" w:pos="709"/>
          <w:tab w:val="left" w:pos="0" w:leader="none"/>
        </w:tabs>
        <w:ind w:hanging="283" w:start="709"/>
        <w:rPr/>
      </w:pPr>
      <w:r>
        <w:rPr/>
        <w:t>False</w:t>
      </w:r>
    </w:p>
    <w:p>
      <w:pPr>
        <w:pStyle w:val="BodyText"/>
        <w:numPr>
          <w:ilvl w:val="0"/>
          <w:numId w:val="3"/>
        </w:numPr>
        <w:tabs>
          <w:tab w:val="clear" w:pos="709"/>
          <w:tab w:val="left" w:pos="0" w:leader="none"/>
        </w:tabs>
        <w:ind w:hanging="283" w:start="709"/>
        <w:rPr/>
      </w:pPr>
      <w:r>
        <w:rPr/>
        <w:t>Balancing cost and sustainability</w:t>
      </w:r>
    </w:p>
    <w:p>
      <w:pPr>
        <w:pStyle w:val="BodyText"/>
        <w:numPr>
          <w:ilvl w:val="0"/>
          <w:numId w:val="3"/>
        </w:numPr>
        <w:tabs>
          <w:tab w:val="clear" w:pos="709"/>
          <w:tab w:val="left" w:pos="0" w:leader="none"/>
        </w:tabs>
        <w:ind w:hanging="283" w:start="709"/>
        <w:rPr/>
      </w:pPr>
      <w:r>
        <w:rPr/>
        <w:t>Improves air quality / reduces heat / enhances wellbeing</w:t>
      </w:r>
    </w:p>
    <w:p>
      <w:pPr>
        <w:pStyle w:val="BodyText"/>
        <w:numPr>
          <w:ilvl w:val="0"/>
          <w:numId w:val="3"/>
        </w:numPr>
        <w:tabs>
          <w:tab w:val="clear" w:pos="709"/>
          <w:tab w:val="left" w:pos="0" w:leader="none"/>
        </w:tabs>
        <w:ind w:hanging="283" w:start="709"/>
        <w:rPr/>
      </w:pPr>
      <w:r>
        <w:rPr/>
        <w:t>Green building codes / tax incentives</w:t>
      </w:r>
    </w:p>
    <w:p>
      <w:pPr>
        <w:pStyle w:val="BodyText"/>
        <w:numPr>
          <w:ilvl w:val="0"/>
          <w:numId w:val="3"/>
        </w:numPr>
        <w:tabs>
          <w:tab w:val="clear" w:pos="709"/>
          <w:tab w:val="left" w:pos="0" w:leader="none"/>
        </w:tabs>
        <w:ind w:hanging="283" w:start="709"/>
        <w:rPr/>
      </w:pPr>
      <w:r>
        <w:rPr/>
        <w:t>A wall covered with living vegetation</w:t>
      </w:r>
    </w:p>
    <w:p>
      <w:pPr>
        <w:pStyle w:val="BodyText"/>
        <w:numPr>
          <w:ilvl w:val="0"/>
          <w:numId w:val="3"/>
        </w:numPr>
        <w:tabs>
          <w:tab w:val="clear" w:pos="709"/>
          <w:tab w:val="left" w:pos="0" w:leader="none"/>
        </w:tabs>
        <w:ind w:hanging="283" w:start="709"/>
        <w:rPr/>
      </w:pPr>
      <w:r>
        <w:rPr/>
        <w:t>Planning / policy (non-technological factors)</w:t>
      </w:r>
    </w:p>
    <w:p>
      <w:pPr>
        <w:pStyle w:val="BodyText"/>
        <w:numPr>
          <w:ilvl w:val="0"/>
          <w:numId w:val="3"/>
        </w:numPr>
        <w:tabs>
          <w:tab w:val="clear" w:pos="709"/>
          <w:tab w:val="left" w:pos="0" w:leader="none"/>
        </w:tabs>
        <w:ind w:hanging="283" w:start="709"/>
        <w:rPr/>
      </w:pPr>
      <w:r>
        <w:rPr/>
        <w:t>Advanced AI-driven building systems / innovative materials</w:t>
      </w:r>
    </w:p>
    <w:p>
      <w:pPr>
        <w:pStyle w:val="Heading2"/>
        <w:spacing w:lineRule="auto" w:line="276" w:before="0" w:after="140"/>
        <w:rPr>
          <w:b w:val="false"/>
          <w:bCs w:val="false"/>
          <w:sz w:val="24"/>
          <w:szCs w:val="24"/>
        </w:rPr>
      </w:pPr>
      <w:r>
        <w:rPr>
          <w:rStyle w:val="Strong"/>
          <w:b/>
          <w:bCs/>
          <w:sz w:val="24"/>
          <w:szCs w:val="24"/>
        </w:rPr>
        <w:t>Passage 2 (14–27)</w:t>
      </w:r>
    </w:p>
    <w:p>
      <w:pPr>
        <w:pStyle w:val="BodyText"/>
        <w:numPr>
          <w:ilvl w:val="0"/>
          <w:numId w:val="4"/>
        </w:numPr>
        <w:tabs>
          <w:tab w:val="clear" w:pos="709"/>
          <w:tab w:val="left" w:pos="0" w:leader="none"/>
        </w:tabs>
        <w:ind w:hanging="283" w:start="709"/>
        <w:rPr/>
      </w:pPr>
      <w:r>
        <w:rPr/>
        <w:t>A</w:t>
      </w:r>
    </w:p>
    <w:p>
      <w:pPr>
        <w:pStyle w:val="BodyText"/>
        <w:numPr>
          <w:ilvl w:val="0"/>
          <w:numId w:val="4"/>
        </w:numPr>
        <w:tabs>
          <w:tab w:val="clear" w:pos="709"/>
          <w:tab w:val="left" w:pos="0" w:leader="none"/>
        </w:tabs>
        <w:ind w:hanging="283" w:start="709"/>
        <w:rPr/>
      </w:pPr>
      <w:r>
        <w:rPr/>
        <w:t>B</w:t>
      </w:r>
    </w:p>
    <w:p>
      <w:pPr>
        <w:pStyle w:val="BodyText"/>
        <w:numPr>
          <w:ilvl w:val="0"/>
          <w:numId w:val="4"/>
        </w:numPr>
        <w:tabs>
          <w:tab w:val="clear" w:pos="709"/>
          <w:tab w:val="left" w:pos="0" w:leader="none"/>
        </w:tabs>
        <w:ind w:hanging="283" w:start="709"/>
        <w:rPr/>
      </w:pPr>
      <w:r>
        <w:rPr/>
        <w:t>B</w:t>
      </w:r>
    </w:p>
    <w:p>
      <w:pPr>
        <w:pStyle w:val="BodyText"/>
        <w:numPr>
          <w:ilvl w:val="0"/>
          <w:numId w:val="4"/>
        </w:numPr>
        <w:tabs>
          <w:tab w:val="clear" w:pos="709"/>
          <w:tab w:val="left" w:pos="0" w:leader="none"/>
        </w:tabs>
        <w:ind w:hanging="283" w:start="709"/>
        <w:rPr/>
      </w:pPr>
      <w:r>
        <w:rPr/>
        <w:t>C</w:t>
      </w:r>
    </w:p>
    <w:p>
      <w:pPr>
        <w:pStyle w:val="BodyText"/>
        <w:numPr>
          <w:ilvl w:val="0"/>
          <w:numId w:val="4"/>
        </w:numPr>
        <w:tabs>
          <w:tab w:val="clear" w:pos="709"/>
          <w:tab w:val="left" w:pos="0" w:leader="none"/>
        </w:tabs>
        <w:ind w:hanging="283" w:start="709"/>
        <w:rPr/>
      </w:pPr>
      <w:r>
        <w:rPr/>
        <w:t>Less than 5 millimetres</w:t>
      </w:r>
    </w:p>
    <w:p>
      <w:pPr>
        <w:pStyle w:val="BodyText"/>
        <w:numPr>
          <w:ilvl w:val="0"/>
          <w:numId w:val="4"/>
        </w:numPr>
        <w:tabs>
          <w:tab w:val="clear" w:pos="709"/>
          <w:tab w:val="left" w:pos="0" w:leader="none"/>
        </w:tabs>
        <w:ind w:hanging="283" w:start="709"/>
        <w:rPr/>
      </w:pPr>
      <w:r>
        <w:rPr/>
        <w:t>Cosmetic microbeads</w:t>
      </w:r>
    </w:p>
    <w:p>
      <w:pPr>
        <w:pStyle w:val="BodyText"/>
        <w:numPr>
          <w:ilvl w:val="0"/>
          <w:numId w:val="4"/>
        </w:numPr>
        <w:tabs>
          <w:tab w:val="clear" w:pos="709"/>
          <w:tab w:val="left" w:pos="0" w:leader="none"/>
        </w:tabs>
        <w:ind w:hanging="283" w:start="709"/>
        <w:rPr/>
      </w:pPr>
      <w:r>
        <w:rPr/>
        <w:t>Sunlight (or mechanical abrasion)</w:t>
      </w:r>
    </w:p>
    <w:p>
      <w:pPr>
        <w:pStyle w:val="BodyText"/>
        <w:numPr>
          <w:ilvl w:val="0"/>
          <w:numId w:val="4"/>
        </w:numPr>
        <w:tabs>
          <w:tab w:val="clear" w:pos="709"/>
          <w:tab w:val="left" w:pos="0" w:leader="none"/>
        </w:tabs>
        <w:ind w:hanging="283" w:start="709"/>
        <w:rPr/>
      </w:pPr>
      <w:r>
        <w:rPr/>
        <w:t>Plankton, shellfish, fish (any valid group from text)</w:t>
      </w:r>
    </w:p>
    <w:p>
      <w:pPr>
        <w:pStyle w:val="BodyText"/>
        <w:numPr>
          <w:ilvl w:val="0"/>
          <w:numId w:val="4"/>
        </w:numPr>
        <w:tabs>
          <w:tab w:val="clear" w:pos="709"/>
          <w:tab w:val="left" w:pos="0" w:leader="none"/>
        </w:tabs>
        <w:ind w:hanging="283" w:start="709"/>
        <w:rPr/>
      </w:pPr>
      <w:r>
        <w:rPr/>
        <w:t>Toxic chemicals</w:t>
      </w:r>
    </w:p>
    <w:p>
      <w:pPr>
        <w:pStyle w:val="BodyText"/>
        <w:numPr>
          <w:ilvl w:val="0"/>
          <w:numId w:val="4"/>
        </w:numPr>
        <w:tabs>
          <w:tab w:val="clear" w:pos="709"/>
          <w:tab w:val="left" w:pos="0" w:leader="none"/>
        </w:tabs>
        <w:ind w:hanging="283" w:start="709"/>
        <w:rPr/>
      </w:pPr>
      <w:r>
        <w:rPr/>
        <w:t>Nanoplastics</w:t>
      </w:r>
    </w:p>
    <w:p>
      <w:pPr>
        <w:pStyle w:val="BodyText"/>
        <w:numPr>
          <w:ilvl w:val="0"/>
          <w:numId w:val="4"/>
        </w:numPr>
        <w:tabs>
          <w:tab w:val="clear" w:pos="709"/>
          <w:tab w:val="left" w:pos="0" w:leader="none"/>
        </w:tabs>
        <w:ind w:hanging="283" w:start="709"/>
        <w:rPr/>
      </w:pPr>
      <w:r>
        <w:rPr/>
        <w:t>Cosmetics</w:t>
      </w:r>
    </w:p>
    <w:p>
      <w:pPr>
        <w:pStyle w:val="BodyText"/>
        <w:numPr>
          <w:ilvl w:val="0"/>
          <w:numId w:val="4"/>
        </w:numPr>
        <w:tabs>
          <w:tab w:val="clear" w:pos="709"/>
          <w:tab w:val="left" w:pos="0" w:leader="none"/>
        </w:tabs>
        <w:ind w:hanging="283" w:start="709"/>
        <w:rPr/>
      </w:pPr>
      <w:r>
        <w:rPr/>
        <w:t>Extended producer-responsibility schemes</w:t>
      </w:r>
    </w:p>
    <w:p>
      <w:pPr>
        <w:pStyle w:val="BodyText"/>
        <w:numPr>
          <w:ilvl w:val="0"/>
          <w:numId w:val="4"/>
        </w:numPr>
        <w:tabs>
          <w:tab w:val="clear" w:pos="709"/>
          <w:tab w:val="left" w:pos="0" w:leader="none"/>
        </w:tabs>
        <w:ind w:hanging="283" w:start="709"/>
        <w:rPr/>
      </w:pPr>
      <w:r>
        <w:rPr/>
        <w:t>Plastics degrade extremely slowly</w:t>
      </w:r>
    </w:p>
    <w:p>
      <w:pPr>
        <w:pStyle w:val="BodyText"/>
        <w:numPr>
          <w:ilvl w:val="0"/>
          <w:numId w:val="4"/>
        </w:numPr>
        <w:tabs>
          <w:tab w:val="clear" w:pos="709"/>
          <w:tab w:val="left" w:pos="0" w:leader="none"/>
        </w:tabs>
        <w:ind w:hanging="283" w:start="709"/>
        <w:rPr/>
      </w:pPr>
      <w:r>
        <w:rPr/>
        <w:t>Hormone disruption</w:t>
      </w:r>
    </w:p>
    <w:p>
      <w:pPr>
        <w:pStyle w:val="Heading2"/>
        <w:spacing w:lineRule="auto" w:line="276" w:before="0" w:after="140"/>
        <w:rPr>
          <w:b w:val="false"/>
          <w:bCs w:val="false"/>
          <w:sz w:val="24"/>
          <w:szCs w:val="24"/>
        </w:rPr>
      </w:pPr>
      <w:r>
        <w:rPr>
          <w:rStyle w:val="Strong"/>
          <w:b/>
          <w:bCs/>
          <w:sz w:val="24"/>
          <w:szCs w:val="24"/>
        </w:rPr>
        <w:t>Passage 3 (28–40)</w:t>
      </w:r>
    </w:p>
    <w:p>
      <w:pPr>
        <w:pStyle w:val="BodyText"/>
        <w:numPr>
          <w:ilvl w:val="0"/>
          <w:numId w:val="5"/>
        </w:numPr>
        <w:tabs>
          <w:tab w:val="clear" w:pos="709"/>
          <w:tab w:val="left" w:pos="0" w:leader="none"/>
        </w:tabs>
        <w:ind w:hanging="283" w:start="709"/>
        <w:rPr/>
      </w:pPr>
      <w:r>
        <w:rPr/>
        <w:t>Battery efficiency</w:t>
      </w:r>
    </w:p>
    <w:p>
      <w:pPr>
        <w:pStyle w:val="BodyText"/>
        <w:numPr>
          <w:ilvl w:val="0"/>
          <w:numId w:val="5"/>
        </w:numPr>
        <w:tabs>
          <w:tab w:val="clear" w:pos="709"/>
          <w:tab w:val="left" w:pos="0" w:leader="none"/>
        </w:tabs>
        <w:ind w:hanging="283" w:start="709"/>
        <w:rPr/>
      </w:pPr>
      <w:r>
        <w:rPr/>
        <w:t>Tailpipe emissions</w:t>
      </w:r>
    </w:p>
    <w:p>
      <w:pPr>
        <w:pStyle w:val="BodyText"/>
        <w:numPr>
          <w:ilvl w:val="0"/>
          <w:numId w:val="5"/>
        </w:numPr>
        <w:tabs>
          <w:tab w:val="clear" w:pos="709"/>
          <w:tab w:val="left" w:pos="0" w:leader="none"/>
        </w:tabs>
        <w:ind w:hanging="283" w:start="709"/>
        <w:rPr/>
      </w:pPr>
      <w:r>
        <w:rPr/>
        <w:t>They do not reduce traffic volume</w:t>
      </w:r>
    </w:p>
    <w:p>
      <w:pPr>
        <w:pStyle w:val="BodyText"/>
        <w:numPr>
          <w:ilvl w:val="0"/>
          <w:numId w:val="5"/>
        </w:numPr>
        <w:tabs>
          <w:tab w:val="clear" w:pos="709"/>
          <w:tab w:val="left" w:pos="0" w:leader="none"/>
        </w:tabs>
        <w:ind w:hanging="283" w:start="709"/>
        <w:rPr/>
      </w:pPr>
      <w:r>
        <w:rPr/>
        <w:t>Metro / rapid-bus corridor / light-rail</w:t>
      </w:r>
    </w:p>
    <w:p>
      <w:pPr>
        <w:pStyle w:val="BodyText"/>
        <w:numPr>
          <w:ilvl w:val="0"/>
          <w:numId w:val="5"/>
        </w:numPr>
        <w:tabs>
          <w:tab w:val="clear" w:pos="709"/>
          <w:tab w:val="left" w:pos="0" w:leader="none"/>
        </w:tabs>
        <w:ind w:hanging="283" w:start="709"/>
        <w:rPr/>
      </w:pPr>
      <w:r>
        <w:rPr/>
        <w:t>Micromobility (e-bikes, bikes, e-scooters)</w:t>
      </w:r>
    </w:p>
    <w:p>
      <w:pPr>
        <w:pStyle w:val="BodyText"/>
        <w:numPr>
          <w:ilvl w:val="0"/>
          <w:numId w:val="5"/>
        </w:numPr>
        <w:tabs>
          <w:tab w:val="clear" w:pos="709"/>
          <w:tab w:val="left" w:pos="0" w:leader="none"/>
        </w:tabs>
        <w:ind w:hanging="283" w:start="709"/>
        <w:rPr/>
      </w:pPr>
      <w:r>
        <w:rPr/>
        <w:t>Cluttered sidewalks / safety issues / high maintenance</w:t>
      </w:r>
    </w:p>
    <w:p>
      <w:pPr>
        <w:pStyle w:val="BodyText"/>
        <w:numPr>
          <w:ilvl w:val="0"/>
          <w:numId w:val="5"/>
        </w:numPr>
        <w:tabs>
          <w:tab w:val="clear" w:pos="709"/>
          <w:tab w:val="left" w:pos="0" w:leader="none"/>
        </w:tabs>
        <w:ind w:hanging="283" w:start="709"/>
        <w:rPr/>
      </w:pPr>
      <w:r>
        <w:rPr/>
        <w:t>Standards for fleet size, parking zones, data-sharing</w:t>
      </w:r>
    </w:p>
    <w:p>
      <w:pPr>
        <w:pStyle w:val="BodyText"/>
        <w:numPr>
          <w:ilvl w:val="0"/>
          <w:numId w:val="5"/>
        </w:numPr>
        <w:tabs>
          <w:tab w:val="clear" w:pos="709"/>
          <w:tab w:val="left" w:pos="0" w:leader="none"/>
        </w:tabs>
        <w:ind w:hanging="283" w:start="709"/>
        <w:rPr/>
      </w:pPr>
      <w:r>
        <w:rPr/>
        <w:t>Optimizing traffic flow</w:t>
      </w:r>
    </w:p>
    <w:p>
      <w:pPr>
        <w:pStyle w:val="BodyText"/>
        <w:numPr>
          <w:ilvl w:val="0"/>
          <w:numId w:val="5"/>
        </w:numPr>
        <w:tabs>
          <w:tab w:val="clear" w:pos="709"/>
          <w:tab w:val="left" w:pos="0" w:leader="none"/>
        </w:tabs>
        <w:ind w:hanging="283" w:start="709"/>
        <w:rPr/>
      </w:pPr>
      <w:r>
        <w:rPr/>
        <w:t>Increased congestion</w:t>
      </w:r>
    </w:p>
    <w:p>
      <w:pPr>
        <w:pStyle w:val="BodyText"/>
        <w:numPr>
          <w:ilvl w:val="0"/>
          <w:numId w:val="5"/>
        </w:numPr>
        <w:tabs>
          <w:tab w:val="clear" w:pos="709"/>
          <w:tab w:val="left" w:pos="0" w:leader="none"/>
        </w:tabs>
        <w:ind w:hanging="283" w:start="709"/>
        <w:rPr/>
      </w:pPr>
      <w:r>
        <w:rPr/>
        <w:t>Land-use decisions</w:t>
      </w:r>
    </w:p>
    <w:p>
      <w:pPr>
        <w:pStyle w:val="BodyText"/>
        <w:numPr>
          <w:ilvl w:val="0"/>
          <w:numId w:val="5"/>
        </w:numPr>
        <w:tabs>
          <w:tab w:val="clear" w:pos="709"/>
          <w:tab w:val="left" w:pos="0" w:leader="none"/>
        </w:tabs>
        <w:ind w:hanging="283" w:start="709"/>
        <w:rPr/>
      </w:pPr>
      <w:r>
        <w:rPr/>
        <w:t>Congestion pricing</w:t>
      </w:r>
    </w:p>
    <w:p>
      <w:pPr>
        <w:pStyle w:val="BodyText"/>
        <w:numPr>
          <w:ilvl w:val="0"/>
          <w:numId w:val="5"/>
        </w:numPr>
        <w:tabs>
          <w:tab w:val="clear" w:pos="709"/>
          <w:tab w:val="left" w:pos="0" w:leader="none"/>
        </w:tabs>
        <w:ind w:hanging="283" w:start="709"/>
        <w:rPr/>
      </w:pPr>
      <w:r>
        <w:rPr/>
        <w:t>Pedestrian-only zones</w:t>
      </w:r>
    </w:p>
    <w:p>
      <w:pPr>
        <w:pStyle w:val="BodyText"/>
        <w:numPr>
          <w:ilvl w:val="0"/>
          <w:numId w:val="5"/>
        </w:numPr>
        <w:tabs>
          <w:tab w:val="clear" w:pos="709"/>
          <w:tab w:val="left" w:pos="0" w:leader="none"/>
        </w:tabs>
        <w:ind w:hanging="283" w:start="709"/>
        <w:rPr/>
      </w:pPr>
      <w:r>
        <w:rPr/>
        <w:t>Strategic planning</w:t>
      </w:r>
    </w:p>
    <w:p>
      <w:pPr>
        <w:pStyle w:val="HorizontalLine"/>
        <w:spacing w:lineRule="auto" w:line="276" w:before="0" w:after="140"/>
        <w:rPr>
          <w:sz w:val="24"/>
          <w:szCs w:val="24"/>
        </w:rPr>
      </w:pPr>
      <w:r>
        <w:rPr>
          <w:sz w:val="24"/>
          <w:szCs w:val="24"/>
        </w:rPr>
      </w:r>
    </w:p>
    <w:p>
      <w:pPr>
        <w:pStyle w:val="BodyText"/>
        <w:bidi w:val="0"/>
        <w:spacing w:before="0" w:after="140"/>
        <w:rPr>
          <w:rStyle w:val="Strong"/>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Inter">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28"/>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urce Han Sans CN"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urce Han Sans CN" w:cs="Noto Sans Devanagari"/>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LibreOffice/25.8.3.2$Linux_X86_64 LibreOffice_project/580$Build-2</Application>
  <AppVersion>15.0000</AppVersion>
  <Pages>6</Pages>
  <Words>1533</Words>
  <Characters>8197</Characters>
  <CharactersWithSpaces>9565</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2025-12-02T09:58:02Z</dcterms:created>
  <dc:creator/>
  <dc:description/>
  <dc:language>en-US</dc:language>
  <cp:lastModifiedBy/>
  <dcterms:modified xsi:type="dcterms:W3CDTF">2025-12-02T11:19:09Z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