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widowControl/>
        <w:numPr>
          <w:ilvl w:val="0"/>
          <w:numId w:val="2"/>
        </w:numPr>
        <w:bidi w:val="0"/>
        <w:spacing w:lineRule="auto" w:line="240" w:before="240" w:after="120"/>
        <w:ind w:hanging="0" w:start="0" w:end="0"/>
        <w:jc w:val="center"/>
        <w:rPr/>
      </w:pPr>
      <w:r>
        <w:rPr>
          <w:rStyle w:val="Strong"/>
          <w:rFonts w:ascii="Aldine721 BT" w:hAnsi="Aldine721 BT"/>
          <w:b w:val="false"/>
          <w:bCs w:val="false"/>
          <w:i w:val="false"/>
          <w:iCs w:val="false"/>
          <w:caps w:val="false"/>
          <w:smallCaps w:val="false"/>
          <w:color w:val="093061"/>
          <w:spacing w:val="0"/>
          <w:sz w:val="82"/>
          <w:szCs w:val="82"/>
        </w:rPr>
        <w:t>America in 177</w:t>
      </w:r>
      <w:r>
        <w:drawing>
          <wp:anchor distT="0" distB="0" distL="0" distR="0" simplePos="0" relativeHeight="2" behindDoc="0" locked="0" layoutInCell="1" allowOverlap="1">
            <wp:simplePos x="0" y="0"/>
            <wp:positionH relativeFrom="column">
              <wp:posOffset>0</wp:posOffset>
            </wp:positionH>
            <wp:positionV relativeFrom="paragraph">
              <wp:posOffset>-6350</wp:posOffset>
            </wp:positionV>
            <wp:extent cx="895350" cy="895350"/>
            <wp:effectExtent l="0" t="0" r="0" b="0"/>
            <wp:wrapNone/>
            <wp:docPr id="1" name="Image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2"/>
                    <pic:cNvPicPr>
                      <a:picLocks noChangeAspect="1" noChangeArrowheads="1"/>
                    </pic:cNvPicPr>
                  </pic:nvPicPr>
                  <pic:blipFill>
                    <a:blip r:embed="rId2"/>
                    <a:stretch>
                      <a:fillRect/>
                    </a:stretch>
                  </pic:blipFill>
                  <pic:spPr bwMode="auto">
                    <a:xfrm>
                      <a:off x="0" y="0"/>
                      <a:ext cx="895350" cy="895350"/>
                    </a:xfrm>
                    <a:prstGeom prst="rect">
                      <a:avLst/>
                    </a:prstGeom>
                    <a:noFill/>
                  </pic:spPr>
                </pic:pic>
              </a:graphicData>
            </a:graphic>
          </wp:anchor>
        </w:drawing>
        <mc:AlternateContent>
          <mc:Choice Requires="wps">
            <w:drawing>
              <wp:anchor distT="635" distB="0" distL="0" distR="0" simplePos="0" relativeHeight="4" behindDoc="0" locked="0" layoutInCell="1" allowOverlap="1">
                <wp:simplePos x="0" y="0"/>
                <wp:positionH relativeFrom="column">
                  <wp:align>right</wp:align>
                </wp:positionH>
                <wp:positionV relativeFrom="paragraph">
                  <wp:posOffset>255270</wp:posOffset>
                </wp:positionV>
                <wp:extent cx="1174750" cy="474345"/>
                <wp:effectExtent l="0" t="635" r="0" b="0"/>
                <wp:wrapNone/>
                <wp:docPr id="2" name="Text Frame 1"/>
                <a:graphic xmlns:a="http://schemas.openxmlformats.org/drawingml/2006/main">
                  <a:graphicData uri="http://schemas.microsoft.com/office/word/2010/wordprocessingShape">
                    <wps:wsp>
                      <wps:cNvSpPr/>
                      <wps:spPr>
                        <a:xfrm>
                          <a:off x="0" y="0"/>
                          <a:ext cx="1174680" cy="474480"/>
                        </a:xfrm>
                        <a:prstGeom prst="rect">
                          <a:avLst/>
                        </a:prstGeom>
                        <a:noFill/>
                        <a:ln w="54720">
                          <a:noFill/>
                        </a:ln>
                      </wps:spPr>
                      <wps:style>
                        <a:lnRef idx="0"/>
                        <a:fillRef idx="0"/>
                        <a:effectRef idx="0"/>
                        <a:fontRef idx="minor"/>
                      </wps:style>
                      <wps:txbx>
                        <w:txbxContent>
                          <w:p>
                            <w:pPr>
                              <w:pStyle w:val="FrameContents"/>
                              <w:bidi w:val="0"/>
                              <w:spacing w:lineRule="auto" w:line="240"/>
                              <w:jc w:val="end"/>
                              <w:rPr/>
                            </w:pPr>
                            <w:r>
                              <w:rPr>
                                <w:rFonts w:eastAsia="Arial Unicode MS" w:cs="Arial" w:ascii="Arial" w:hAnsi="Arial"/>
                                <w:color w:val="808080"/>
                                <w:sz w:val="20"/>
                                <w:szCs w:val="20"/>
                              </w:rPr>
                              <w:t>Teacher</w:t>
                            </w:r>
                          </w:p>
                          <w:p>
                            <w:pPr>
                              <w:pStyle w:val="FrameContents"/>
                              <w:bidi w:val="0"/>
                              <w:spacing w:lineRule="auto" w:line="240"/>
                              <w:jc w:val="end"/>
                              <w:rPr/>
                            </w:pPr>
                            <w:r>
                              <w:rPr>
                                <w:rFonts w:eastAsia="Arial Unicode MS" w:cs="Arial" w:ascii="Arial" w:hAnsi="Arial"/>
                                <w:color w:val="808080"/>
                                <w:sz w:val="20"/>
                                <w:szCs w:val="20"/>
                              </w:rPr>
                              <w:t>Renan Grossi</w:t>
                            </w:r>
                          </w:p>
                          <w:p>
                            <w:pPr>
                              <w:pStyle w:val="FrameContents"/>
                              <w:bidi w:val="0"/>
                              <w:spacing w:lineRule="auto" w:line="240"/>
                              <w:jc w:val="end"/>
                              <w:rPr/>
                            </w:pPr>
                            <w:r>
                              <w:rPr>
                                <w:rFonts w:eastAsia="Arial Unicode MS" w:cs="Arial" w:ascii="Arial" w:hAnsi="Arial"/>
                                <w:color w:val="808080"/>
                                <w:sz w:val="20"/>
                                <w:szCs w:val="20"/>
                              </w:rPr>
                              <w:t>(51) 98135 3067</w:t>
                            </w:r>
                          </w:p>
                        </w:txbxContent>
                      </wps:txbx>
                      <wps:bodyPr lIns="0" tIns="0" rIns="0" bIns="0" anchor="t">
                        <a:noAutofit/>
                      </wps:bodyPr>
                    </wps:wsp>
                  </a:graphicData>
                </a:graphic>
              </wp:anchor>
            </w:drawing>
          </mc:Choice>
          <mc:Fallback>
            <w:pict>
              <v:rect id="shape_0" stroked="f" o:allowincell="f" style="position:absolute;margin-left:389.15pt;margin-top:20.1pt;width:92.45pt;height:37.3pt;mso-wrap-style:square;v-text-anchor:top;mso-position-horizontal:right">
                <v:fill o:detectmouseclick="t" on="false"/>
                <v:stroke color="#3465a4" weight="54720" joinstyle="round" endcap="flat"/>
                <v:textbox>
                  <w:txbxContent>
                    <w:p>
                      <w:pPr>
                        <w:pStyle w:val="FrameContents"/>
                        <w:bidi w:val="0"/>
                        <w:spacing w:lineRule="auto" w:line="240"/>
                        <w:jc w:val="end"/>
                        <w:rPr/>
                      </w:pPr>
                      <w:r>
                        <w:rPr>
                          <w:rFonts w:eastAsia="Arial Unicode MS" w:cs="Arial" w:ascii="Arial" w:hAnsi="Arial"/>
                          <w:color w:val="808080"/>
                          <w:sz w:val="20"/>
                          <w:szCs w:val="20"/>
                        </w:rPr>
                        <w:t>Teacher</w:t>
                      </w:r>
                    </w:p>
                    <w:p>
                      <w:pPr>
                        <w:pStyle w:val="FrameContents"/>
                        <w:bidi w:val="0"/>
                        <w:spacing w:lineRule="auto" w:line="240"/>
                        <w:jc w:val="end"/>
                        <w:rPr/>
                      </w:pPr>
                      <w:r>
                        <w:rPr>
                          <w:rFonts w:eastAsia="Arial Unicode MS" w:cs="Arial" w:ascii="Arial" w:hAnsi="Arial"/>
                          <w:color w:val="808080"/>
                          <w:sz w:val="20"/>
                          <w:szCs w:val="20"/>
                        </w:rPr>
                        <w:t>Renan Grossi</w:t>
                      </w:r>
                    </w:p>
                    <w:p>
                      <w:pPr>
                        <w:pStyle w:val="FrameContents"/>
                        <w:bidi w:val="0"/>
                        <w:spacing w:lineRule="auto" w:line="240"/>
                        <w:jc w:val="end"/>
                        <w:rPr/>
                      </w:pPr>
                      <w:r>
                        <w:rPr>
                          <w:rFonts w:eastAsia="Arial Unicode MS" w:cs="Arial" w:ascii="Arial" w:hAnsi="Arial"/>
                          <w:color w:val="808080"/>
                          <w:sz w:val="20"/>
                          <w:szCs w:val="20"/>
                        </w:rPr>
                        <w:t>(51) 98135 3067</w:t>
                      </w:r>
                    </w:p>
                  </w:txbxContent>
                </v:textbox>
                <w10:wrap type="none"/>
              </v:rect>
            </w:pict>
          </mc:Fallback>
        </mc:AlternateContent>
      </w:r>
      <w:r>
        <w:rPr>
          <w:rStyle w:val="Strong"/>
          <w:rFonts w:ascii="Aldine721 BT" w:hAnsi="Aldine721 BT"/>
          <w:b w:val="false"/>
          <w:bCs w:val="false"/>
          <w:i w:val="false"/>
          <w:iCs w:val="false"/>
          <w:caps w:val="false"/>
          <w:smallCaps w:val="false"/>
          <w:color w:val="093061"/>
          <w:spacing w:val="0"/>
          <w:sz w:val="82"/>
          <w:szCs w:val="82"/>
        </w:rPr>
        <w:t>6</w:t>
      </w:r>
    </w:p>
    <w:p>
      <w:pPr>
        <w:pStyle w:val="BodyText"/>
        <w:bidi w:val="0"/>
        <w:rPr>
          <w:rFonts w:ascii="Aldine721 BT" w:hAnsi="Aldine721 BT"/>
        </w:rPr>
      </w:pPr>
      <w:r>
        <w:rPr>
          <w:rFonts w:ascii="Aldine721 BT" w:hAnsi="Aldine721 BT"/>
        </w:rPr>
        <mc:AlternateContent>
          <mc:Choice Requires="wps">
            <w:drawing>
              <wp:anchor distT="18415" distB="18415" distL="18415" distR="18415" simplePos="0" relativeHeight="3" behindDoc="0" locked="0" layoutInCell="1" allowOverlap="1">
                <wp:simplePos x="0" y="0"/>
                <wp:positionH relativeFrom="column">
                  <wp:align>center</wp:align>
                </wp:positionH>
                <wp:positionV relativeFrom="paragraph">
                  <wp:posOffset>184150</wp:posOffset>
                </wp:positionV>
                <wp:extent cx="6635750" cy="635"/>
                <wp:effectExtent l="18415" t="18415" r="18415" b="18415"/>
                <wp:wrapNone/>
                <wp:docPr id="3" name="Horizontal line 1"/>
                <a:graphic xmlns:a="http://schemas.openxmlformats.org/drawingml/2006/main">
                  <a:graphicData uri="http://schemas.microsoft.com/office/word/2010/wordprocessingShape">
                    <wps:wsp>
                      <wps:cNvSpPr/>
                      <wps:spPr>
                        <a:xfrm>
                          <a:off x="0" y="0"/>
                          <a:ext cx="6635880" cy="720"/>
                        </a:xfrm>
                        <a:prstGeom prst="line">
                          <a:avLst/>
                        </a:prstGeom>
                        <a:ln cap="rnd" w="36720">
                          <a:solidFill>
                            <a:srgbClr val="093061"/>
                          </a:solidFill>
                          <a:round/>
                        </a:ln>
                      </wps:spPr>
                      <wps:style>
                        <a:lnRef idx="0"/>
                        <a:fillRef idx="0"/>
                        <a:effectRef idx="0"/>
                        <a:fontRef idx="minor"/>
                      </wps:style>
                      <wps:bodyPr/>
                    </wps:wsp>
                  </a:graphicData>
                </a:graphic>
              </wp:anchor>
            </w:drawing>
          </mc:Choice>
          <mc:Fallback>
            <w:pict>
              <v:line id="shape_0" from="-20.4pt,14.5pt" to="502.05pt,14.5pt" stroked="t" o:allowincell="f" style="position:absolute;mso-position-horizontal:center">
                <v:stroke color="#093061" weight="36720" joinstyle="round" endcap="round"/>
                <v:fill o:detectmouseclick="t" on="false"/>
                <w10:wrap type="none"/>
              </v:line>
            </w:pict>
          </mc:Fallback>
        </mc:AlternateContent>
      </w:r>
    </w:p>
    <w:p>
      <w:pPr>
        <w:pStyle w:val="BodyText"/>
        <w:bidi w:val="0"/>
        <w:rPr>
          <w:rFonts w:ascii="Aldine721 BT" w:hAnsi="Aldine721 BT"/>
          <w:b w:val="false"/>
          <w:bCs w:val="false"/>
        </w:rPr>
      </w:pPr>
      <w:r>
        <w:rPr>
          <w:rFonts w:ascii="Aldine721 BT" w:hAnsi="Aldine721 BT"/>
          <w:b w:val="false"/>
          <w:bCs w:val="false"/>
        </w:rPr>
        <mc:AlternateContent>
          <mc:Choice Requires="wps">
            <w:drawing>
              <wp:anchor distT="18415" distB="18415" distL="18415" distR="18415" simplePos="0" relativeHeight="6" behindDoc="0" locked="0" layoutInCell="1" allowOverlap="1">
                <wp:simplePos x="0" y="0"/>
                <wp:positionH relativeFrom="column">
                  <wp:align>center</wp:align>
                </wp:positionH>
                <wp:positionV relativeFrom="paragraph">
                  <wp:posOffset>-55880</wp:posOffset>
                </wp:positionV>
                <wp:extent cx="6635750" cy="635"/>
                <wp:effectExtent l="18415" t="18415" r="18415" b="18415"/>
                <wp:wrapNone/>
                <wp:docPr id="4" name="Horizontal line 2"/>
                <a:graphic xmlns:a="http://schemas.openxmlformats.org/drawingml/2006/main">
                  <a:graphicData uri="http://schemas.microsoft.com/office/word/2010/wordprocessingShape">
                    <wps:wsp>
                      <wps:cNvSpPr/>
                      <wps:spPr>
                        <a:xfrm>
                          <a:off x="0" y="0"/>
                          <a:ext cx="6635880" cy="720"/>
                        </a:xfrm>
                        <a:prstGeom prst="line">
                          <a:avLst/>
                        </a:prstGeom>
                        <a:ln cap="rnd" w="36720">
                          <a:solidFill>
                            <a:srgbClr val="B31941"/>
                          </a:solidFill>
                          <a:round/>
                        </a:ln>
                      </wps:spPr>
                      <wps:style>
                        <a:lnRef idx="0"/>
                        <a:fillRef idx="0"/>
                        <a:effectRef idx="0"/>
                        <a:fontRef idx="minor"/>
                      </wps:style>
                      <wps:bodyPr/>
                    </wps:wsp>
                  </a:graphicData>
                </a:graphic>
              </wp:anchor>
            </w:drawing>
          </mc:Choice>
          <mc:Fallback>
            <w:pict>
              <v:line id="shape_0" from="-20.4pt,-4.4pt" to="502.05pt,-4.4pt" stroked="t" o:allowincell="f" style="position:absolute;mso-position-horizontal:center">
                <v:stroke color="#b31941" weight="36720" joinstyle="round" endcap="round"/>
                <v:fill o:detectmouseclick="t" on="false"/>
                <w10:wrap type="none"/>
              </v:line>
            </w:pict>
          </mc:Fallback>
        </mc:AlternateContent>
      </w:r>
    </w:p>
    <w:p>
      <w:pPr>
        <w:pStyle w:val="BodyText"/>
        <w:jc w:val="center"/>
        <w:rPr>
          <w:sz w:val="48"/>
          <w:szCs w:val="48"/>
        </w:rPr>
      </w:pPr>
      <w:r>
        <w:rPr>
          <w:rFonts w:ascii="Aldine721 BT" w:hAnsi="Aldine721 BT"/>
          <w:b/>
          <w:sz w:val="48"/>
          <w:szCs w:val="48"/>
        </w:rPr>
        <w:t>The Distinctive Path of the United States: Revolutionary Origins, Enduring Values, and Global Standing</w:t>
      </w:r>
    </w:p>
    <w:p>
      <w:pPr>
        <w:pStyle w:val="BodyText"/>
        <w:widowControl/>
        <w:suppressAutoHyphens w:val="true"/>
        <w:overflowPunct w:val="false"/>
        <w:bidi w:val="0"/>
        <w:ind w:firstLine="1440" w:start="0" w:end="0"/>
        <w:jc w:val="both"/>
        <w:rPr>
          <w:rFonts w:ascii="Aldine721 BT" w:hAnsi="Aldine721 BT"/>
          <w:sz w:val="32"/>
          <w:szCs w:val="32"/>
        </w:rPr>
      </w:pPr>
      <w:r>
        <w:rPr>
          <w:rFonts w:ascii="Aldine721 BT" w:hAnsi="Aldine721 BT"/>
          <w:sz w:val="32"/>
          <w:szCs w:val="32"/>
        </w:rPr>
        <w:t>In 1776, while the great majority of the world’s population lived under hereditary monarchs, empires, or rigid hierarchical systems, thirteen British colonies along the eastern seaboard of North America issued a document that challenged the prevailing political order. The Declaration of Independence asserted that governments derive their just powers from the consent of the governed and that individuals possess unalienable rights to life, liberty, and the pursuit of happiness. This was not merely a local rebellion against taxes or distant administration; it was a radical experiment in self-government rooted in Enlightenment thought. The contrast with the rest of the contemporary world could hardly have been sharper, and the subsequent development of the United States has continued to reflect both the power and the tensions inherent in those founding ideals.</w:t>
      </w:r>
    </w:p>
    <w:p>
      <w:pPr>
        <w:pStyle w:val="Heading3"/>
        <w:widowControl/>
        <w:suppressAutoHyphens w:val="true"/>
        <w:overflowPunct w:val="false"/>
        <w:bidi w:val="0"/>
        <w:ind w:firstLine="1440" w:start="0" w:end="0"/>
        <w:jc w:val="both"/>
        <w:rPr>
          <w:rFonts w:ascii="Aldine721 BT" w:hAnsi="Aldine721 BT"/>
          <w:sz w:val="36"/>
          <w:szCs w:val="36"/>
        </w:rPr>
      </w:pPr>
      <w:r>
        <w:rPr>
          <w:rFonts w:ascii="Aldine721 BT" w:hAnsi="Aldine721 BT"/>
          <w:sz w:val="36"/>
          <w:szCs w:val="36"/>
        </w:rPr>
        <w:t>The World of 1776 and America’s Departure from It</w:t>
      </w:r>
    </w:p>
    <w:p>
      <w:pPr>
        <w:pStyle w:val="BodyText"/>
        <w:widowControl/>
        <w:suppressAutoHyphens w:val="true"/>
        <w:overflowPunct w:val="false"/>
        <w:bidi w:val="0"/>
        <w:ind w:firstLine="1440" w:start="0" w:end="0"/>
        <w:jc w:val="both"/>
        <w:rPr>
          <w:rFonts w:ascii="Aldine721 BT" w:hAnsi="Aldine721 BT"/>
          <w:sz w:val="32"/>
          <w:szCs w:val="32"/>
        </w:rPr>
      </w:pPr>
      <w:r>
        <w:rPr>
          <w:rFonts w:ascii="Aldine721 BT" w:hAnsi="Aldine721 BT"/>
          <w:sz w:val="32"/>
          <w:szCs w:val="32"/>
        </w:rPr>
        <w:t>Most of Europe remained dominated by absolute or semi-absolute monarchies. France was ruled by Louis XVI under the doctrine of divine right; the Russian Empire was expanding under Catherine the Great; the Habsburgs and the Ottoman sultans governed multi-ethnic territories with little notion of popular sovereignty. In East Asia the Qing dynasty administered a vast Confucian bureaucracy that emphasized hierarchy and continuity rather than individual rights. Large parts of Africa, the Middle East, and South Asia were organized around kingdoms, tribal structures, or imperial systems in which political authority flowed downward from rulers rather than upward from citizens. Even Britain, the most constitutionally advanced European power, still combined monarchy with a parliament that represented a narrow propertied elite.</w:t>
      </w:r>
    </w:p>
    <w:p>
      <w:pPr>
        <w:pStyle w:val="BodyText"/>
        <w:widowControl/>
        <w:suppressAutoHyphens w:val="true"/>
        <w:overflowPunct w:val="false"/>
        <w:bidi w:val="0"/>
        <w:ind w:firstLine="1440" w:start="0" w:end="0"/>
        <w:jc w:val="both"/>
        <w:rPr>
          <w:rFonts w:ascii="Aldine721 BT" w:hAnsi="Aldine721 BT"/>
          <w:sz w:val="32"/>
          <w:szCs w:val="32"/>
        </w:rPr>
      </w:pPr>
      <w:r>
        <w:rPr>
          <w:rFonts w:ascii="Aldine721 BT" w:hAnsi="Aldine721 BT"/>
          <w:sz w:val="32"/>
          <w:szCs w:val="32"/>
        </w:rPr>
        <w:t>Against this backdrop, the American colonies advanced a different set of principles. Drawing on John Locke’s ideas of natural rights and the social contract, as well as Montesquieu’s arguments for the separation of powers, the revolutionaries rejected the idea that legitimate authority required royal blood or divine sanction. They claimed that “all men are created equal”—a statement that, in practice, initially applied mainly to free white men of property, yet one that established an egalitarian standard against which later generations would measure the nation’s shortcomings. The new republic was to be a government of laws rather than of men, limited in scope and accountable to the people. No other large political community of the era rested its legitimacy so explicitly on these foundations.</w:t>
      </w:r>
    </w:p>
    <w:p>
      <w:pPr>
        <w:pStyle w:val="Heading3"/>
        <w:widowControl/>
        <w:suppressAutoHyphens w:val="true"/>
        <w:overflowPunct w:val="false"/>
        <w:bidi w:val="0"/>
        <w:ind w:firstLine="1440" w:start="0" w:end="0"/>
        <w:jc w:val="both"/>
        <w:rPr>
          <w:rFonts w:ascii="Aldine721 BT" w:hAnsi="Aldine721 BT"/>
          <w:sz w:val="36"/>
          <w:szCs w:val="36"/>
        </w:rPr>
      </w:pPr>
      <w:r>
        <w:rPr>
          <w:rFonts w:ascii="Aldine721 BT" w:hAnsi="Aldine721 BT"/>
          <w:sz w:val="36"/>
          <w:szCs w:val="36"/>
        </w:rPr>
        <w:t>Core Values and Their Early Institutionalization</w:t>
      </w:r>
    </w:p>
    <w:p>
      <w:pPr>
        <w:pStyle w:val="BodyText"/>
        <w:widowControl/>
        <w:suppressAutoHyphens w:val="true"/>
        <w:overflowPunct w:val="false"/>
        <w:bidi w:val="0"/>
        <w:ind w:firstLine="1440" w:start="0" w:end="0"/>
        <w:jc w:val="both"/>
        <w:rPr>
          <w:rFonts w:ascii="Aldine721 BT" w:hAnsi="Aldine721 BT"/>
          <w:sz w:val="32"/>
          <w:szCs w:val="32"/>
        </w:rPr>
      </w:pPr>
      <w:r>
        <w:rPr>
          <w:rFonts w:ascii="Aldine721 BT" w:hAnsi="Aldine721 BT"/>
          <w:sz w:val="32"/>
          <w:szCs w:val="32"/>
        </w:rPr>
        <w:t>The values articulated in 1776—individual liberty, limited government, equality before the law (as an aspiration), and popular consent—found more durable expression in the Constitution of 1787 and the Bill of Rights that followed. Federalism divided power between national and state governments; checks and balances prevented any single branch from dominating; and specific protections for speech, religion, assembly, and due process were written into the fundamental law. These arrangements were unusual. Most societies of the time either concentrated authority or left rights dependent on the goodwill of rulers.</w:t>
      </w:r>
    </w:p>
    <w:p>
      <w:pPr>
        <w:pStyle w:val="BodyText"/>
        <w:widowControl/>
        <w:suppressAutoHyphens w:val="true"/>
        <w:overflowPunct w:val="false"/>
        <w:bidi w:val="0"/>
        <w:ind w:firstLine="1440" w:start="0" w:end="0"/>
        <w:jc w:val="both"/>
        <w:rPr>
          <w:rFonts w:ascii="Aldine721 BT" w:hAnsi="Aldine721 BT"/>
          <w:sz w:val="32"/>
          <w:szCs w:val="32"/>
        </w:rPr>
      </w:pPr>
      <w:r>
        <w:rPr>
          <w:rFonts w:ascii="Aldine721 BT" w:hAnsi="Aldine721 BT"/>
          <w:sz w:val="32"/>
          <w:szCs w:val="32"/>
        </w:rPr>
        <w:t>The early republic also embodied a distinctive approach to economic and social life. Property rights and the freedom to pursue opportunity were treated as closely linked to political liberty. While slavery remained a glaring contradiction to the proclaimed ideals, the northern states gradually abolished it, and the Northwest Ordinance of 1787 prohibited slavery in new territories north of the Ohio River. Immigration, though limited by the standards of later centuries, already began to shape a society less defined by ancient bloodlines than by shared political principles and the possibility of self-advancement.</w:t>
      </w:r>
    </w:p>
    <w:p>
      <w:pPr>
        <w:pStyle w:val="Heading3"/>
        <w:widowControl/>
        <w:suppressAutoHyphens w:val="true"/>
        <w:overflowPunct w:val="false"/>
        <w:bidi w:val="0"/>
        <w:ind w:firstLine="1440" w:start="0" w:end="0"/>
        <w:jc w:val="both"/>
        <w:rPr>
          <w:rFonts w:ascii="Aldine721 BT" w:hAnsi="Aldine721 BT"/>
          <w:sz w:val="36"/>
          <w:szCs w:val="36"/>
        </w:rPr>
      </w:pPr>
      <w:r>
        <w:rPr>
          <w:rFonts w:ascii="Aldine721 BT" w:hAnsi="Aldine721 BT"/>
          <w:sz w:val="36"/>
          <w:szCs w:val="36"/>
        </w:rPr>
        <w:t>Development Across the Centuries</w:t>
      </w:r>
    </w:p>
    <w:p>
      <w:pPr>
        <w:pStyle w:val="BodyText"/>
        <w:rPr>
          <w:rFonts w:ascii="Aldine721 BT" w:hAnsi="Aldine721 BT"/>
          <w:sz w:val="32"/>
          <w:szCs w:val="32"/>
        </w:rPr>
      </w:pPr>
      <w:r>
        <w:rPr>
          <w:rFonts w:ascii="Aldine721 BT" w:hAnsi="Aldine721 BT"/>
          <w:sz w:val="32"/>
          <w:szCs w:val="32"/>
        </w:rPr>
        <w:t>The nineteenth century tested and expanded these foundations. Westward expansion brought both opportunity and profound injustice toward Native American nations. The Civil War (1861–1865) became the decisive trial of the Union and of the principle that a government dedicated to liberty could not permanently tolerate human bondage. The Thirteenth, Fourteenth, and Fifteenth Amendments abolished slavery, established birthright citizenship, and sought to guarantee equal protection and voting rights—though the full realization of these promises was delayed for generations by segregation and discrimination.</w:t>
      </w:r>
    </w:p>
    <w:p>
      <w:pPr>
        <w:pStyle w:val="BodyText"/>
        <w:rPr>
          <w:rFonts w:ascii="Aldine721 BT" w:hAnsi="Aldine721 BT"/>
          <w:sz w:val="32"/>
          <w:szCs w:val="32"/>
        </w:rPr>
      </w:pPr>
      <w:r>
        <w:rPr>
          <w:rFonts w:ascii="Aldine721 BT" w:hAnsi="Aldine721 BT"/>
          <w:sz w:val="32"/>
          <w:szCs w:val="32"/>
        </w:rPr>
        <w:t>Industrialization, mass immigration, and technological innovation transformed the country into an economic powerhouse. The Progressive Era and later the New Deal expanded the role of government in regulating markets and providing social insurance, yet the underlying commitment to private enterprise and individual initiative remained strong. In the twentieth century the United States emerged from two world wars as a global superpower. Its leadership in the Cold War was framed, at least in part, as a defense of open societies against totalitarian alternatives. Domestically, the civil rights movement of the 1950s and 1960s, women’s suffrage earlier in the century, and subsequent expansions of legal equality demonstrated a capacity for self-correction through democratic pressure, legislation, and judicial interpretation.</w:t>
      </w:r>
    </w:p>
    <w:p>
      <w:pPr>
        <w:pStyle w:val="BodyText"/>
        <w:rPr>
          <w:rFonts w:ascii="Aldine721 BT" w:hAnsi="Aldine721 BT"/>
          <w:sz w:val="32"/>
          <w:szCs w:val="32"/>
        </w:rPr>
      </w:pPr>
      <w:r>
        <w:rPr>
          <w:rFonts w:ascii="Aldine721 BT" w:hAnsi="Aldine721 BT"/>
          <w:sz w:val="32"/>
          <w:szCs w:val="32"/>
        </w:rPr>
        <w:t>Throughout these changes, certain patterns persisted: a relatively high degree of social mobility compared with many older societies, a culture that prized innovation and risk-taking, and a political system that, despite polarization and institutional friction, continued to transfer power through elections rather than hereditary succession or military coup.</w:t>
      </w:r>
    </w:p>
    <w:p>
      <w:pPr>
        <w:pStyle w:val="Heading3"/>
        <w:ind w:hanging="0" w:start="0"/>
        <w:rPr>
          <w:rFonts w:ascii="Aldine721 BT" w:hAnsi="Aldine721 BT"/>
          <w:sz w:val="36"/>
          <w:szCs w:val="36"/>
        </w:rPr>
      </w:pPr>
      <w:r>
        <w:rPr>
          <w:rFonts w:ascii="Aldine721 BT" w:hAnsi="Aldine721 BT"/>
          <w:sz w:val="36"/>
          <w:szCs w:val="36"/>
        </w:rPr>
        <w:t>Why the United States Continues to Stand Out</w:t>
      </w:r>
    </w:p>
    <w:p>
      <w:pPr>
        <w:pStyle w:val="BodyText"/>
        <w:rPr>
          <w:rFonts w:ascii="Aldine721 BT" w:hAnsi="Aldine721 BT"/>
          <w:sz w:val="32"/>
          <w:szCs w:val="32"/>
        </w:rPr>
      </w:pPr>
      <w:r>
        <w:rPr>
          <w:rFonts w:ascii="Aldine721 BT" w:hAnsi="Aldine721 BT"/>
          <w:sz w:val="32"/>
          <w:szCs w:val="32"/>
        </w:rPr>
        <w:t>Several features distinguish the American experience. First, the country was founded on a set of universalist political ideas rather than on ethnicity, dynasty, or sacred geography. Civic nationalism—loyalty to a constitution and a creed of liberty—has repeatedly absorbed successive waves of immigrants and has provided a framework for arguing about inclusion. Second, the written Constitution has endured for more than two centuries with relatively few formal amendments, while remaining adaptable through interpretation and practice. Few other nations possess a foundational document of comparable longevity and symbolic power.</w:t>
      </w:r>
    </w:p>
    <w:p>
      <w:pPr>
        <w:pStyle w:val="BodyText"/>
        <w:rPr>
          <w:rFonts w:ascii="Aldine721 BT" w:hAnsi="Aldine721 BT"/>
          <w:sz w:val="32"/>
          <w:szCs w:val="32"/>
        </w:rPr>
      </w:pPr>
      <w:r>
        <w:rPr>
          <w:rFonts w:ascii="Aldine721 BT" w:hAnsi="Aldine721 BT"/>
          <w:sz w:val="32"/>
          <w:szCs w:val="32"/>
        </w:rPr>
        <w:t>Third, the combination of political liberty, secure property rights, and a large internal market has fostered exceptional scientific, technological, and entrepreneurial dynamism. From the industrial revolution to the digital age, American institutions have repeatedly translated individual initiative into broad economic and cultural influence. Soft power—the global reach of American ideas, entertainment, universities, and brands—has often outstripped military or economic might alone.</w:t>
      </w:r>
    </w:p>
    <w:p>
      <w:pPr>
        <w:pStyle w:val="BodyText"/>
        <w:rPr>
          <w:rFonts w:ascii="Aldine721 BT" w:hAnsi="Aldine721 BT"/>
          <w:sz w:val="32"/>
          <w:szCs w:val="32"/>
        </w:rPr>
      </w:pPr>
      <w:r>
        <w:rPr>
          <w:rFonts w:ascii="Aldine721 BT" w:hAnsi="Aldine721 BT"/>
          <w:sz w:val="32"/>
          <w:szCs w:val="32"/>
        </w:rPr>
        <w:t>None of this implies perfection. Slavery, the displacement of indigenous peoples, periods of nativism, racial injustice, and persistent inequalities are part of the historical record. The gap between professed ideals and lived reality has been a recurring source of criticism both at home and abroad. Yet the same ideals have also supplied the language and the institutional means by which reformers have pressed for change. The capacity to confront contradictions openly, through free debate, elections, and legal processes, remains one of the system’s distinctive strengths.</w:t>
      </w:r>
    </w:p>
    <w:p>
      <w:pPr>
        <w:pStyle w:val="BodyText"/>
        <w:rPr>
          <w:rFonts w:ascii="Aldine721 BT" w:hAnsi="Aldine721 BT"/>
          <w:sz w:val="32"/>
          <w:szCs w:val="32"/>
        </w:rPr>
      </w:pPr>
      <w:r>
        <w:rPr>
          <w:rFonts w:ascii="Aldine721 BT" w:hAnsi="Aldine721 BT"/>
          <w:sz w:val="32"/>
          <w:szCs w:val="32"/>
        </w:rPr>
        <w:t>In 1776 the United States was an improbable experiment on the periphery of the European world. Over the subsequent two and a half centuries it has grown into a continental republic whose founding principles continue to shape its domestic life and its global role. The contrast with the hierarchical, monarchical, and imperial orders of the late eighteenth century was real; the subsequent effort to approximate those principles more fully, while never complete, has given the American story its particular character and its lasting significance.</w:t>
      </w:r>
    </w:p>
    <w:p>
      <w:pPr>
        <w:pStyle w:val="BodyText"/>
        <w:spacing w:before="0" w:after="140"/>
        <w:rPr>
          <w:rFonts w:ascii="Aldine721 BT" w:hAnsi="Aldine721 BT"/>
          <w:sz w:val="32"/>
          <w:szCs w:val="32"/>
        </w:rPr>
      </w:pPr>
      <w:r>
        <w:rPr>
          <w:rFonts w:ascii="Aldine721 BT" w:hAnsi="Aldine721 BT"/>
          <w:sz w:val="32"/>
          <w:szCs w:val="32"/>
        </w:rPr>
      </w:r>
    </w:p>
    <w:sectPr>
      <w:type w:val="nextPage"/>
      <w:pgSz w:w="11906" w:h="16838"/>
      <w:pgMar w:left="1136" w:right="1136" w:gutter="0" w:header="0" w:top="1136" w:footer="0" w:bottom="1136"/>
      <w:lnNumType w:countBy="5" w:restart="continuous" w:distance="288"/>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Aldine721 BT">
    <w:charset w:val="01" w:characterSet="utf-8"/>
    <w:family w:val="roman"/>
    <w:pitch w:val="variable"/>
  </w:font>
  <w:font w:name="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3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ans CN"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Source Han Sans CN" w:cs="Noto Sans Devanagari"/>
      <w:color w:val="auto"/>
      <w:kern w:val="2"/>
      <w:sz w:val="24"/>
      <w:szCs w:val="24"/>
      <w:lang w:val="en-US"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3">
    <w:name w:val="heading 3"/>
    <w:basedOn w:val="Heading"/>
    <w:qFormat/>
    <w:pPr>
      <w:numPr>
        <w:ilvl w:val="0"/>
        <w:numId w:val="0"/>
      </w:numPr>
      <w:spacing w:before="140" w:after="120"/>
      <w:outlineLvl w:val="2"/>
    </w:pPr>
    <w:rPr>
      <w:rFonts w:ascii="Liberation Serif" w:hAnsi="Liberation Serif" w:eastAsia="Source Han Sans CN" w:cs="Noto Sans Devanagari"/>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Contedodoquadro">
    <w:name w:val="Conteúdo do quadro"/>
    <w:basedOn w:val="Normal"/>
    <w:qFormat/>
    <w:pPr/>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ooter">
    <w:name w:val="footer"/>
    <w:basedOn w:val="HeaderandFooter"/>
    <w:pPr>
      <w:suppressLineNumbers/>
      <w:tabs>
        <w:tab w:val="clear" w:pos="4819"/>
        <w:tab w:val="clear" w:pos="9638"/>
        <w:tab w:val="center" w:pos="4817" w:leader="none"/>
        <w:tab w:val="right" w:pos="963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155</TotalTime>
  <Application>LibreOffice/26.2.5.2$Linux_X86_64 LibreOffice_project/620$Build-2</Application>
  <AppVersion>15.0000</AppVersion>
  <Pages>5</Pages>
  <Words>1169</Words>
  <Characters>6945</Characters>
  <CharactersWithSpaces>8084</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2026-06-30T13:56:43Z</dcterms:created>
  <dc:creator/>
  <dc:description/>
  <dc:language>en-US</dc:language>
  <cp:lastModifiedBy/>
  <cp:lastPrinted>2026-07-27T18:22:31Z</cp:lastPrinted>
  <dcterms:modified xsi:type="dcterms:W3CDTF">2026-07-30T19:02:14Z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