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2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0.7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T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pt,14.5pt" to="522.8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4pt,-4.4pt" to="522.8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“</w:t>
      </w: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Morning, everyone.” Lina entered with a laptop and coffee. Around the Meridian FinTech table: Ravi the CFO, Mei head of engineering, Jonas product lead, Priya chief risk officer. Today’s focus: finance for an IT firm serving banks.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Ravi opened the dashboard. “Board wants: maximize risk</w:t>
        <w:noBreakHyphen/>
        <w:t>adjusted NPV across products while keeping SLAs. How?” Mei shrugged. “Translate to levers: CAC, CLTV, churn, ARPU—and the cloud bill.” Jonas added, “Revenue mixes matter: licensing, SaaS, per</w:t>
        <w:noBreakHyphen/>
        <w:t>transaction fees, professional services. Payments is high volume, thin margin; analytics is high value, value</w:t>
        <w:noBreakHyphen/>
        <w:t>priced.”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Priya warned, “Tail risk matters. A breach isn’t just remediation—clients, fines, reputation. That changes project discount rates.” Ravi agreed: “Treat product lines as an investment portfolio. Use DCF plus Monte Carlo for outages and regulatory shocks; apply real</w:t>
        <w:noBreakHyphen/>
        <w:t>options for platform modularity.”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Mei sketched costs. “R&amp;D is stepwise fixed, cloud is variable. Use Activity</w:t>
        <w:noBreakHyphen/>
        <w:t>Based Costing: allocate platform costs by API calls, compute hours, transactions. That reveals true product margins.” Jonas: “Contracts must separate license, hosting, custom services—ASC 606 affects revenue recognition and ARR metrics.”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Priya: “Compliance and data residency increase cost and time</w:t>
        <w:noBreakHyphen/>
        <w:t>to</w:t>
        <w:noBreakHyphen/>
        <w:t>market. Model compliance as capitalized where appropriate and as ongoing OpEx. For new geographies, quantify expected fines and compliance expense.” Ravi: “Set discount rates per project risk; require EVA to beat cost of capital.”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Mei: “Higher SLOs cost—moving 99.9%→99.99% isn’t linear. Treat SLOs as costed levers.” Jonas: “Enter FinOps: tagging, showback, rightsizing, reserved instances. Tie telemetry to billing and product KPIs for margin gains.”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Priya: “Quantify cyber risk with frequency</w:t>
        <w:noBreakHyphen/>
        <w:t>severity and Monte Carlo. Insurance (cyber E&amp;O) buys tail protection but requires governance.” Ravi summarized a roadmap: (1) product</w:t>
        <w:noBreakHyphen/>
        <w:t>level P&amp;Ls via ABC and cohorts; (2) implement FinOps and telemetry; (3) formalize investment governance with stage gates and real</w:t>
        <w:noBreakHyphen/>
        <w:t>options; (4) quantify cyber/regulatory tails and insure selectively; (5) align pricing and SLAs with client risk.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They assigned owners: Jonas for P&amp;L templates; Mei for tagging and showback; Priya for cyber Monte Carlo on top clients; Ravi to update the board. Weeks later, ABC exposed a low</w:t>
        <w:noBreakHyphen/>
        <w:t>revenue feature consuming disproportionate compute and support—sunset it. FinOps cuts cloud spend 14%. Monte Carlo revealed a cascade scenario justifying cyber insurance and reprioritizing reliability work.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At the board Ravi reported: “We moved from intuition to quantified trade</w:t>
        <w:noBreakHyphen/>
        <w:t>offs—product economics, investment governance valuing flexibility, and risk</w:t>
        <w:noBreakHyphen/>
        <w:t>aware capital decisions.” Meridian’s teams now shipped with cost, revenue, and risk forecasts. When an outage later threatened a major client, the practiced playbook—quantified contingencies, insurance, prioritized fixes, and clear communications—saved the relationship.</w:t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sz w:val="40"/>
          <w:szCs w:val="40"/>
        </w:rPr>
      </w:r>
    </w:p>
    <w:p>
      <w:pPr>
        <w:pStyle w:val="PreformattedText"/>
        <w:widowControl/>
        <w:suppressAutoHyphens w:val="true"/>
        <w:bidi w:val="0"/>
        <w:spacing w:before="0" w:after="0"/>
        <w:ind w:firstLine="1440" w:start="0" w:end="0"/>
        <w:jc w:val="both"/>
        <w:rPr/>
      </w:pPr>
      <w:r>
        <w:rPr>
          <w:rStyle w:val="SourceText"/>
          <w:rFonts w:ascii="Aldine721 BT" w:hAnsi="Aldine721 BT"/>
          <w:sz w:val="40"/>
          <w:szCs w:val="40"/>
          <w:lang w:val="en-US" w:eastAsia="zh-CN" w:bidi="hi-IN"/>
        </w:rPr>
        <w:t>Meridian learned that building for financial clients demands more than code: measurable financial architecture, governance, and cross</w:t>
        <w:noBreakHyphen/>
        <w:t>functional teams fluent in both engineering and finance.</w:t>
      </w:r>
    </w:p>
    <w:sectPr>
      <w:type w:val="nextPage"/>
      <w:pgSz w:w="11906" w:h="16838"/>
      <w:pgMar w:left="720" w:right="720" w:gutter="0" w:header="0" w:top="720" w:footer="0" w:bottom="720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LineNumber">
    <w:name w:val="line number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LibreOffice/26.2.4.2$Linux_X86_64 LibreOffice_project/620$Build-2</Application>
  <AppVersion>15.0000</AppVersion>
  <Pages>3</Pages>
  <Words>446</Words>
  <Characters>2759</Characters>
  <CharactersWithSpaces>3183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2025-09-22T09:44:06Z</dcterms:created>
  <dc:creator/>
  <dc:description/>
  <dc:language>en-US</dc:language>
  <cp:lastModifiedBy/>
  <dcterms:modified xsi:type="dcterms:W3CDTF">2026-06-30T18:06:49Z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