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830580</wp:posOffset>
                </wp:positionH>
                <wp:positionV relativeFrom="paragraph">
                  <wp:posOffset>-840105</wp:posOffset>
                </wp:positionV>
                <wp:extent cx="4964430" cy="1668145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668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2"/>
                              </w:numPr>
                              <w:bidi w:val="0"/>
                              <w:spacing w:before="240" w:after="120"/>
                              <w:ind w:hanging="0" w:start="0" w:end="0"/>
                              <w:jc w:val="center"/>
                              <w:rPr>
                                <w:sz w:val="122"/>
                                <w:szCs w:val="110"/>
                              </w:rPr>
                            </w:pPr>
                            <w:r>
                              <w:rPr>
                                <w:rStyle w:val="SourceText"/>
                                <w:rFonts w:eastAsia="Source Han Sans CN" w:cs="Droid Sans Devanagari"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06"/>
                                <w:szCs w:val="110"/>
                              </w:rPr>
                              <w:t>it Management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65.4pt;margin-top:-66.15pt;width:390.85pt;height:131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2"/>
                        </w:numPr>
                        <w:bidi w:val="0"/>
                        <w:spacing w:before="240" w:after="120"/>
                        <w:ind w:hanging="0" w:start="0" w:end="0"/>
                        <w:jc w:val="center"/>
                        <w:rPr>
                          <w:sz w:val="122"/>
                          <w:szCs w:val="110"/>
                        </w:rPr>
                      </w:pPr>
                      <w:r>
                        <w:rPr>
                          <w:rStyle w:val="SourceText"/>
                          <w:rFonts w:eastAsia="Source Han Sans CN" w:cs="Droid Sans Devanagari"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06"/>
                          <w:szCs w:val="110"/>
                        </w:rPr>
                        <w:t>it Management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1270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1270" t="1270" r="0" b="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Title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widowControl/>
        <w:suppressAutoHyphens w:val="true"/>
        <w:bidi w:val="0"/>
        <w:spacing w:before="0" w:after="0"/>
        <w:ind w:firstLine="1440" w:start="0" w:end="0"/>
        <w:jc w:val="both"/>
        <w:rPr>
          <w:rFonts w:ascii="Times New Roman" w:hAnsi="Times New Roman"/>
          <w:sz w:val="44"/>
          <w:szCs w:val="24"/>
        </w:rPr>
      </w:pPr>
      <w:r>
        <w:rPr>
          <w:rFonts w:ascii="Times New Roman" w:hAnsi="Times New Roman"/>
          <w:sz w:val="44"/>
          <w:szCs w:val="24"/>
        </w:rPr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  <w:t>“</w:t>
      </w:r>
      <w:r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  <w:t>Bom dia, pessoal.” Lina entrou com um laptop e um café. À mesa da Meridian FinTech: Ravi, o CFO; Mei, chefe de engenharia; Jonas, líder de produto; Priya, diretora de risco. O foco de hoje: finanças para uma empresa de TI que atende bancos.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  <w:t>Ravi abriu o painel. “O conselho quer: maximizar o VPL ajustado ao risco do portfólio de produtos mantendo os SLAs. Como fazemos isso?” Mei deu de ombros. “Traduzir em alavancas: CAC, CLTV, churn, ARPU — e a conta da nuvem.” Jonas acrescentou: “A composição de receita importa: licenças, SaaS, taxa por transação, serviços profissionais. Pagamentos é alto volume e margem fina; analytics é alto valor e precificação por valor.”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  <w:t>Priya alertou: “Risco de cauda importa. Uma violação não é só remediação — perdemos clientes, multas, reputação. Isso altera a taxa de desconto dos projetos.” Ravi concordou: “Tratem as linhas de produto como um portfólio de investimentos. Usem DCF mais Monte Carlo para falhas e choques regulatórios; apliquem opções reais para modularidade da plataforma.”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  <w:t>Mei rascunhou os custos. “P&amp;D é fixo em degraus; nuvem é variável. Usem Custeio Baseado em Atividades: alocar custos de plataforma por chamadas de API, horas de computação, transações. Isso revela a margem real do produto.” Jonas: “Contratos devem separar licença, hosting e serviços customizados — ASC 606 afeta reconhecimento de receita e métricas de ARR.”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  <w:t>Priya: “Conformidade e residência de dados aumentam custo e tempo de entrada no mercado. Modelem conformidade como capitalizável quando apropriado e como Opex contínuo. Para novas geografias, quantifiquem multas e despesas de compliance esperadas.” Ravi: “Definam taxas de desconto por risco do projeto; exijam EVA que supere o custo de capital.”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  <w:t>Mei: “SLOs mais altos custam — passar de 99,9% para 99,99% não é linear. Tratem SLOs como alavancas com custo.” Jonas: “Entrem em FinOps: tagging, showback, rightsizing, instâncias reservadas. Vinculem telemetria ao billing e KPIs de produto para ganho de margem.”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  <w:t>Priya: “Quantifiquem risco cibernético com modelos frequência-severidade e Monte Carlo. Seguro (cyber E&amp;O) protege a cauda, mas exige governança.” Ravi resumiu o roadmap: (1) P&amp;Ls por produto via ABC e cohorts; (2) implementar FinOps e telemetria; (3) formalizar governança de investimento com stage gates e opções reais; (4) quantificar caudas cibernéticas/regulatórias e segurar seletivamente; (5) alinhar precificação e SLAs ao risco do cliente.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  <w:t>Distribuíram responsabilidades: Jonas pelos templates de P&amp;L; Mei por tagging e showback; Priya pelo Monte Carlo cibernético nos principais clientes; Ravi atualizaria o conselho. Semanas depois, o ABC expôs um recurso de baixa receita que consumia suporte e computação desproporcional — decidiram encerrar. FinOps reduziu gasto com nuvem em 14%. Monte Carlo revelou um cenário de cascata que justificou seguro cibernético e repriorização de trabalho de confiabilidade.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  <w:t>No conselho, Ravi disse: “Passamos da intuição para trade</w:t>
        <w:noBreakHyphen/>
        <w:t>offs quantificados — economia por produto, governança de investimento que valoriza flexibilidade e decisões de capital conscientes do risco.” As equipes da Meridian passaram a entregar com previsões de custo, receita e risco. Quando uma falha mais tarde ameaçou um cliente importante, o playbook praticado — contingências quantificadas, seguro, correções priorizadas e comunicação clara — salvou a relação.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  <w:t>A Meridian aprendeu que construir para clientes financeiros exige mais que código: arquitetura financeira mensurável, governança e equipes multifuncionais que falem tanto engenharia quanto finanças.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trong"/>
          <w:rFonts w:eastAsia="Liberation Mono" w:cs="Liberation Mono" w:ascii="Inter;sans-serif" w:hAnsi="Inter;sans-serif"/>
          <w:b/>
          <w:i w:val="false"/>
          <w:caps w:val="false"/>
          <w:smallCaps w:val="false"/>
          <w:color w:val="000000"/>
          <w:spacing w:val="0"/>
          <w:sz w:val="23"/>
          <w:szCs w:val="20"/>
          <w:lang w:val="en-US" w:eastAsia="zh-CN" w:bidi="hi-IN"/>
        </w:rPr>
        <w:t>VPL</w:t>
      </w:r>
      <w:r>
        <w:rPr>
          <w:rStyle w:val="SourceText"/>
          <w:rFonts w:eastAsia="Liberation Mono" w:cs="Liberation Mono"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zCs w:val="20"/>
          <w:lang w:val="en-US" w:eastAsia="zh-CN" w:bidi="hi-IN"/>
        </w:rPr>
        <w:t>: Valor Presente Líquido – métrica que indica o valor atual de fluxos de caixa futuros descontados por uma taxa que reflete risco e custo de capital.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Liberation Mono" w:cs="Liberation Mono"/>
          <w:sz w:val="40"/>
          <w:szCs w:val="20"/>
        </w:rPr>
      </w:pPr>
      <w:r>
        <w:rPr>
          <w:rStyle w:val="Strong"/>
          <w:rFonts w:eastAsia="Liberation Mono" w:cs="Liberation Mono" w:ascii="Inter;sans-serif" w:hAnsi="Inter;sans-serif"/>
          <w:b/>
          <w:i w:val="false"/>
          <w:caps w:val="false"/>
          <w:smallCaps w:val="false"/>
          <w:color w:val="000000"/>
          <w:spacing w:val="0"/>
          <w:sz w:val="23"/>
          <w:szCs w:val="20"/>
        </w:rPr>
        <w:t>SLAs</w:t>
      </w:r>
      <w:r>
        <w:rPr>
          <w:rFonts w:eastAsia="Liberation Mono" w:cs="Liberation Mono"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zCs w:val="20"/>
        </w:rPr>
        <w:t>: Service Level Agreements – acordos de nível de serviço que definem padrões de desempenho e qualidade esperados pelos clientes.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Liberation Mono" w:cs="Liberation Mono"/>
          <w:sz w:val="40"/>
          <w:szCs w:val="20"/>
        </w:rPr>
      </w:pPr>
      <w:r>
        <w:rPr>
          <w:rStyle w:val="Strong"/>
          <w:rFonts w:eastAsia="Liberation Mono" w:cs="Liberation Mono" w:ascii="Inter;sans-serif" w:hAnsi="Inter;sans-serif"/>
          <w:b/>
          <w:i w:val="false"/>
          <w:caps w:val="false"/>
          <w:smallCaps w:val="false"/>
          <w:color w:val="000000"/>
          <w:spacing w:val="0"/>
          <w:sz w:val="23"/>
          <w:szCs w:val="20"/>
        </w:rPr>
        <w:t>CAC</w:t>
      </w:r>
      <w:r>
        <w:rPr>
          <w:rFonts w:eastAsia="Liberation Mono" w:cs="Liberation Mono"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zCs w:val="20"/>
        </w:rPr>
        <w:t>: Custo de Aquisição de Cliente – quanto a empresa gasta para adquirir um novo cliente.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Liberation Mono" w:cs="Liberation Mono"/>
          <w:sz w:val="40"/>
          <w:szCs w:val="20"/>
        </w:rPr>
      </w:pPr>
      <w:r>
        <w:rPr>
          <w:rStyle w:val="Strong"/>
          <w:rFonts w:eastAsia="Liberation Mono" w:cs="Liberation Mono" w:ascii="Inter;sans-serif" w:hAnsi="Inter;sans-serif"/>
          <w:b/>
          <w:i w:val="false"/>
          <w:caps w:val="false"/>
          <w:smallCaps w:val="false"/>
          <w:color w:val="000000"/>
          <w:spacing w:val="0"/>
          <w:sz w:val="23"/>
          <w:szCs w:val="20"/>
        </w:rPr>
        <w:t>CLTV</w:t>
      </w:r>
      <w:r>
        <w:rPr>
          <w:rFonts w:eastAsia="Liberation Mono" w:cs="Liberation Mono"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zCs w:val="20"/>
        </w:rPr>
        <w:t>: Customer Lifetime Value – valor total esperado de receita gerada por um cliente ao longo de todo o relacionamento.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180" w:after="180"/>
        <w:ind w:hanging="0" w:start="0" w:end="0"/>
        <w:jc w:val="both"/>
        <w:rPr>
          <w:rFonts w:ascii="Inter;sans-serif" w:hAnsi="Inter;sans-serif" w:eastAsia="Liberation Mono" w:cs="Liberation Mono"/>
          <w:b w:val="false"/>
          <w:i w:val="false"/>
          <w:caps w:val="false"/>
          <w:smallCaps w:val="false"/>
          <w:color w:val="000000"/>
          <w:spacing w:val="0"/>
          <w:sz w:val="23"/>
          <w:szCs w:val="20"/>
        </w:rPr>
      </w:pPr>
      <w:r>
        <w:rPr>
          <w:rFonts w:eastAsia="Liberation Mono" w:cs="Liberation Mono"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zCs w:val="20"/>
        </w:rPr>
        <w:t>** churn**: Rotatividade de clientes – percentual de clientes que deixam de usar o serviço em determinado período.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Liberation Mono" w:cs="Liberation Mono"/>
          <w:sz w:val="40"/>
          <w:szCs w:val="20"/>
        </w:rPr>
      </w:pPr>
      <w:r>
        <w:rPr>
          <w:rStyle w:val="Strong"/>
          <w:rFonts w:eastAsia="Liberation Mono" w:cs="Liberation Mono" w:ascii="Inter;sans-serif" w:hAnsi="Inter;sans-serif"/>
          <w:b/>
          <w:i w:val="false"/>
          <w:caps w:val="false"/>
          <w:smallCaps w:val="false"/>
          <w:color w:val="000000"/>
          <w:spacing w:val="0"/>
          <w:sz w:val="23"/>
          <w:szCs w:val="20"/>
        </w:rPr>
        <w:t>ARPU</w:t>
      </w:r>
      <w:r>
        <w:rPr>
          <w:rFonts w:eastAsia="Liberation Mono" w:cs="Liberation Mono"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zCs w:val="20"/>
        </w:rPr>
        <w:t>: Average Revenue Per User – receita média por usuário ou cliente.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Liberation Mono" w:cs="Liberation Mono"/>
          <w:sz w:val="40"/>
          <w:szCs w:val="20"/>
        </w:rPr>
      </w:pPr>
      <w:r>
        <w:rPr>
          <w:rStyle w:val="Strong"/>
          <w:rFonts w:eastAsia="Liberation Mono" w:cs="Liberation Mono" w:ascii="Inter;sans-serif" w:hAnsi="Inter;sans-serif"/>
          <w:b/>
          <w:i w:val="false"/>
          <w:caps w:val="false"/>
          <w:smallCaps w:val="false"/>
          <w:color w:val="000000"/>
          <w:spacing w:val="0"/>
          <w:sz w:val="23"/>
          <w:szCs w:val="20"/>
        </w:rPr>
        <w:t>DCF</w:t>
      </w:r>
      <w:r>
        <w:rPr>
          <w:rFonts w:eastAsia="Liberation Mono" w:cs="Liberation Mono"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zCs w:val="20"/>
        </w:rPr>
        <w:t>: Discounted Cash Flow – fluxo de caixa descontado, método para avaliar o valor presente de uma série de fluxos de caixa futuros.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Liberation Mono" w:cs="Liberation Mono"/>
          <w:sz w:val="40"/>
          <w:szCs w:val="20"/>
        </w:rPr>
      </w:pPr>
      <w:r>
        <w:rPr>
          <w:rStyle w:val="Strong"/>
          <w:rFonts w:eastAsia="Liberation Mono" w:cs="Liberation Mono" w:ascii="Inter;sans-serif" w:hAnsi="Inter;sans-serif"/>
          <w:b/>
          <w:i w:val="false"/>
          <w:caps w:val="false"/>
          <w:smallCaps w:val="false"/>
          <w:color w:val="000000"/>
          <w:spacing w:val="0"/>
          <w:sz w:val="23"/>
          <w:szCs w:val="20"/>
        </w:rPr>
        <w:t>Monte Carlo</w:t>
      </w:r>
      <w:r>
        <w:rPr>
          <w:rFonts w:eastAsia="Liberation Mono" w:cs="Liberation Mono"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zCs w:val="20"/>
        </w:rPr>
        <w:t>: Técnica de simulação probabilística que usa variações aleatórias para modelar riscos e incertezas.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Liberation Mono" w:cs="Liberation Mono"/>
          <w:sz w:val="40"/>
          <w:szCs w:val="20"/>
        </w:rPr>
      </w:pPr>
      <w:r>
        <w:rPr>
          <w:rStyle w:val="Strong"/>
          <w:rFonts w:eastAsia="Liberation Mono" w:cs="Liberation Mono" w:ascii="Inter;sans-serif" w:hAnsi="Inter;sans-serif"/>
          <w:b/>
          <w:i w:val="false"/>
          <w:caps w:val="false"/>
          <w:smallCaps w:val="false"/>
          <w:color w:val="000000"/>
          <w:spacing w:val="0"/>
          <w:sz w:val="23"/>
          <w:szCs w:val="20"/>
        </w:rPr>
        <w:t>ASC 606</w:t>
      </w:r>
      <w:r>
        <w:rPr>
          <w:rFonts w:eastAsia="Liberation Mono" w:cs="Liberation Mono"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zCs w:val="20"/>
        </w:rPr>
        <w:t>: Padrão contábil de reconhecimento de receita, que estabelece como a receita deve ser reconhecida em contratos com clientes.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Liberation Mono" w:cs="Liberation Mono"/>
          <w:sz w:val="40"/>
          <w:szCs w:val="20"/>
        </w:rPr>
      </w:pPr>
      <w:r>
        <w:rPr>
          <w:rStyle w:val="Strong"/>
          <w:rFonts w:eastAsia="Liberation Mono" w:cs="Liberation Mono" w:ascii="Inter;sans-serif" w:hAnsi="Inter;sans-serif"/>
          <w:b/>
          <w:i w:val="false"/>
          <w:caps w:val="false"/>
          <w:smallCaps w:val="false"/>
          <w:color w:val="000000"/>
          <w:spacing w:val="0"/>
          <w:sz w:val="23"/>
          <w:szCs w:val="20"/>
        </w:rPr>
        <w:t>EVA</w:t>
      </w:r>
      <w:r>
        <w:rPr>
          <w:rFonts w:eastAsia="Liberation Mono" w:cs="Liberation Mono"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zCs w:val="20"/>
        </w:rPr>
        <w:t>: Economic Value Added – Valor Econômico Agregado, métrica que mede o valor criado acima do custo de capital de uma empresa ou projeto.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Liberation Mono" w:cs="Liberation Mono"/>
          <w:sz w:val="40"/>
          <w:szCs w:val="20"/>
        </w:rPr>
      </w:pPr>
      <w:r>
        <w:rPr>
          <w:rStyle w:val="Strong"/>
          <w:rFonts w:eastAsia="Liberation Mono" w:cs="Liberation Mono" w:ascii="Inter;sans-serif" w:hAnsi="Inter;sans-serif"/>
          <w:b/>
          <w:i w:val="false"/>
          <w:caps w:val="false"/>
          <w:smallCaps w:val="false"/>
          <w:color w:val="000000"/>
          <w:spacing w:val="0"/>
          <w:sz w:val="23"/>
          <w:szCs w:val="20"/>
        </w:rPr>
        <w:t>Opex</w:t>
      </w:r>
      <w:r>
        <w:rPr>
          <w:rFonts w:eastAsia="Liberation Mono" w:cs="Liberation Mono"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zCs w:val="20"/>
        </w:rPr>
        <w:t>: Operating Expenses – despesas operacionais recorrentes da empresa.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Liberation Mono" w:cs="Liberation Mono"/>
          <w:sz w:val="40"/>
          <w:szCs w:val="20"/>
        </w:rPr>
      </w:pPr>
      <w:r>
        <w:rPr>
          <w:rStyle w:val="Strong"/>
          <w:rFonts w:eastAsia="Liberation Mono" w:cs="Liberation Mono" w:ascii="Inter;sans-serif" w:hAnsi="Inter;sans-serif"/>
          <w:b/>
          <w:i w:val="false"/>
          <w:caps w:val="false"/>
          <w:smallCaps w:val="false"/>
          <w:color w:val="000000"/>
          <w:spacing w:val="0"/>
          <w:sz w:val="23"/>
          <w:szCs w:val="20"/>
        </w:rPr>
        <w:t>SLOs</w:t>
      </w:r>
      <w:r>
        <w:rPr>
          <w:rFonts w:eastAsia="Liberation Mono" w:cs="Liberation Mono"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zCs w:val="20"/>
        </w:rPr>
        <w:t>: Service Level Objectives – objetivos de nível de serviço, metas específicas relacionadas à qualidade do serviço entregue.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Liberation Mono" w:cs="Liberation Mono"/>
          <w:sz w:val="40"/>
          <w:szCs w:val="20"/>
        </w:rPr>
      </w:pPr>
      <w:r>
        <w:rPr>
          <w:rStyle w:val="Strong"/>
          <w:rFonts w:eastAsia="Liberation Mono" w:cs="Liberation Mono" w:ascii="Inter;sans-serif" w:hAnsi="Inter;sans-serif"/>
          <w:b/>
          <w:i w:val="false"/>
          <w:caps w:val="false"/>
          <w:smallCaps w:val="false"/>
          <w:color w:val="000000"/>
          <w:spacing w:val="0"/>
          <w:sz w:val="23"/>
          <w:szCs w:val="20"/>
        </w:rPr>
        <w:t>FinOps</w:t>
      </w:r>
      <w:r>
        <w:rPr>
          <w:rFonts w:eastAsia="Liberation Mono" w:cs="Liberation Mono"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zCs w:val="20"/>
        </w:rPr>
        <w:t>: Financial Operations – práticas de gerenciamento financeiro voltadas para otimização de custos na nuvem e operações financeiras de TI.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Liberation Mono" w:cs="Liberation Mono"/>
          <w:sz w:val="40"/>
          <w:szCs w:val="20"/>
        </w:rPr>
      </w:pPr>
      <w:r>
        <w:rPr>
          <w:rStyle w:val="Strong"/>
          <w:rFonts w:eastAsia="Liberation Mono" w:cs="Liberation Mono" w:ascii="Inter;sans-serif" w:hAnsi="Inter;sans-serif"/>
          <w:b/>
          <w:i w:val="false"/>
          <w:caps w:val="false"/>
          <w:smallCaps w:val="false"/>
          <w:color w:val="000000"/>
          <w:spacing w:val="0"/>
          <w:sz w:val="23"/>
          <w:szCs w:val="20"/>
        </w:rPr>
        <w:t>KPIs</w:t>
      </w:r>
      <w:r>
        <w:rPr>
          <w:rFonts w:eastAsia="Liberation Mono" w:cs="Liberation Mono"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zCs w:val="20"/>
        </w:rPr>
        <w:t>: Key Performance Indicators – indicadores-chave de desempenho, métricas que avaliam o sucesso de uma atividade.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Liberation Mono" w:cs="Liberation Mono"/>
          <w:sz w:val="40"/>
          <w:szCs w:val="20"/>
        </w:rPr>
      </w:pPr>
      <w:r>
        <w:rPr>
          <w:rStyle w:val="Strong"/>
          <w:rFonts w:eastAsia="Liberation Mono" w:cs="Liberation Mono" w:ascii="Inter;sans-serif" w:hAnsi="Inter;sans-serif"/>
          <w:b/>
          <w:i w:val="false"/>
          <w:caps w:val="false"/>
          <w:smallCaps w:val="false"/>
          <w:color w:val="000000"/>
          <w:spacing w:val="0"/>
          <w:sz w:val="23"/>
          <w:szCs w:val="20"/>
        </w:rPr>
        <w:t>ABC</w:t>
      </w:r>
      <w:r>
        <w:rPr>
          <w:rFonts w:eastAsia="Liberation Mono" w:cs="Liberation Mono"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zCs w:val="20"/>
        </w:rPr>
        <w:t>: Activity-Based Costing – Custeio Baseado em Atividades, método de alocação de custos que relaciona os custos às atividades realizadas.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Liberation Mono" w:cs="Liberation Mono"/>
          <w:sz w:val="40"/>
          <w:szCs w:val="20"/>
        </w:rPr>
      </w:pPr>
      <w:r>
        <w:rPr>
          <w:rStyle w:val="Strong"/>
          <w:rFonts w:eastAsia="Liberation Mono" w:cs="Liberation Mono" w:ascii="Inter;sans-serif" w:hAnsi="Inter;sans-serif"/>
          <w:b/>
          <w:i w:val="false"/>
          <w:caps w:val="false"/>
          <w:smallCaps w:val="false"/>
          <w:color w:val="000000"/>
          <w:spacing w:val="0"/>
          <w:sz w:val="23"/>
          <w:szCs w:val="20"/>
        </w:rPr>
        <w:t>E&amp;O</w:t>
      </w:r>
      <w:r>
        <w:rPr>
          <w:rFonts w:eastAsia="Liberation Mono" w:cs="Liberation Mono"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zCs w:val="20"/>
        </w:rPr>
        <w:t>: Errors and Omissions (muitas vezes referindo-se a seguros de cyber E&amp;O) – seguro que cobre erros e omissões em serviços prestados, incluindo riscos cibernéticos.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Style w:val="SourceText"/>
          <w:rFonts w:ascii="Times New Roman" w:hAnsi="Times New Roman"/>
          <w:sz w:val="40"/>
          <w:szCs w:val="20"/>
          <w:lang w:val="en-US" w:eastAsia="zh-CN" w:bidi="hi-IN"/>
        </w:rPr>
      </w:pPr>
      <w:r>
        <w:rPr/>
      </w:r>
    </w:p>
    <w:sectPr>
      <w:type w:val="nextPage"/>
      <w:pgSz w:w="11906" w:h="16838"/>
      <w:pgMar w:left="720" w:right="720" w:gutter="0" w:header="0" w:top="720" w:footer="0" w:bottom="720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ketch Book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Inter">
    <w:altName w:val="sans-serif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urce Han Sans CN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LineNumber">
    <w:name w:val="line number"/>
    <w:rPr/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5233" w:leader="none"/>
        <w:tab w:val="right" w:pos="1046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LibreOffice/25.8.1.1$Linux_X86_64 LibreOffice_project/580$Build-1</Application>
  <AppVersion>15.0000</AppVersion>
  <Pages>4</Pages>
  <Words>840</Words>
  <Characters>4791</Characters>
  <CharactersWithSpaces>5608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2025-09-22T09:44:06Z</dcterms:created>
  <dc:creator/>
  <dc:description/>
  <dc:language>en-US</dc:language>
  <cp:lastModifiedBy/>
  <dcterms:modified xsi:type="dcterms:W3CDTF">2025-10-02T19:31:36Z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