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highlight w:val="none"/>
          <w:shd w:fill="auto" w:val="clear"/>
        </w:rPr>
      </w:pPr>
      <w:r>
        <w:rPr>
          <w:shd w:fill="auto" w:val="clear"/>
        </w:rPr>
        <mc:AlternateContent>
          <mc:Choice Requires="wps">
            <w:drawing>
              <wp:anchor behindDoc="0" distT="0" distB="0" distL="0" distR="0" simplePos="0" locked="0" layoutInCell="1" allowOverlap="1" relativeHeight="5">
                <wp:simplePos x="0" y="0"/>
                <wp:positionH relativeFrom="column">
                  <wp:posOffset>830580</wp:posOffset>
                </wp:positionH>
                <wp:positionV relativeFrom="paragraph">
                  <wp:posOffset>-554355</wp:posOffset>
                </wp:positionV>
                <wp:extent cx="4964430" cy="1278890"/>
                <wp:effectExtent l="0" t="0" r="0" b="0"/>
                <wp:wrapNone/>
                <wp:docPr id="1" name="Quadro2"/>
                <a:graphic xmlns:a="http://schemas.openxmlformats.org/drawingml/2006/main">
                  <a:graphicData uri="http://schemas.microsoft.com/office/word/2010/wordprocessingShape">
                    <wps:wsp>
                      <wps:cNvSpPr/>
                      <wps:spPr>
                        <a:xfrm>
                          <a:off x="0" y="0"/>
                          <a:ext cx="4964400" cy="127872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hanging="0" w:start="0" w:end="0"/>
                              <w:jc w:val="center"/>
                              <w:rPr>
                                <w:sz w:val="122"/>
                                <w:szCs w:val="110"/>
                              </w:rPr>
                            </w:pPr>
                            <w:r>
                              <w:rPr>
                                <w:rFonts w:ascii="Sketch Book" w:hAnsi="Sketch Book"/>
                                <w:b w:val="false"/>
                                <w:bCs/>
                                <w:i w:val="false"/>
                                <w:iCs w:val="false"/>
                                <w:caps w:val="false"/>
                                <w:smallCaps w:val="false"/>
                                <w:color w:themeColor="accent1" w:themeShade="bf" w:val="365F91"/>
                                <w:spacing w:val="0"/>
                                <w:sz w:val="122"/>
                                <w:szCs w:val="110"/>
                              </w:rPr>
                              <w:t>R</w:t>
                            </w:r>
                            <w:r>
                              <w:rPr>
                                <w:rFonts w:ascii="Sketch Book" w:hAnsi="Sketch Book"/>
                                <w:b w:val="false"/>
                                <w:bCs/>
                                <w:i w:val="false"/>
                                <w:iCs w:val="false"/>
                                <w:caps w:val="false"/>
                                <w:smallCaps w:val="false"/>
                                <w:color w:themeColor="accent1" w:themeShade="bf" w:val="365F91"/>
                                <w:spacing w:val="0"/>
                                <w:sz w:val="122"/>
                                <w:szCs w:val="110"/>
                              </w:rPr>
                              <w:t>e</w:t>
                            </w:r>
                            <w:r>
                              <w:rPr>
                                <w:rFonts w:ascii="Sketch Book" w:hAnsi="Sketch Book"/>
                                <w:b w:val="false"/>
                                <w:bCs/>
                                <w:i w:val="false"/>
                                <w:iCs w:val="false"/>
                                <w:caps w:val="false"/>
                                <w:smallCaps w:val="false"/>
                                <w:color w:themeColor="accent1" w:themeShade="bf" w:val="365F91"/>
                                <w:spacing w:val="0"/>
                                <w:sz w:val="122"/>
                                <w:szCs w:val="110"/>
                              </w:rPr>
                              <w:t>a</w:t>
                            </w:r>
                            <w:r>
                              <w:rPr>
                                <w:rFonts w:ascii="Sketch Book" w:hAnsi="Sketch Book"/>
                                <w:b w:val="false"/>
                                <w:bCs/>
                                <w:i w:val="false"/>
                                <w:iCs w:val="false"/>
                                <w:caps w:val="false"/>
                                <w:smallCaps w:val="false"/>
                                <w:color w:themeColor="accent1" w:themeShade="bf" w:val="365F91"/>
                                <w:spacing w:val="0"/>
                                <w:sz w:val="122"/>
                                <w:szCs w:val="110"/>
                              </w:rPr>
                              <w:t xml:space="preserve">l </w:t>
                            </w:r>
                            <w:r>
                              <w:rPr>
                                <w:rFonts w:ascii="Sketch Book" w:hAnsi="Sketch Book"/>
                                <w:b w:val="false"/>
                                <w:bCs/>
                                <w:i w:val="false"/>
                                <w:iCs w:val="false"/>
                                <w:caps w:val="false"/>
                                <w:smallCaps w:val="false"/>
                                <w:color w:themeColor="accent1" w:themeShade="bf" w:val="365F91"/>
                                <w:spacing w:val="0"/>
                                <w:sz w:val="122"/>
                                <w:szCs w:val="110"/>
                              </w:rPr>
                              <w:t>e</w:t>
                            </w:r>
                            <w:r>
                              <w:rPr>
                                <w:rFonts w:ascii="Sketch Book" w:hAnsi="Sketch Book"/>
                                <w:b w:val="false"/>
                                <w:bCs/>
                                <w:i w:val="false"/>
                                <w:iCs w:val="false"/>
                                <w:caps w:val="false"/>
                                <w:smallCaps w:val="false"/>
                                <w:color w:themeColor="accent1" w:themeShade="bf" w:val="365F91"/>
                                <w:spacing w:val="0"/>
                                <w:sz w:val="122"/>
                                <w:szCs w:val="110"/>
                              </w:rPr>
                              <w:t>s</w:t>
                            </w:r>
                            <w:r>
                              <w:rPr>
                                <w:rFonts w:ascii="Sketch Book" w:hAnsi="Sketch Book"/>
                                <w:b w:val="false"/>
                                <w:bCs/>
                                <w:i w:val="false"/>
                                <w:iCs w:val="false"/>
                                <w:caps w:val="false"/>
                                <w:smallCaps w:val="false"/>
                                <w:color w:themeColor="accent1" w:themeShade="bf" w:val="365F91"/>
                                <w:spacing w:val="0"/>
                                <w:sz w:val="122"/>
                                <w:szCs w:val="110"/>
                              </w:rPr>
                              <w:t>t</w:t>
                            </w:r>
                            <w:r>
                              <w:rPr>
                                <w:rFonts w:ascii="Sketch Book" w:hAnsi="Sketch Book"/>
                                <w:b w:val="false"/>
                                <w:bCs/>
                                <w:i w:val="false"/>
                                <w:iCs w:val="false"/>
                                <w:caps w:val="false"/>
                                <w:smallCaps w:val="false"/>
                                <w:color w:themeColor="accent1" w:themeShade="bf" w:val="365F91"/>
                                <w:spacing w:val="0"/>
                                <w:sz w:val="122"/>
                                <w:szCs w:val="110"/>
                              </w:rPr>
                              <w:t>a</w:t>
                            </w:r>
                            <w:r>
                              <w:rPr>
                                <w:rFonts w:ascii="Sketch Book" w:hAnsi="Sketch Book"/>
                                <w:b w:val="false"/>
                                <w:bCs/>
                                <w:i w:val="false"/>
                                <w:iCs w:val="false"/>
                                <w:caps w:val="false"/>
                                <w:smallCaps w:val="false"/>
                                <w:color w:themeColor="accent1" w:themeShade="bf" w:val="365F91"/>
                                <w:spacing w:val="0"/>
                                <w:sz w:val="122"/>
                                <w:szCs w:val="110"/>
                              </w:rPr>
                              <w:t>t</w:t>
                            </w:r>
                            <w:r>
                              <w:rPr>
                                <w:rFonts w:ascii="Sketch Book" w:hAnsi="Sketch Book"/>
                                <w:b w:val="false"/>
                                <w:bCs/>
                                <w:i w:val="false"/>
                                <w:iCs w:val="false"/>
                                <w:caps w:val="false"/>
                                <w:smallCaps w:val="false"/>
                                <w:color w:themeColor="accent1" w:themeShade="bf" w:val="365F91"/>
                                <w:spacing w:val="0"/>
                                <w:sz w:val="122"/>
                                <w:szCs w:val="110"/>
                              </w:rPr>
                              <w:t>e</w:t>
                            </w:r>
                            <w:r>
                              <w:rPr>
                                <w:rFonts w:ascii="Sketch Book" w:hAnsi="Sketch Book"/>
                                <w:b w:val="false"/>
                                <w:bCs/>
                                <w:i w:val="false"/>
                                <w:iCs w:val="false"/>
                                <w:caps w:val="false"/>
                                <w:smallCaps w:val="false"/>
                                <w:color w:themeColor="accent1" w:themeShade="bf" w:val="365F91"/>
                                <w:spacing w:val="0"/>
                                <w:sz w:val="122"/>
                                <w:szCs w:val="110"/>
                              </w:rPr>
                              <w:t xml:space="preserve"> </w:t>
                            </w:r>
                          </w:p>
                          <w:p>
                            <w:pPr>
                              <w:pStyle w:val="BodyText"/>
                              <w:widowControl/>
                              <w:spacing w:before="240" w:after="120"/>
                              <w:ind w:hanging="0" w:start="0" w:end="0"/>
                              <w:jc w:val="center"/>
                              <w:rPr>
                                <w:sz w:val="110"/>
                                <w:szCs w:val="110"/>
                              </w:rPr>
                            </w:pPr>
                            <w:r>
                              <w:rPr>
                                <w:color w:val="000000"/>
                              </w:rPr>
                            </w:r>
                          </w:p>
                        </w:txbxContent>
                      </wps:txbx>
                      <wps:bodyPr anchor="t">
                        <a:noAutofit/>
                      </wps:bodyPr>
                    </wps:wsp>
                  </a:graphicData>
                </a:graphic>
              </wp:anchor>
            </w:drawing>
          </mc:Choice>
          <mc:Fallback>
            <w:pict>
              <v:rect id="shape_0" ID="Quadro2" path="m0,0l-2147483645,0l-2147483645,-2147483646l0,-2147483646xe" stroked="f" o:allowincell="f" style="position:absolute;margin-left:65.4pt;margin-top:-43.65pt;width:390.85pt;height:100.65pt;mso-wrap-style:square;v-text-anchor:top">
                <v:fill o:detectmouseclick="t" on="false"/>
                <v:stroke color="#3465a4" joinstyle="round" endcap="flat"/>
                <v:textbox>
                  <w:txbxContent>
                    <w:p>
                      <w:pPr>
                        <w:pStyle w:val="Heading1"/>
                        <w:widowControl/>
                        <w:numPr>
                          <w:ilvl w:val="0"/>
                          <w:numId w:val="2"/>
                        </w:numPr>
                        <w:spacing w:before="240" w:after="120"/>
                        <w:ind w:hanging="0" w:start="0" w:end="0"/>
                        <w:jc w:val="center"/>
                        <w:rPr>
                          <w:sz w:val="122"/>
                          <w:szCs w:val="110"/>
                        </w:rPr>
                      </w:pPr>
                      <w:r>
                        <w:rPr>
                          <w:rFonts w:ascii="Sketch Book" w:hAnsi="Sketch Book"/>
                          <w:b w:val="false"/>
                          <w:bCs/>
                          <w:i w:val="false"/>
                          <w:iCs w:val="false"/>
                          <w:caps w:val="false"/>
                          <w:smallCaps w:val="false"/>
                          <w:color w:themeColor="accent1" w:themeShade="bf" w:val="365F91"/>
                          <w:spacing w:val="0"/>
                          <w:sz w:val="122"/>
                          <w:szCs w:val="110"/>
                        </w:rPr>
                        <w:t>R</w:t>
                      </w:r>
                      <w:r>
                        <w:rPr>
                          <w:rFonts w:ascii="Sketch Book" w:hAnsi="Sketch Book"/>
                          <w:b w:val="false"/>
                          <w:bCs/>
                          <w:i w:val="false"/>
                          <w:iCs w:val="false"/>
                          <w:caps w:val="false"/>
                          <w:smallCaps w:val="false"/>
                          <w:color w:themeColor="accent1" w:themeShade="bf" w:val="365F91"/>
                          <w:spacing w:val="0"/>
                          <w:sz w:val="122"/>
                          <w:szCs w:val="110"/>
                        </w:rPr>
                        <w:t>e</w:t>
                      </w:r>
                      <w:r>
                        <w:rPr>
                          <w:rFonts w:ascii="Sketch Book" w:hAnsi="Sketch Book"/>
                          <w:b w:val="false"/>
                          <w:bCs/>
                          <w:i w:val="false"/>
                          <w:iCs w:val="false"/>
                          <w:caps w:val="false"/>
                          <w:smallCaps w:val="false"/>
                          <w:color w:themeColor="accent1" w:themeShade="bf" w:val="365F91"/>
                          <w:spacing w:val="0"/>
                          <w:sz w:val="122"/>
                          <w:szCs w:val="110"/>
                        </w:rPr>
                        <w:t>a</w:t>
                      </w:r>
                      <w:r>
                        <w:rPr>
                          <w:rFonts w:ascii="Sketch Book" w:hAnsi="Sketch Book"/>
                          <w:b w:val="false"/>
                          <w:bCs/>
                          <w:i w:val="false"/>
                          <w:iCs w:val="false"/>
                          <w:caps w:val="false"/>
                          <w:smallCaps w:val="false"/>
                          <w:color w:themeColor="accent1" w:themeShade="bf" w:val="365F91"/>
                          <w:spacing w:val="0"/>
                          <w:sz w:val="122"/>
                          <w:szCs w:val="110"/>
                        </w:rPr>
                        <w:t xml:space="preserve">l </w:t>
                      </w:r>
                      <w:r>
                        <w:rPr>
                          <w:rFonts w:ascii="Sketch Book" w:hAnsi="Sketch Book"/>
                          <w:b w:val="false"/>
                          <w:bCs/>
                          <w:i w:val="false"/>
                          <w:iCs w:val="false"/>
                          <w:caps w:val="false"/>
                          <w:smallCaps w:val="false"/>
                          <w:color w:themeColor="accent1" w:themeShade="bf" w:val="365F91"/>
                          <w:spacing w:val="0"/>
                          <w:sz w:val="122"/>
                          <w:szCs w:val="110"/>
                        </w:rPr>
                        <w:t>e</w:t>
                      </w:r>
                      <w:r>
                        <w:rPr>
                          <w:rFonts w:ascii="Sketch Book" w:hAnsi="Sketch Book"/>
                          <w:b w:val="false"/>
                          <w:bCs/>
                          <w:i w:val="false"/>
                          <w:iCs w:val="false"/>
                          <w:caps w:val="false"/>
                          <w:smallCaps w:val="false"/>
                          <w:color w:themeColor="accent1" w:themeShade="bf" w:val="365F91"/>
                          <w:spacing w:val="0"/>
                          <w:sz w:val="122"/>
                          <w:szCs w:val="110"/>
                        </w:rPr>
                        <w:t>s</w:t>
                      </w:r>
                      <w:r>
                        <w:rPr>
                          <w:rFonts w:ascii="Sketch Book" w:hAnsi="Sketch Book"/>
                          <w:b w:val="false"/>
                          <w:bCs/>
                          <w:i w:val="false"/>
                          <w:iCs w:val="false"/>
                          <w:caps w:val="false"/>
                          <w:smallCaps w:val="false"/>
                          <w:color w:themeColor="accent1" w:themeShade="bf" w:val="365F91"/>
                          <w:spacing w:val="0"/>
                          <w:sz w:val="122"/>
                          <w:szCs w:val="110"/>
                        </w:rPr>
                        <w:t>t</w:t>
                      </w:r>
                      <w:r>
                        <w:rPr>
                          <w:rFonts w:ascii="Sketch Book" w:hAnsi="Sketch Book"/>
                          <w:b w:val="false"/>
                          <w:bCs/>
                          <w:i w:val="false"/>
                          <w:iCs w:val="false"/>
                          <w:caps w:val="false"/>
                          <w:smallCaps w:val="false"/>
                          <w:color w:themeColor="accent1" w:themeShade="bf" w:val="365F91"/>
                          <w:spacing w:val="0"/>
                          <w:sz w:val="122"/>
                          <w:szCs w:val="110"/>
                        </w:rPr>
                        <w:t>a</w:t>
                      </w:r>
                      <w:r>
                        <w:rPr>
                          <w:rFonts w:ascii="Sketch Book" w:hAnsi="Sketch Book"/>
                          <w:b w:val="false"/>
                          <w:bCs/>
                          <w:i w:val="false"/>
                          <w:iCs w:val="false"/>
                          <w:caps w:val="false"/>
                          <w:smallCaps w:val="false"/>
                          <w:color w:themeColor="accent1" w:themeShade="bf" w:val="365F91"/>
                          <w:spacing w:val="0"/>
                          <w:sz w:val="122"/>
                          <w:szCs w:val="110"/>
                        </w:rPr>
                        <w:t>t</w:t>
                      </w:r>
                      <w:r>
                        <w:rPr>
                          <w:rFonts w:ascii="Sketch Book" w:hAnsi="Sketch Book"/>
                          <w:b w:val="false"/>
                          <w:bCs/>
                          <w:i w:val="false"/>
                          <w:iCs w:val="false"/>
                          <w:caps w:val="false"/>
                          <w:smallCaps w:val="false"/>
                          <w:color w:themeColor="accent1" w:themeShade="bf" w:val="365F91"/>
                          <w:spacing w:val="0"/>
                          <w:sz w:val="122"/>
                          <w:szCs w:val="110"/>
                        </w:rPr>
                        <w:t>e</w:t>
                      </w:r>
                      <w:r>
                        <w:rPr>
                          <w:rFonts w:ascii="Sketch Book" w:hAnsi="Sketch Book"/>
                          <w:b w:val="false"/>
                          <w:bCs/>
                          <w:i w:val="false"/>
                          <w:iCs w:val="false"/>
                          <w:caps w:val="false"/>
                          <w:smallCaps w:val="false"/>
                          <w:color w:themeColor="accent1" w:themeShade="bf" w:val="365F91"/>
                          <w:spacing w:val="0"/>
                          <w:sz w:val="122"/>
                          <w:szCs w:val="110"/>
                        </w:rPr>
                        <w:t xml:space="preserve"> </w:t>
                      </w:r>
                    </w:p>
                    <w:p>
                      <w:pPr>
                        <w:pStyle w:val="BodyText"/>
                        <w:widowControl/>
                        <w:spacing w:before="240" w:after="120"/>
                        <w:ind w:hanging="0" w:start="0" w:end="0"/>
                        <w:jc w:val="center"/>
                        <w:rPr>
                          <w:sz w:val="110"/>
                          <w:szCs w:val="110"/>
                        </w:rPr>
                      </w:pPr>
                      <w:r>
                        <w:rPr>
                          <w:color w:val="000000"/>
                        </w:rPr>
                      </w:r>
                    </w:p>
                  </w:txbxContent>
                </v:textbox>
                <w10:wrap type="none"/>
              </v:rect>
            </w:pict>
          </mc:Fallback>
        </mc:AlternateContent>
      </w:r>
    </w:p>
    <w:p>
      <w:pPr>
        <w:pStyle w:val="Normal"/>
        <w:rPr>
          <w:highlight w:val="none"/>
          <w:shd w:fill="auto" w:val="clear"/>
        </w:rPr>
      </w:pPr>
      <w:r>
        <w:rPr>
          <w:shd w:fill="auto" w:val="clea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highlight w:val="none"/>
          <w:shd w:fill="auto" w:val="clear"/>
        </w:rPr>
      </w:pPr>
      <w:r>
        <w:rPr>
          <w:shd w:fill="auto" w:val="clear"/>
        </w:rPr>
      </w:r>
    </w:p>
    <w:p>
      <w:pPr>
        <w:pStyle w:val="Title"/>
        <w:rPr>
          <w:highlight w:val="none"/>
          <w:shd w:fill="auto" w:val="clear"/>
        </w:rPr>
      </w:pPr>
      <w:r>
        <w:rPr>
          <w:shd w:fill="auto" w:val="clear"/>
        </w:rPr>
      </w:r>
    </w:p>
    <w:p>
      <w:pPr>
        <w:pStyle w:val="BodyText"/>
        <w:widowControl/>
        <w:numPr>
          <w:ilvl w:val="0"/>
          <w:numId w:val="0"/>
        </w:numPr>
        <w:suppressAutoHyphens w:val="true"/>
        <w:bidi w:val="0"/>
        <w:spacing w:lineRule="auto" w:line="276" w:before="0" w:after="140"/>
        <w:ind w:hanging="0" w:start="0" w:end="0"/>
        <w:jc w:val="center"/>
        <w:rPr>
          <w:rStyle w:val="Strong"/>
          <w:sz w:val="40"/>
          <w:szCs w:val="24"/>
        </w:rPr>
      </w:pPr>
      <w:r>
        <w:rPr>
          <w:shd w:fill="auto" w:val="clear"/>
        </w:rPr>
      </w:r>
    </w:p>
    <w:p>
      <w:pPr>
        <w:pStyle w:val="BodyText"/>
        <w:widowControl/>
        <w:numPr>
          <w:ilvl w:val="0"/>
          <w:numId w:val="2"/>
        </w:numPr>
        <w:suppressAutoHyphens w:val="true"/>
        <w:bidi w:val="0"/>
        <w:spacing w:lineRule="auto" w:line="276" w:before="0" w:after="140"/>
        <w:ind w:hanging="0" w:start="0" w:end="0"/>
        <w:jc w:val="center"/>
        <w:rPr>
          <w:highlight w:val="none"/>
          <w:shd w:fill="auto" w:val="clear"/>
        </w:rPr>
      </w:pPr>
      <w:r>
        <w:rPr>
          <w:rStyle w:val="Strong"/>
          <w:sz w:val="40"/>
          <w:szCs w:val="24"/>
          <w:shd w:fill="auto" w:val="clear"/>
        </w:rPr>
        <w:t xml:space="preserve">Real Estate in Porto Alegre: </w:t>
      </w:r>
    </w:p>
    <w:p>
      <w:pPr>
        <w:pStyle w:val="BodyText"/>
        <w:widowControl/>
        <w:numPr>
          <w:ilvl w:val="0"/>
          <w:numId w:val="0"/>
        </w:numPr>
        <w:suppressAutoHyphens w:val="true"/>
        <w:bidi w:val="0"/>
        <w:spacing w:lineRule="auto" w:line="276" w:before="0" w:after="140"/>
        <w:ind w:hanging="0" w:start="0" w:end="0"/>
        <w:jc w:val="center"/>
        <w:rPr>
          <w:sz w:val="40"/>
          <w:szCs w:val="24"/>
          <w:highlight w:val="none"/>
          <w:shd w:fill="auto" w:val="clear"/>
        </w:rPr>
      </w:pPr>
      <w:r>
        <w:rPr>
          <w:rStyle w:val="Strong"/>
          <w:sz w:val="40"/>
          <w:szCs w:val="24"/>
          <w:shd w:fill="auto" w:val="clear"/>
        </w:rPr>
        <w:t>Market Dynamics and High-Performance Sales Tactics</w:t>
      </w:r>
    </w:p>
    <w:p>
      <w:pPr>
        <w:pStyle w:val="BodyText"/>
        <w:widowControl/>
        <w:numPr>
          <w:ilvl w:val="0"/>
          <w:numId w:val="2"/>
        </w:numPr>
        <w:suppressAutoHyphens w:val="true"/>
        <w:bidi w:val="0"/>
        <w:spacing w:lineRule="auto" w:line="276" w:before="0" w:after="140"/>
        <w:ind w:firstLine="1440" w:start="0" w:end="0"/>
        <w:jc w:val="center"/>
        <w:rPr>
          <w:rStyle w:val="Strong"/>
          <w:sz w:val="40"/>
          <w:szCs w:val="24"/>
          <w:highlight w:val="none"/>
          <w:shd w:fill="auto" w:val="clear"/>
        </w:rPr>
      </w:pPr>
      <w:r>
        <w:rPr>
          <w:sz w:val="40"/>
          <w:szCs w:val="24"/>
          <w:shd w:fill="auto" w:val="clear"/>
        </w:rPr>
      </w:r>
    </w:p>
    <w:p>
      <w:pPr>
        <w:pStyle w:val="BodyText"/>
        <w:widowControl/>
        <w:suppressAutoHyphens w:val="true"/>
        <w:bidi w:val="0"/>
        <w:spacing w:lineRule="auto" w:line="360" w:before="0" w:after="140"/>
        <w:ind w:firstLine="1440" w:start="0" w:end="0"/>
        <w:jc w:val="both"/>
        <w:rPr>
          <w:sz w:val="40"/>
        </w:rPr>
      </w:pPr>
      <w:r>
        <w:rPr>
          <w:sz w:val="40"/>
        </w:rPr>
        <w:t>Porto Alegre presents a complex and highly segmented real estate market. Demand varies significantly by neighborhood, lifestyle, and buyer profile, ranging from compact apartments in Cidade Baixa and Bom Fim to high-end residences in Bela Vista, Moinhos de Vento, and Três Figueiras, as well as family-oriented developments in the southern zone of the city. Understanding these micro-markets is essential for any professional aiming to operate successfully in local real estate.</w:t>
      </w:r>
    </w:p>
    <w:p>
      <w:pPr>
        <w:pStyle w:val="BodyText"/>
        <w:widowControl/>
        <w:suppressAutoHyphens w:val="true"/>
        <w:bidi w:val="0"/>
        <w:spacing w:lineRule="auto" w:line="360" w:before="0" w:after="140"/>
        <w:ind w:firstLine="1440" w:start="0" w:end="0"/>
        <w:jc w:val="both"/>
        <w:rPr>
          <w:sz w:val="40"/>
        </w:rPr>
      </w:pPr>
      <w:r>
        <w:rPr>
          <w:sz w:val="40"/>
        </w:rPr>
        <w:t>In recent years, buyers in Porto Alegre have become more informed and cautious. They compare prices per square meter, analyze condominium fees, evaluate sun exposure, ventilation, security, and access to services, and often negotiate aggressively. As a result, successful real estate sales today rely less on persuasion alone and more on strategy, credibility, and deep market knowledge.</w:t>
      </w:r>
    </w:p>
    <w:p>
      <w:pPr>
        <w:pStyle w:val="Heading3"/>
        <w:widowControl/>
        <w:suppressAutoHyphens w:val="true"/>
        <w:bidi w:val="0"/>
        <w:spacing w:lineRule="auto" w:line="360" w:before="0" w:after="140"/>
        <w:ind w:firstLine="1440" w:start="0" w:end="0"/>
        <w:jc w:val="both"/>
        <w:rPr>
          <w:rFonts w:ascii="Times New Roman" w:hAnsi="Times New Roman" w:eastAsia="Droid Sans Fallback" w:cs="Droid Sans Devanagari"/>
          <w:sz w:val="40"/>
          <w:szCs w:val="24"/>
        </w:rPr>
      </w:pPr>
      <w:r>
        <w:rPr>
          <w:rFonts w:eastAsia="Droid Sans Fallback" w:cs="Droid Sans Devanagari" w:ascii="Times New Roman" w:hAnsi="Times New Roman"/>
          <w:sz w:val="40"/>
          <w:szCs w:val="24"/>
        </w:rPr>
        <w:t>Understanding the Buyer Before Selling the Property</w:t>
      </w:r>
    </w:p>
    <w:p>
      <w:pPr>
        <w:pStyle w:val="BodyText"/>
        <w:widowControl/>
        <w:suppressAutoHyphens w:val="true"/>
        <w:bidi w:val="0"/>
        <w:spacing w:lineRule="auto" w:line="360" w:before="0" w:after="140"/>
        <w:ind w:firstLine="1440" w:start="0" w:end="0"/>
        <w:jc w:val="both"/>
        <w:rPr>
          <w:sz w:val="40"/>
        </w:rPr>
      </w:pPr>
      <w:r>
        <w:rPr>
          <w:sz w:val="40"/>
        </w:rPr>
        <w:t>Great salespeople start by diagnosing the buyer’s real needs. Instead of immediately promoting the property, they ask precise questions about lifestyle, family structure, work routine, budget limits, and long-term plans. A young professional working remotely may value natural light, internet infrastructure, and proximity to cafés, while a family may prioritize parking spaces, security, schools, and green areas.</w:t>
      </w:r>
    </w:p>
    <w:p>
      <w:pPr>
        <w:pStyle w:val="BodyText"/>
        <w:widowControl/>
        <w:suppressAutoHyphens w:val="true"/>
        <w:bidi w:val="0"/>
        <w:spacing w:lineRule="auto" w:line="360" w:before="0" w:after="140"/>
        <w:ind w:firstLine="1440" w:start="0" w:end="0"/>
        <w:jc w:val="both"/>
        <w:rPr>
          <w:sz w:val="40"/>
        </w:rPr>
      </w:pPr>
      <w:r>
        <w:rPr>
          <w:sz w:val="40"/>
        </w:rPr>
        <w:t>This consultative approach builds trust and prevents wasted visits. In Porto Alegre, where traffic, weather, and neighborhood identity strongly influence daily life, aligning the property with the buyer’s routine is often the decisive factor.</w:t>
      </w:r>
    </w:p>
    <w:p>
      <w:pPr>
        <w:pStyle w:val="Heading3"/>
        <w:widowControl/>
        <w:suppressAutoHyphens w:val="true"/>
        <w:bidi w:val="0"/>
        <w:spacing w:lineRule="auto" w:line="360" w:before="0" w:after="140"/>
        <w:ind w:firstLine="1440" w:start="0" w:end="0"/>
        <w:jc w:val="both"/>
        <w:rPr>
          <w:rFonts w:ascii="Times New Roman" w:hAnsi="Times New Roman" w:eastAsia="Droid Sans Fallback" w:cs="Droid Sans Devanagari"/>
          <w:sz w:val="40"/>
          <w:szCs w:val="24"/>
        </w:rPr>
      </w:pPr>
      <w:r>
        <w:rPr>
          <w:rFonts w:eastAsia="Droid Sans Fallback" w:cs="Droid Sans Devanagari" w:ascii="Times New Roman" w:hAnsi="Times New Roman"/>
          <w:sz w:val="40"/>
          <w:szCs w:val="24"/>
        </w:rPr>
        <w:t>Mastery of the Local Market Narrative</w:t>
      </w:r>
    </w:p>
    <w:p>
      <w:pPr>
        <w:pStyle w:val="BodyText"/>
        <w:widowControl/>
        <w:suppressAutoHyphens w:val="true"/>
        <w:bidi w:val="0"/>
        <w:spacing w:lineRule="auto" w:line="360" w:before="0" w:after="140"/>
        <w:ind w:firstLine="1440" w:start="0" w:end="0"/>
        <w:jc w:val="both"/>
        <w:rPr>
          <w:sz w:val="40"/>
        </w:rPr>
      </w:pPr>
      <w:r>
        <w:rPr>
          <w:sz w:val="40"/>
        </w:rPr>
        <w:t>Top-performing agents do not merely describe an apartment; they contextualize it. They explain why a certain street is quieter, why a neighborhood is undervalued and likely to appreciate, or how future infrastructure projects may impact property values. In Porto Alegre, factors such as flood risk areas, elevation, wind patterns, and historical zoning decisions can significantly affect desirability and price.</w:t>
      </w:r>
    </w:p>
    <w:p>
      <w:pPr>
        <w:pStyle w:val="BodyText"/>
        <w:widowControl/>
        <w:suppressAutoHyphens w:val="true"/>
        <w:bidi w:val="0"/>
        <w:spacing w:lineRule="auto" w:line="360" w:before="0" w:after="140"/>
        <w:ind w:firstLine="1440" w:start="0" w:end="0"/>
        <w:jc w:val="both"/>
        <w:rPr>
          <w:sz w:val="40"/>
        </w:rPr>
      </w:pPr>
      <w:r>
        <w:rPr>
          <w:sz w:val="40"/>
        </w:rPr>
        <w:t>By translating technical data into clear advantages, skilled salespeople position themselves as advisors rather than intermediaries.</w:t>
      </w:r>
    </w:p>
    <w:p>
      <w:pPr>
        <w:pStyle w:val="Heading3"/>
        <w:widowControl/>
        <w:suppressAutoHyphens w:val="true"/>
        <w:bidi w:val="0"/>
        <w:spacing w:lineRule="auto" w:line="360" w:before="0" w:after="140"/>
        <w:ind w:firstLine="1440" w:start="0" w:end="0"/>
        <w:jc w:val="both"/>
        <w:rPr>
          <w:rFonts w:ascii="Times New Roman" w:hAnsi="Times New Roman" w:eastAsia="Droid Sans Fallback" w:cs="Droid Sans Devanagari"/>
          <w:sz w:val="40"/>
          <w:szCs w:val="24"/>
        </w:rPr>
      </w:pPr>
      <w:r>
        <w:rPr>
          <w:rFonts w:eastAsia="Droid Sans Fallback" w:cs="Droid Sans Devanagari" w:ascii="Times New Roman" w:hAnsi="Times New Roman"/>
          <w:sz w:val="40"/>
          <w:szCs w:val="24"/>
        </w:rPr>
        <w:t>Emotional Storytelling Combined with Concrete Data</w:t>
      </w:r>
    </w:p>
    <w:p>
      <w:pPr>
        <w:pStyle w:val="BodyText"/>
        <w:widowControl/>
        <w:suppressAutoHyphens w:val="true"/>
        <w:bidi w:val="0"/>
        <w:spacing w:lineRule="auto" w:line="360" w:before="0" w:after="140"/>
        <w:ind w:firstLine="1440" w:start="0" w:end="0"/>
        <w:jc w:val="both"/>
        <w:rPr>
          <w:sz w:val="40"/>
        </w:rPr>
      </w:pPr>
      <w:r>
        <w:rPr>
          <w:sz w:val="40"/>
        </w:rPr>
        <w:t>While buying a property is a rational investment, it is also an emotional decision. Excellent salespeople know how to help clients imagine their future in the space: hosting friends on the balcony, enjoying winter afternoons with good insulation, or living within walking distance of parks like Parcão or Redenção.</w:t>
      </w:r>
    </w:p>
    <w:p>
      <w:pPr>
        <w:pStyle w:val="BodyText"/>
        <w:widowControl/>
        <w:suppressAutoHyphens w:val="true"/>
        <w:bidi w:val="0"/>
        <w:spacing w:lineRule="auto" w:line="360" w:before="0" w:after="140"/>
        <w:ind w:firstLine="1440" w:start="0" w:end="0"/>
        <w:jc w:val="both"/>
        <w:rPr>
          <w:sz w:val="40"/>
        </w:rPr>
      </w:pPr>
      <w:r>
        <w:rPr>
          <w:sz w:val="40"/>
        </w:rPr>
        <w:t>However, storytelling alone is insufficient. The best professionals reinforce emotional appeal with hard facts: recent sales comparisons, construction quality, energy efficiency, resale potential, and realistic maintenance costs. This balance reassures buyers and accelerates decision-making.</w:t>
      </w:r>
    </w:p>
    <w:p>
      <w:pPr>
        <w:pStyle w:val="Heading3"/>
        <w:widowControl/>
        <w:suppressAutoHyphens w:val="true"/>
        <w:bidi w:val="0"/>
        <w:spacing w:lineRule="auto" w:line="360" w:before="0" w:after="140"/>
        <w:ind w:firstLine="1440" w:start="0" w:end="0"/>
        <w:jc w:val="both"/>
        <w:rPr>
          <w:rFonts w:ascii="Times New Roman" w:hAnsi="Times New Roman" w:eastAsia="Droid Sans Fallback" w:cs="Droid Sans Devanagari"/>
          <w:sz w:val="40"/>
          <w:szCs w:val="24"/>
        </w:rPr>
      </w:pPr>
      <w:r>
        <w:rPr>
          <w:rFonts w:eastAsia="Droid Sans Fallback" w:cs="Droid Sans Devanagari" w:ascii="Times New Roman" w:hAnsi="Times New Roman"/>
          <w:sz w:val="40"/>
          <w:szCs w:val="24"/>
        </w:rPr>
        <w:t>Strategic Property Presentation</w:t>
      </w:r>
    </w:p>
    <w:p>
      <w:pPr>
        <w:pStyle w:val="BodyText"/>
        <w:widowControl/>
        <w:suppressAutoHyphens w:val="true"/>
        <w:bidi w:val="0"/>
        <w:spacing w:lineRule="auto" w:line="360" w:before="0" w:after="140"/>
        <w:ind w:firstLine="1440" w:start="0" w:end="0"/>
        <w:jc w:val="both"/>
        <w:rPr>
          <w:sz w:val="40"/>
        </w:rPr>
      </w:pPr>
      <w:r>
        <w:rPr>
          <w:sz w:val="40"/>
        </w:rPr>
        <w:t>High-level salespeople understand that presentation is not cosmetic—it is strategic. Clean, well-lit, neutral spaces sell faster and at better prices. Minor adjustments such as decluttering, repainting, improving lighting, and optimizing furniture layout can dramatically change perception.</w:t>
      </w:r>
    </w:p>
    <w:p>
      <w:pPr>
        <w:pStyle w:val="BodyText"/>
        <w:widowControl/>
        <w:suppressAutoHyphens w:val="true"/>
        <w:bidi w:val="0"/>
        <w:spacing w:lineRule="auto" w:line="360" w:before="0" w:after="140"/>
        <w:ind w:firstLine="1440" w:start="0" w:end="0"/>
        <w:jc w:val="both"/>
        <w:rPr>
          <w:sz w:val="40"/>
        </w:rPr>
      </w:pPr>
      <w:r>
        <w:rPr>
          <w:sz w:val="40"/>
        </w:rPr>
        <w:t>In Porto Alegre, where many buildings are older, emphasizing renovations, structural maintenance, and soundproofing is particularly important. Transparency about the property’s condition increases credibility and reduces objections.</w:t>
      </w:r>
    </w:p>
    <w:p>
      <w:pPr>
        <w:pStyle w:val="Heading3"/>
        <w:widowControl/>
        <w:suppressAutoHyphens w:val="true"/>
        <w:bidi w:val="0"/>
        <w:spacing w:lineRule="auto" w:line="360" w:before="0" w:after="140"/>
        <w:ind w:firstLine="1440" w:start="0" w:end="0"/>
        <w:jc w:val="both"/>
        <w:rPr>
          <w:rFonts w:ascii="Times New Roman" w:hAnsi="Times New Roman" w:eastAsia="Droid Sans Fallback" w:cs="Droid Sans Devanagari"/>
          <w:sz w:val="40"/>
          <w:szCs w:val="24"/>
        </w:rPr>
      </w:pPr>
      <w:r>
        <w:rPr>
          <w:rFonts w:eastAsia="Droid Sans Fallback" w:cs="Droid Sans Devanagari" w:ascii="Times New Roman" w:hAnsi="Times New Roman"/>
          <w:sz w:val="40"/>
          <w:szCs w:val="24"/>
        </w:rPr>
        <w:t>Negotiation as Value Protection, Not Price Reduction</w:t>
      </w:r>
    </w:p>
    <w:p>
      <w:pPr>
        <w:pStyle w:val="BodyText"/>
        <w:widowControl/>
        <w:suppressAutoHyphens w:val="true"/>
        <w:bidi w:val="0"/>
        <w:spacing w:lineRule="auto" w:line="360" w:before="0" w:after="140"/>
        <w:ind w:firstLine="1440" w:start="0" w:end="0"/>
        <w:jc w:val="both"/>
        <w:rPr>
          <w:sz w:val="40"/>
        </w:rPr>
      </w:pPr>
      <w:r>
        <w:rPr>
          <w:sz w:val="40"/>
        </w:rPr>
        <w:t>Advanced sales tactics treat negotiation as a process of protecting value rather than simply conceding discounts. Skilled agents anticipate objections, justify pricing with market evidence, and frame concessions as mutual gains. They also know when silence is more effective than argument and when urgency must be created ethically, based on real demand.</w:t>
      </w:r>
    </w:p>
    <w:p>
      <w:pPr>
        <w:pStyle w:val="BodyText"/>
        <w:widowControl/>
        <w:suppressAutoHyphens w:val="true"/>
        <w:bidi w:val="0"/>
        <w:spacing w:lineRule="auto" w:line="360" w:before="0" w:after="140"/>
        <w:ind w:firstLine="1440" w:start="0" w:end="0"/>
        <w:jc w:val="both"/>
        <w:rPr>
          <w:sz w:val="40"/>
        </w:rPr>
      </w:pPr>
      <w:r>
        <w:rPr>
          <w:sz w:val="40"/>
        </w:rPr>
        <w:t>In a market like Porto Alegre, where buyers often expect negotiation, the ability to defend price while maintaining rapport is a defining skill of elite salespeople.</w:t>
      </w:r>
    </w:p>
    <w:p>
      <w:pPr>
        <w:pStyle w:val="Heading3"/>
        <w:widowControl/>
        <w:suppressAutoHyphens w:val="true"/>
        <w:bidi w:val="0"/>
        <w:spacing w:lineRule="auto" w:line="360" w:before="0" w:after="140"/>
        <w:ind w:firstLine="1440" w:start="0" w:end="0"/>
        <w:jc w:val="both"/>
        <w:rPr>
          <w:rFonts w:ascii="Times New Roman" w:hAnsi="Times New Roman" w:eastAsia="Droid Sans Fallback" w:cs="Droid Sans Devanagari"/>
          <w:sz w:val="40"/>
          <w:szCs w:val="24"/>
        </w:rPr>
      </w:pPr>
      <w:r>
        <w:rPr>
          <w:rFonts w:eastAsia="Droid Sans Fallback" w:cs="Droid Sans Devanagari" w:ascii="Times New Roman" w:hAnsi="Times New Roman"/>
          <w:sz w:val="40"/>
          <w:szCs w:val="24"/>
        </w:rPr>
        <w:t>Long-Term Relationship Building</w:t>
      </w:r>
    </w:p>
    <w:p>
      <w:pPr>
        <w:pStyle w:val="BodyText"/>
        <w:widowControl/>
        <w:suppressAutoHyphens w:val="true"/>
        <w:bidi w:val="0"/>
        <w:spacing w:lineRule="auto" w:line="360" w:before="0" w:after="140"/>
        <w:ind w:firstLine="1440" w:start="0" w:end="0"/>
        <w:jc w:val="both"/>
        <w:rPr>
          <w:sz w:val="40"/>
        </w:rPr>
      </w:pPr>
      <w:r>
        <w:rPr>
          <w:sz w:val="40"/>
        </w:rPr>
        <w:t>Finally, the most successful real estate professionals think beyond a single transaction. They maintain relationships, provide post-sale support, and position themselves as long-term references. In a city with strong local networks and word-of-mouth influence, reputation is a powerful asset.</w:t>
      </w:r>
    </w:p>
    <w:p>
      <w:pPr>
        <w:pStyle w:val="BodyText"/>
        <w:widowControl/>
        <w:suppressAutoHyphens w:val="true"/>
        <w:bidi w:val="0"/>
        <w:spacing w:lineRule="auto" w:line="360" w:before="0" w:after="140"/>
        <w:ind w:firstLine="1440" w:start="0" w:end="0"/>
        <w:jc w:val="both"/>
        <w:rPr>
          <w:sz w:val="40"/>
        </w:rPr>
      </w:pPr>
      <w:r>
        <w:rPr>
          <w:sz w:val="40"/>
        </w:rPr>
        <w:t>By combining market intelligence, emotional intelligence, strategic communication, and ethical negotiation, great salespeople in Porto Alegre consistently outperform average agents and create lasting value for both buyers and sellers.</w:t>
      </w:r>
    </w:p>
    <w:p>
      <w:pPr>
        <w:pStyle w:val="BodyText"/>
        <w:widowControl/>
        <w:suppressAutoHyphens w:val="true"/>
        <w:bidi w:val="0"/>
        <w:spacing w:lineRule="auto" w:line="276" w:before="0" w:after="140"/>
        <w:ind w:firstLine="1440" w:start="0" w:end="0"/>
        <w:jc w:val="both"/>
        <w:rPr>
          <w:sz w:val="40"/>
          <w:szCs w:val="24"/>
          <w:highlight w:val="none"/>
          <w:shd w:fill="auto" w:val="clear"/>
        </w:rPr>
      </w:pPr>
      <w:r>
        <w:rPr>
          <w:sz w:val="40"/>
          <w:szCs w:val="24"/>
          <w:shd w:fill="auto" w:val="clea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Arial">
    <w:charset w:val="01" w:characterSet="utf-8"/>
    <w:family w:val="swiss"/>
    <w:pitch w:val="variable"/>
  </w:font>
  <w:font w:name="Sketch Book">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urce Han Sans CN" w:cs="Noto Sans Devanagari"/>
      <w:b/>
      <w:bCs/>
      <w:sz w:val="28"/>
      <w:szCs w:val="28"/>
    </w:rPr>
  </w:style>
  <w:style w:type="character" w:styleId="Smbolosdenumerao">
    <w:name w:val="Símbolos de numeração"/>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277</TotalTime>
  <Application>LibreOffice/25.8.3.2$Linux_X86_64 LibreOffice_project/580$Build-2</Application>
  <AppVersion>15.0000</AppVersion>
  <Pages>6</Pages>
  <Words>637</Words>
  <Characters>4003</Characters>
  <CharactersWithSpaces>4615</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2025-12-16T14:36:17Z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