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sz w:val="36"/>
        </w:rPr>
      </w:pPr>
      <w:r>
        <w:rPr>
          <w:sz w:val="36"/>
        </w:rPr>
        <mc:AlternateContent>
          <mc:Choice Requires="wps">
            <w:drawing>
              <wp:anchor behindDoc="0" distT="0" distB="0" distL="0" distR="0" simplePos="0" locked="0" layoutInCell="1" allowOverlap="1" relativeHeight="5">
                <wp:simplePos x="0" y="0"/>
                <wp:positionH relativeFrom="column">
                  <wp:posOffset>577215</wp:posOffset>
                </wp:positionH>
                <wp:positionV relativeFrom="paragraph">
                  <wp:posOffset>-162560</wp:posOffset>
                </wp:positionV>
                <wp:extent cx="4925695" cy="1256665"/>
                <wp:effectExtent l="0" t="0" r="0" b="0"/>
                <wp:wrapNone/>
                <wp:docPr id="1" name="Quadro 4"/>
                <a:graphic xmlns:a="http://schemas.openxmlformats.org/drawingml/2006/main">
                  <a:graphicData uri="http://schemas.microsoft.com/office/word/2010/wordprocessingShape">
                    <wps:wsp>
                      <wps:cNvSpPr/>
                      <wps:spPr>
                        <a:xfrm>
                          <a:off x="0" y="0"/>
                          <a:ext cx="4925520" cy="1256760"/>
                        </a:xfrm>
                        <a:prstGeom prst="rect">
                          <a:avLst/>
                        </a:prstGeom>
                        <a:noFill/>
                        <a:ln w="0">
                          <a:noFill/>
                        </a:ln>
                      </wps:spPr>
                      <wps:style>
                        <a:lnRef idx="0"/>
                        <a:fillRef idx="0"/>
                        <a:effectRef idx="0"/>
                        <a:fontRef idx="minor"/>
                      </wps:style>
                      <wps:txbx>
                        <w:txbxContent>
                          <w:p>
                            <w:pPr>
                              <w:pStyle w:val="Heading1"/>
                              <w:widowControl/>
                              <w:numPr>
                                <w:ilvl w:val="0"/>
                                <w:numId w:val="0"/>
                              </w:numPr>
                              <w:bidi w:val="0"/>
                              <w:spacing w:before="240" w:after="120"/>
                              <w:ind w:hanging="0" w:start="0" w:end="0"/>
                              <w:jc w:val="center"/>
                              <w:rPr>
                                <w:sz w:val="82"/>
                                <w:szCs w:val="110"/>
                              </w:rPr>
                            </w:pPr>
                            <w:r>
                              <w:rPr>
                                <w:rStyle w:val="Strong"/>
                                <w:rFonts w:ascii="Sketch Book" w:hAnsi="Sketch Book"/>
                                <w:b w:val="false"/>
                                <w:bCs w:val="false"/>
                                <w:i w:val="false"/>
                                <w:iCs w:val="false"/>
                                <w:caps w:val="false"/>
                                <w:smallCaps w:val="false"/>
                                <w:color w:themeColor="accent1" w:themeShade="bf" w:val="365F91"/>
                                <w:spacing w:val="0"/>
                                <w:sz w:val="78"/>
                                <w:szCs w:val="110"/>
                              </w:rPr>
                              <w:t>Sales strategy</w:t>
                            </w:r>
                          </w:p>
                        </w:txbxContent>
                      </wps:txbx>
                      <wps:bodyPr anchor="t">
                        <a:noAutofit/>
                      </wps:bodyPr>
                    </wps:wsp>
                  </a:graphicData>
                </a:graphic>
              </wp:anchor>
            </w:drawing>
          </mc:Choice>
          <mc:Fallback>
            <w:pict>
              <v:rect id="shape_0" ID="Quadro 4" path="m0,0l-2147483645,0l-2147483645,-2147483646l0,-2147483646xe" stroked="f" o:allowincell="f" style="position:absolute;margin-left:45.45pt;margin-top:-12.8pt;width:387.8pt;height:98.9pt;mso-wrap-style:square;v-text-anchor:top">
                <v:fill o:detectmouseclick="t" on="false"/>
                <v:stroke color="#3465a4" joinstyle="round" endcap="flat"/>
                <v:textbox>
                  <w:txbxContent>
                    <w:p>
                      <w:pPr>
                        <w:pStyle w:val="Heading1"/>
                        <w:widowControl/>
                        <w:numPr>
                          <w:ilvl w:val="0"/>
                          <w:numId w:val="0"/>
                        </w:numPr>
                        <w:bidi w:val="0"/>
                        <w:spacing w:before="240" w:after="120"/>
                        <w:ind w:hanging="0" w:start="0" w:end="0"/>
                        <w:jc w:val="center"/>
                        <w:rPr>
                          <w:sz w:val="82"/>
                          <w:szCs w:val="110"/>
                        </w:rPr>
                      </w:pPr>
                      <w:r>
                        <w:rPr>
                          <w:rStyle w:val="Strong"/>
                          <w:rFonts w:ascii="Sketch Book" w:hAnsi="Sketch Book"/>
                          <w:b w:val="false"/>
                          <w:bCs w:val="false"/>
                          <w:i w:val="false"/>
                          <w:iCs w:val="false"/>
                          <w:caps w:val="false"/>
                          <w:smallCaps w:val="false"/>
                          <w:color w:themeColor="accent1" w:themeShade="bf" w:val="365F91"/>
                          <w:spacing w:val="0"/>
                          <w:sz w:val="78"/>
                          <w:szCs w:val="110"/>
                        </w:rPr>
                        <w:t>Sales strategy</w:t>
                      </w:r>
                    </w:p>
                  </w:txbxContent>
                </v:textbox>
                <w10:wrap type="none"/>
              </v:rect>
            </w:pict>
          </mc:Fallback>
        </mc:AlternateContent>
      </w:r>
    </w:p>
    <w:p>
      <w:pPr>
        <w:pStyle w:val="Normal"/>
        <w:bidi w:val="0"/>
        <w:rPr>
          <w:sz w:val="36"/>
        </w:rPr>
      </w:pPr>
      <w:r>
        <w:rPr>
          <w:sz w:val="36"/>
        </w:rPr>
        <mc:AlternateContent>
          <mc:Choice Requires="wps">
            <w:drawing>
              <wp:anchor behindDoc="1" distT="0" distB="0" distL="0" distR="0" simplePos="0" locked="0" layoutInCell="1" allowOverlap="1" relativeHeight="2">
                <wp:simplePos x="0" y="0"/>
                <wp:positionH relativeFrom="column">
                  <wp:posOffset>4920615</wp:posOffset>
                </wp:positionH>
                <wp:positionV relativeFrom="paragraph">
                  <wp:posOffset>-234950</wp:posOffset>
                </wp:positionV>
                <wp:extent cx="1198880" cy="572135"/>
                <wp:effectExtent l="0" t="0" r="0" b="0"/>
                <wp:wrapNone/>
                <wp:docPr id="2" name="Quadro 3"/>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wps:txbx>
                      <wps:bodyPr anchor="t">
                        <a:noAutofit/>
                      </wps:bodyPr>
                    </wps:wsp>
                  </a:graphicData>
                </a:graphic>
              </wp:anchor>
            </w:drawing>
          </mc:Choice>
          <mc:Fallback>
            <w:pict>
              <v:rect id="shape_0" ID="Quadro 3" path="m0,0l-2147483645,0l-2147483645,-2147483646l0,-2147483646xe" stroked="f" o:allowincell="f" style="position:absolute;margin-left:387.45pt;margin-top:-18.5pt;width:94.35pt;height:45pt;mso-wrap-style:square;v-text-anchor:top">
                <v:fill o:detectmouseclick="t" on="false"/>
                <v:stroke color="#3465a4" joinstyle="round" endcap="flat"/>
                <v:textbo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v:textbox>
                <w10:wrap type="none"/>
              </v:rect>
            </w:pict>
          </mc:Fallback>
        </mc:AlternateContent>
        <mc:AlternateContent>
          <mc:Choice Requires="wps">
            <w:drawing>
              <wp:anchor behindDoc="1" distT="1270" distB="0" distL="1270" distR="0" simplePos="0" locked="0" layoutInCell="1" allowOverlap="1" relativeHeight="4" wp14:anchorId="2323B10C">
                <wp:simplePos x="0" y="0"/>
                <wp:positionH relativeFrom="column">
                  <wp:align>left</wp:align>
                </wp:positionH>
                <wp:positionV relativeFrom="paragraph">
                  <wp:align>center</wp:align>
                </wp:positionV>
                <wp:extent cx="962025" cy="948055"/>
                <wp:effectExtent l="1270" t="1270" r="0" b="0"/>
                <wp:wrapNone/>
                <wp:docPr id="3" name="Imagem 2"/>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 path="l-2147483648,-2147483643l-2147483628,-2147483627l-2147483648,-2147483643l-2147483626,-2147483625xe" stroked="f" o:allowincell="f" style="position:absolute;margin-left:0.1pt;margin-top:-27pt;width:75.7pt;height:74.6pt;mso-wrap-style:none;v-text-anchor:middle;mso-position-horizontal:left;mso-position-vertical:center" wp14:anchorId="2323B10C">
                <v:fill r:id="rId3" o:detectmouseclick="t" type="frame" color2="black"/>
                <v:stroke color="#3465a4" joinstyle="round" endcap="flat"/>
                <w10:wrap type="none"/>
              </v:oval>
            </w:pict>
          </mc:Fallback>
        </mc:AlternateContent>
      </w:r>
    </w:p>
    <w:p>
      <w:pPr>
        <w:pStyle w:val="Normal"/>
        <w:numPr>
          <w:ilvl w:val="0"/>
          <w:numId w:val="3"/>
        </w:numPr>
        <w:bidi w:val="0"/>
        <w:rPr>
          <w:sz w:val="36"/>
        </w:rPr>
      </w:pPr>
      <w:r>
        <w:rPr>
          <w:sz w:val="36"/>
        </w:rPr>
      </w:r>
    </w:p>
    <w:p>
      <w:pPr>
        <w:pStyle w:val="Title"/>
        <w:bidi w:val="0"/>
        <w:rPr>
          <w:sz w:val="64"/>
          <w:szCs w:val="52"/>
        </w:rPr>
      </w:pPr>
      <w:r>
        <w:rPr>
          <w:sz w:val="64"/>
          <w:szCs w:val="52"/>
        </w:rPr>
      </w:r>
    </w:p>
    <w:p>
      <w:pPr>
        <w:pStyle w:val="Heading1"/>
        <w:keepNext w:val="true"/>
        <w:widowControl/>
        <w:numPr>
          <w:ilvl w:val="0"/>
          <w:numId w:val="2"/>
        </w:numPr>
        <w:suppressAutoHyphens w:val="true"/>
        <w:bidi w:val="0"/>
        <w:ind w:hanging="0" w:start="0"/>
        <w:jc w:val="start"/>
        <w:rPr/>
      </w:pPr>
      <w:r>
        <w:rPr>
          <w:rStyle w:val="Strong"/>
          <w:rFonts w:eastAsia="Source Han Sans CN" w:cs="Droid Sans"/>
          <w:b/>
          <w:bCs/>
          <w:color w:val="auto"/>
          <w:kern w:val="2"/>
          <w:sz w:val="56"/>
          <w:szCs w:val="36"/>
          <w:lang w:val="en-GB" w:eastAsia="zh-CN" w:bidi="hi-IN"/>
        </w:rPr>
        <w:t>Sales Strategy in Modern Business</w:t>
      </w:r>
    </w:p>
    <w:p>
      <w:pPr>
        <w:pStyle w:val="BodyText"/>
        <w:jc w:val="both"/>
        <w:rPr/>
      </w:pPr>
      <w:r>
        <w:rPr>
          <w:sz w:val="32"/>
          <w:szCs w:val="24"/>
        </w:rPr>
        <w:t xml:space="preserve">In today’s hyper-competitive marketplace, sales professionals must go beyond traditional tactics to connect with clients and close deals effectively. A key component of this is understanding </w:t>
      </w:r>
      <w:r>
        <w:rPr>
          <w:rStyle w:val="Strong"/>
          <w:sz w:val="32"/>
          <w:szCs w:val="24"/>
        </w:rPr>
        <w:t>customer pain points</w:t>
      </w:r>
      <w:r>
        <w:rPr>
          <w:sz w:val="32"/>
          <w:szCs w:val="24"/>
        </w:rPr>
        <w:t xml:space="preserve"> and </w:t>
      </w:r>
      <w:r>
        <w:rPr>
          <w:rStyle w:val="Strong"/>
          <w:sz w:val="32"/>
          <w:szCs w:val="24"/>
        </w:rPr>
        <w:t>delivering value propositions</w:t>
      </w:r>
      <w:r>
        <w:rPr>
          <w:sz w:val="32"/>
          <w:szCs w:val="24"/>
        </w:rPr>
        <w:t xml:space="preserve"> that resonate. Successful salespeople use a variety of tools, from </w:t>
      </w:r>
      <w:r>
        <w:rPr>
          <w:rStyle w:val="Strong"/>
          <w:sz w:val="32"/>
          <w:szCs w:val="24"/>
        </w:rPr>
        <w:t>CRM (Customer Relationship Management) systems</w:t>
      </w:r>
      <w:r>
        <w:rPr>
          <w:sz w:val="32"/>
          <w:szCs w:val="24"/>
        </w:rPr>
        <w:t xml:space="preserve"> to </w:t>
      </w:r>
      <w:r>
        <w:rPr>
          <w:rStyle w:val="Strong"/>
          <w:sz w:val="32"/>
          <w:szCs w:val="24"/>
        </w:rPr>
        <w:t>pipeline management techniques</w:t>
      </w:r>
      <w:r>
        <w:rPr>
          <w:sz w:val="32"/>
          <w:szCs w:val="24"/>
        </w:rPr>
        <w:t>, to track prospects and manage relationships over the long term.</w:t>
      </w:r>
    </w:p>
    <w:p>
      <w:pPr>
        <w:pStyle w:val="BodyText"/>
        <w:jc w:val="both"/>
        <w:rPr/>
      </w:pPr>
      <w:r>
        <w:rPr>
          <w:sz w:val="32"/>
          <w:szCs w:val="24"/>
        </w:rPr>
        <w:t xml:space="preserve">Sales teams operate with specific metrics in mind, often referred to as </w:t>
      </w:r>
      <w:r>
        <w:rPr>
          <w:rStyle w:val="Strong"/>
          <w:sz w:val="32"/>
          <w:szCs w:val="24"/>
        </w:rPr>
        <w:t>KPIs (Key Performance Indicators)</w:t>
      </w:r>
      <w:r>
        <w:rPr>
          <w:sz w:val="32"/>
          <w:szCs w:val="24"/>
        </w:rPr>
        <w:t xml:space="preserve">. These include </w:t>
      </w:r>
      <w:r>
        <w:rPr>
          <w:rStyle w:val="Strong"/>
          <w:sz w:val="32"/>
          <w:szCs w:val="24"/>
        </w:rPr>
        <w:t>lead conversion rates</w:t>
      </w:r>
      <w:r>
        <w:rPr>
          <w:sz w:val="32"/>
          <w:szCs w:val="24"/>
        </w:rPr>
        <w:t xml:space="preserve">, </w:t>
      </w:r>
      <w:r>
        <w:rPr>
          <w:rStyle w:val="Strong"/>
          <w:sz w:val="32"/>
          <w:szCs w:val="24"/>
        </w:rPr>
        <w:t>customer acquisition cost (CAC)</w:t>
      </w:r>
      <w:r>
        <w:rPr>
          <w:sz w:val="32"/>
          <w:szCs w:val="24"/>
        </w:rPr>
        <w:t xml:space="preserve">, and </w:t>
      </w:r>
      <w:r>
        <w:rPr>
          <w:rStyle w:val="Strong"/>
          <w:sz w:val="32"/>
          <w:szCs w:val="24"/>
        </w:rPr>
        <w:t>customer lifetime value (CLV)</w:t>
      </w:r>
      <w:r>
        <w:rPr>
          <w:sz w:val="32"/>
          <w:szCs w:val="24"/>
        </w:rPr>
        <w:t xml:space="preserve">, each providing insight into the efficiency and profitability of sales efforts. Understanding and optimizing these metrics is essential for maintaining a </w:t>
      </w:r>
      <w:r>
        <w:rPr>
          <w:rStyle w:val="Strong"/>
          <w:sz w:val="32"/>
          <w:szCs w:val="24"/>
        </w:rPr>
        <w:t>healthy sales funnel</w:t>
      </w:r>
      <w:r>
        <w:rPr>
          <w:sz w:val="32"/>
          <w:szCs w:val="24"/>
        </w:rPr>
        <w:t xml:space="preserve">, from </w:t>
      </w:r>
      <w:r>
        <w:rPr>
          <w:rStyle w:val="Strong"/>
          <w:sz w:val="32"/>
          <w:szCs w:val="24"/>
        </w:rPr>
        <w:t>top-of-funnel lead generation</w:t>
      </w:r>
      <w:r>
        <w:rPr>
          <w:sz w:val="32"/>
          <w:szCs w:val="24"/>
        </w:rPr>
        <w:t xml:space="preserve"> to </w:t>
      </w:r>
      <w:r>
        <w:rPr>
          <w:rStyle w:val="Strong"/>
          <w:sz w:val="32"/>
          <w:szCs w:val="24"/>
        </w:rPr>
        <w:t>bottom-of-funnel conversions</w:t>
      </w:r>
      <w:r>
        <w:rPr>
          <w:sz w:val="32"/>
          <w:szCs w:val="24"/>
        </w:rPr>
        <w:t>.</w:t>
      </w:r>
    </w:p>
    <w:p>
      <w:pPr>
        <w:pStyle w:val="BodyText"/>
        <w:jc w:val="both"/>
        <w:rPr/>
      </w:pPr>
      <w:r>
        <w:rPr>
          <w:sz w:val="32"/>
          <w:szCs w:val="24"/>
        </w:rPr>
        <w:t xml:space="preserve">Effective sales also depend on strong communication skills, particularly in </w:t>
      </w:r>
      <w:r>
        <w:rPr>
          <w:rStyle w:val="Strong"/>
          <w:sz w:val="32"/>
          <w:szCs w:val="24"/>
        </w:rPr>
        <w:t>objection handling</w:t>
      </w:r>
      <w:r>
        <w:rPr>
          <w:sz w:val="32"/>
          <w:szCs w:val="24"/>
        </w:rPr>
        <w:t xml:space="preserve">. When prospects express concerns, skilled salespeople use </w:t>
      </w:r>
      <w:r>
        <w:rPr>
          <w:rStyle w:val="Strong"/>
          <w:sz w:val="32"/>
          <w:szCs w:val="24"/>
        </w:rPr>
        <w:t>rebuttal techniques</w:t>
      </w:r>
      <w:r>
        <w:rPr>
          <w:sz w:val="32"/>
          <w:szCs w:val="24"/>
        </w:rPr>
        <w:t xml:space="preserve"> and </w:t>
      </w:r>
      <w:r>
        <w:rPr>
          <w:rStyle w:val="Strong"/>
          <w:sz w:val="32"/>
          <w:szCs w:val="24"/>
        </w:rPr>
        <w:t>needs-based selling</w:t>
      </w:r>
      <w:r>
        <w:rPr>
          <w:sz w:val="32"/>
          <w:szCs w:val="24"/>
        </w:rPr>
        <w:t xml:space="preserve"> to guide the conversation back on track. One of the most popular frameworks in sales for guiding these discussions is </w:t>
      </w:r>
      <w:r>
        <w:rPr>
          <w:rStyle w:val="Strong"/>
          <w:sz w:val="32"/>
          <w:szCs w:val="24"/>
        </w:rPr>
        <w:t>SPIN selling</w:t>
      </w:r>
      <w:r>
        <w:rPr>
          <w:sz w:val="32"/>
          <w:szCs w:val="24"/>
        </w:rPr>
        <w:t>—a method developed by Neil Rackham that is widely used in consultative selling.</w:t>
      </w:r>
    </w:p>
    <w:p>
      <w:pPr>
        <w:pStyle w:val="Heading3"/>
        <w:jc w:val="both"/>
        <w:rPr>
          <w:sz w:val="36"/>
          <w:szCs w:val="28"/>
        </w:rPr>
      </w:pPr>
      <w:r>
        <w:rPr>
          <w:sz w:val="36"/>
          <w:szCs w:val="28"/>
        </w:rPr>
        <w:t>The SPIN Method</w:t>
      </w:r>
    </w:p>
    <w:p>
      <w:pPr>
        <w:pStyle w:val="BodyText"/>
        <w:jc w:val="both"/>
        <w:rPr/>
      </w:pPr>
      <w:r>
        <w:rPr>
          <w:rStyle w:val="Strong"/>
          <w:sz w:val="32"/>
          <w:szCs w:val="24"/>
        </w:rPr>
        <w:t>SPIN</w:t>
      </w:r>
      <w:r>
        <w:rPr>
          <w:sz w:val="32"/>
          <w:szCs w:val="24"/>
        </w:rPr>
        <w:t xml:space="preserve"> is an acronym that stands for </w:t>
      </w:r>
      <w:r>
        <w:rPr>
          <w:rStyle w:val="Strong"/>
          <w:sz w:val="32"/>
          <w:szCs w:val="24"/>
        </w:rPr>
        <w:t>Situation, Problem, Implication, and Need-Payoff</w:t>
      </w:r>
      <w:r>
        <w:rPr>
          <w:sz w:val="32"/>
          <w:szCs w:val="24"/>
        </w:rPr>
        <w:t>. This approach emphasizes asking the right questions at each stage of a sales conversation to understand the client's needs deeply and position solutions effectively:</w:t>
      </w:r>
    </w:p>
    <w:p>
      <w:pPr>
        <w:pStyle w:val="BodyText"/>
        <w:numPr>
          <w:ilvl w:val="0"/>
          <w:numId w:val="4"/>
        </w:numPr>
        <w:tabs>
          <w:tab w:val="clear" w:pos="709"/>
          <w:tab w:val="left" w:pos="0" w:leader="none"/>
        </w:tabs>
        <w:ind w:hanging="283" w:start="709"/>
        <w:jc w:val="both"/>
        <w:rPr/>
      </w:pPr>
      <w:r>
        <w:rPr>
          <w:rStyle w:val="Strong"/>
          <w:sz w:val="32"/>
          <w:szCs w:val="24"/>
        </w:rPr>
        <w:t>Situation Questions</w:t>
      </w:r>
      <w:r>
        <w:rPr>
          <w:sz w:val="32"/>
          <w:szCs w:val="24"/>
        </w:rPr>
        <w:t>: These questions focus on understanding the buyer's current circumstances. Examples include, "What is your current process for [task]?" or "How do you currently address [issue]?" The goal is to gather background information without overwhelming the client.</w:t>
      </w:r>
    </w:p>
    <w:p>
      <w:pPr>
        <w:pStyle w:val="BodyText"/>
        <w:numPr>
          <w:ilvl w:val="0"/>
          <w:numId w:val="4"/>
        </w:numPr>
        <w:tabs>
          <w:tab w:val="clear" w:pos="709"/>
          <w:tab w:val="left" w:pos="0" w:leader="none"/>
        </w:tabs>
        <w:ind w:hanging="283" w:start="709"/>
        <w:jc w:val="both"/>
        <w:rPr/>
      </w:pPr>
      <w:r>
        <w:rPr>
          <w:rStyle w:val="Strong"/>
          <w:sz w:val="32"/>
          <w:szCs w:val="24"/>
        </w:rPr>
        <w:t>Problem Questions</w:t>
      </w:r>
      <w:r>
        <w:rPr>
          <w:sz w:val="32"/>
          <w:szCs w:val="24"/>
        </w:rPr>
        <w:t>: Once the situation is understood, salespeople move to uncover specific challenges or difficulties the prospect is facing. For example, "What are some issues you've encountered with [current solution]?" or "Do you find it challenging to meet [objective] with your current resources?" This step helps reveal the underlying needs that the salesperson’s solution might address.</w:t>
      </w:r>
    </w:p>
    <w:p>
      <w:pPr>
        <w:pStyle w:val="BodyText"/>
        <w:numPr>
          <w:ilvl w:val="0"/>
          <w:numId w:val="4"/>
        </w:numPr>
        <w:tabs>
          <w:tab w:val="clear" w:pos="709"/>
          <w:tab w:val="left" w:pos="0" w:leader="none"/>
        </w:tabs>
        <w:ind w:hanging="283" w:start="709"/>
        <w:jc w:val="both"/>
        <w:rPr/>
      </w:pPr>
      <w:r>
        <w:rPr>
          <w:rStyle w:val="Strong"/>
          <w:sz w:val="32"/>
          <w:szCs w:val="24"/>
        </w:rPr>
        <w:t>Implication Questions</w:t>
      </w:r>
      <w:r>
        <w:rPr>
          <w:sz w:val="32"/>
          <w:szCs w:val="24"/>
        </w:rPr>
        <w:t>: These questions probe the consequences of the identified problems. For instance, "What impact does this issue have on your team’s productivity?" or "How does this challenge affect your bottom line?" Implication questions help the prospect recognize the seriousness of the problem, creating a sense of urgency.</w:t>
      </w:r>
    </w:p>
    <w:p>
      <w:pPr>
        <w:pStyle w:val="BodyText"/>
        <w:numPr>
          <w:ilvl w:val="0"/>
          <w:numId w:val="4"/>
        </w:numPr>
        <w:tabs>
          <w:tab w:val="clear" w:pos="709"/>
          <w:tab w:val="left" w:pos="0" w:leader="none"/>
        </w:tabs>
        <w:ind w:hanging="283" w:start="709"/>
        <w:jc w:val="both"/>
        <w:rPr/>
      </w:pPr>
      <w:r>
        <w:rPr>
          <w:rStyle w:val="Strong"/>
          <w:sz w:val="32"/>
          <w:szCs w:val="24"/>
        </w:rPr>
        <w:t>Need-Payoff Questions</w:t>
      </w:r>
      <w:r>
        <w:rPr>
          <w:sz w:val="32"/>
          <w:szCs w:val="24"/>
        </w:rPr>
        <w:t>: Finally, need-payoff questions focus on the benefits of resolving the problem. Examples include, "If you could overcome this challenge, how would that improve your workflow?" or "What advantages would this bring to your team’s efficiency?" This step highlights the value of the proposed solution, paving the way for the salesperson to present their product as the answer.</w:t>
      </w:r>
    </w:p>
    <w:p>
      <w:pPr>
        <w:pStyle w:val="Heading3"/>
        <w:jc w:val="both"/>
        <w:rPr>
          <w:sz w:val="36"/>
          <w:szCs w:val="28"/>
        </w:rPr>
      </w:pPr>
      <w:r>
        <w:rPr>
          <w:sz w:val="36"/>
          <w:szCs w:val="28"/>
        </w:rPr>
        <w:t>Other Strategies and Techniques</w:t>
      </w:r>
    </w:p>
    <w:p>
      <w:pPr>
        <w:pStyle w:val="BodyText"/>
        <w:jc w:val="both"/>
        <w:rPr/>
      </w:pPr>
      <w:r>
        <w:rPr>
          <w:sz w:val="32"/>
          <w:szCs w:val="24"/>
        </w:rPr>
        <w:t xml:space="preserve">In addition to SPIN selling, salespeople often use </w:t>
      </w:r>
      <w:r>
        <w:rPr>
          <w:rStyle w:val="Strong"/>
          <w:sz w:val="32"/>
          <w:szCs w:val="24"/>
        </w:rPr>
        <w:t>Solution Selling</w:t>
      </w:r>
      <w:r>
        <w:rPr>
          <w:sz w:val="32"/>
          <w:szCs w:val="24"/>
        </w:rPr>
        <w:t xml:space="preserve">—focusing on solving the client’s problems rather than simply highlighting product features. In B2B sales, building a </w:t>
      </w:r>
      <w:r>
        <w:rPr>
          <w:rStyle w:val="Strong"/>
          <w:sz w:val="32"/>
          <w:szCs w:val="24"/>
        </w:rPr>
        <w:t>trusted advisor relationship</w:t>
      </w:r>
      <w:r>
        <w:rPr>
          <w:sz w:val="32"/>
          <w:szCs w:val="24"/>
        </w:rPr>
        <w:t xml:space="preserve"> is paramount. This involves </w:t>
      </w:r>
      <w:r>
        <w:rPr>
          <w:rStyle w:val="Strong"/>
          <w:sz w:val="32"/>
          <w:szCs w:val="24"/>
        </w:rPr>
        <w:t>consultative selling</w:t>
      </w:r>
      <w:r>
        <w:rPr>
          <w:sz w:val="32"/>
          <w:szCs w:val="24"/>
        </w:rPr>
        <w:t xml:space="preserve">, where the salesperson acts more as a consultant, providing insights and customized solutions. Trust-building in B2B sales often relies on effective </w:t>
      </w:r>
      <w:r>
        <w:rPr>
          <w:rStyle w:val="Strong"/>
          <w:sz w:val="32"/>
          <w:szCs w:val="24"/>
        </w:rPr>
        <w:t>account-based marketing (ABM)</w:t>
      </w:r>
      <w:r>
        <w:rPr>
          <w:sz w:val="32"/>
          <w:szCs w:val="24"/>
        </w:rPr>
        <w:t>, where strategies are personalized for individual clients, particularly larger accounts.</w:t>
      </w:r>
    </w:p>
    <w:p>
      <w:pPr>
        <w:pStyle w:val="BodyText"/>
        <w:jc w:val="both"/>
        <w:rPr/>
      </w:pPr>
      <w:r>
        <w:rPr>
          <w:rStyle w:val="Strong"/>
          <w:sz w:val="32"/>
          <w:szCs w:val="24"/>
        </w:rPr>
        <w:t>Upselling and Cross-Selling</w:t>
      </w:r>
      <w:r>
        <w:rPr>
          <w:sz w:val="32"/>
          <w:szCs w:val="24"/>
        </w:rPr>
        <w:t xml:space="preserve"> are also vital techniques to maximize revenue from existing clients. Upselling encourages clients to purchase a more premium version of a product, while cross-selling suggests complementary products or services. These strategies not only increase the </w:t>
      </w:r>
      <w:r>
        <w:rPr>
          <w:rStyle w:val="Strong"/>
          <w:sz w:val="32"/>
          <w:szCs w:val="24"/>
        </w:rPr>
        <w:t>average deal size</w:t>
      </w:r>
      <w:r>
        <w:rPr>
          <w:sz w:val="32"/>
          <w:szCs w:val="24"/>
        </w:rPr>
        <w:t xml:space="preserve"> but also enhance customer loyalty when tailored to customer needs.</w:t>
      </w:r>
    </w:p>
    <w:p>
      <w:pPr>
        <w:pStyle w:val="BodyText"/>
        <w:jc w:val="both"/>
        <w:rPr/>
      </w:pPr>
      <w:r>
        <w:rPr>
          <w:rStyle w:val="Strong"/>
          <w:sz w:val="32"/>
          <w:szCs w:val="24"/>
        </w:rPr>
        <w:t>Sales enablement</w:t>
      </w:r>
      <w:r>
        <w:rPr>
          <w:sz w:val="32"/>
          <w:szCs w:val="24"/>
        </w:rPr>
        <w:t xml:space="preserve"> is crucial in equipping teams with the resources, training, and insights they need. This often includes </w:t>
      </w:r>
      <w:r>
        <w:rPr>
          <w:rStyle w:val="Strong"/>
          <w:sz w:val="32"/>
          <w:szCs w:val="24"/>
        </w:rPr>
        <w:t>sales scripts</w:t>
      </w:r>
      <w:r>
        <w:rPr>
          <w:sz w:val="32"/>
          <w:szCs w:val="24"/>
        </w:rPr>
        <w:t xml:space="preserve">, </w:t>
      </w:r>
      <w:r>
        <w:rPr>
          <w:rStyle w:val="Strong"/>
          <w:sz w:val="32"/>
          <w:szCs w:val="24"/>
        </w:rPr>
        <w:t>playbooks</w:t>
      </w:r>
      <w:r>
        <w:rPr>
          <w:sz w:val="32"/>
          <w:szCs w:val="24"/>
        </w:rPr>
        <w:t xml:space="preserve">, and </w:t>
      </w:r>
      <w:r>
        <w:rPr>
          <w:rStyle w:val="Strong"/>
          <w:sz w:val="32"/>
          <w:szCs w:val="24"/>
        </w:rPr>
        <w:t>competitor analysis</w:t>
      </w:r>
      <w:r>
        <w:rPr>
          <w:sz w:val="32"/>
          <w:szCs w:val="24"/>
        </w:rPr>
        <w:t xml:space="preserve"> to bolster their pitch. Coupled with </w:t>
      </w:r>
      <w:r>
        <w:rPr>
          <w:rStyle w:val="Strong"/>
          <w:sz w:val="32"/>
          <w:szCs w:val="24"/>
        </w:rPr>
        <w:t>data-driven selling</w:t>
      </w:r>
      <w:r>
        <w:rPr>
          <w:sz w:val="32"/>
          <w:szCs w:val="24"/>
        </w:rPr>
        <w:t>, sales teams leverage analytics to identify high-probability leads and tailor approaches based on data trends.</w:t>
      </w:r>
    </w:p>
    <w:p>
      <w:pPr>
        <w:pStyle w:val="BodyText"/>
        <w:jc w:val="both"/>
        <w:rPr/>
      </w:pPr>
      <w:r>
        <w:rPr>
          <w:sz w:val="32"/>
          <w:szCs w:val="24"/>
        </w:rPr>
        <w:t xml:space="preserve">Lastly, with the growing importance of digital channels, sales professionals are mastering </w:t>
      </w:r>
      <w:r>
        <w:rPr>
          <w:rStyle w:val="Strong"/>
          <w:sz w:val="32"/>
          <w:szCs w:val="24"/>
        </w:rPr>
        <w:t>social selling</w:t>
      </w:r>
      <w:r>
        <w:rPr>
          <w:sz w:val="32"/>
          <w:szCs w:val="24"/>
        </w:rPr>
        <w:t xml:space="preserve">—using social media to engage prospects, nurture relationships, and build interest. As businesses increasingly operate remotely, the ability to conduct </w:t>
      </w:r>
      <w:r>
        <w:rPr>
          <w:rStyle w:val="Strong"/>
          <w:sz w:val="32"/>
          <w:szCs w:val="24"/>
        </w:rPr>
        <w:t>virtual sales calls</w:t>
      </w:r>
      <w:r>
        <w:rPr>
          <w:sz w:val="32"/>
          <w:szCs w:val="24"/>
        </w:rPr>
        <w:t xml:space="preserve"> and communicate through </w:t>
      </w:r>
      <w:r>
        <w:rPr>
          <w:rStyle w:val="Strong"/>
          <w:sz w:val="32"/>
          <w:szCs w:val="24"/>
        </w:rPr>
        <w:t>video conferencing tools</w:t>
      </w:r>
      <w:r>
        <w:rPr>
          <w:sz w:val="32"/>
          <w:szCs w:val="24"/>
        </w:rPr>
        <w:t xml:space="preserve"> is indispensable.</w:t>
      </w:r>
    </w:p>
    <w:p>
      <w:pPr>
        <w:pStyle w:val="BodyText"/>
        <w:jc w:val="both"/>
        <w:rPr/>
      </w:pPr>
      <w:r>
        <w:rPr>
          <w:sz w:val="32"/>
          <w:szCs w:val="24"/>
        </w:rPr>
        <w:t xml:space="preserve">In summary, modern sales involve a blend of </w:t>
      </w:r>
      <w:r>
        <w:rPr>
          <w:rStyle w:val="Strong"/>
          <w:sz w:val="32"/>
          <w:szCs w:val="24"/>
        </w:rPr>
        <w:t>strategic planning, digital tools, and interpersonal skills</w:t>
      </w:r>
      <w:r>
        <w:rPr>
          <w:sz w:val="32"/>
          <w:szCs w:val="24"/>
        </w:rPr>
        <w:t>. Today’s sales leaders know that success goes beyond closing a single deal; it’s about fostering relationships, understanding data, and continually adapting to evolving customer needs.</w:t>
      </w:r>
    </w:p>
    <w:p>
      <w:pPr>
        <w:pStyle w:val="BodyText"/>
        <w:bidi w:val="0"/>
        <w:spacing w:before="0" w:after="140"/>
        <w:jc w:val="both"/>
        <w:rPr>
          <w:sz w:val="32"/>
          <w:szCs w:val="36"/>
        </w:rPr>
      </w:pPr>
      <w:r>
        <w:rPr>
          <w:sz w:val="32"/>
          <w:szCs w:val="36"/>
        </w:rPr>
      </w:r>
    </w:p>
    <w:sectPr>
      <w:type w:val="nextPage"/>
      <w:pgSz w:w="11906" w:h="16838"/>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Sketch Book">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w:cs="Droid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roid Sans" w:cs="Droid 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roid Sans" w:cs="Droid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roid Sans" w:cs="Droid 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LibreOffice/24.8.2.1$Windows_X86_64 LibreOffice_project/0f794b6e29741098670a3b95d60478a65d05ef13</Application>
  <AppVersion>15.0000</AppVersion>
  <Pages>3</Pages>
  <Words>697</Words>
  <Characters>4294</Characters>
  <CharactersWithSpaces>4963</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2024-07-22T17:56:08Z</dcterms:created>
  <dc:creator/>
  <dc:description/>
  <dc:language>en-GB</dc:language>
  <cp:lastModifiedBy/>
  <dcterms:modified xsi:type="dcterms:W3CDTF">2024-11-11T17:52:49Z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