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C488" w14:textId="2B7E1C5B" w:rsidR="00300D63" w:rsidRPr="00F47FC0" w:rsidRDefault="00F47FC0" w:rsidP="00F47FC0">
      <w:pPr>
        <w:pStyle w:val="Ttulo1"/>
      </w:pPr>
      <w:bookmarkStart w:id="0" w:name="_Toc528329776"/>
      <w:r w:rsidRPr="00F47FC0">
        <w:t xml:space="preserve">2 - </w:t>
      </w:r>
      <w:r w:rsidR="00300D63" w:rsidRPr="00F47FC0">
        <w:t>Deus e a Santíssima Trindade</w:t>
      </w:r>
      <w:bookmarkEnd w:id="0"/>
    </w:p>
    <w:p w14:paraId="100A826E" w14:textId="2E35FC81" w:rsidR="00300D63" w:rsidRPr="00E11B8C" w:rsidRDefault="00300D63" w:rsidP="00300D63">
      <w:pPr>
        <w:rPr>
          <w:rStyle w:val="CitaoChar"/>
        </w:rPr>
      </w:pPr>
      <w:r>
        <w:t>1. O Senhor nosso Deus é somente um, o Deus vivo e verdadeiro,</w:t>
      </w:r>
      <w:r>
        <w:rPr>
          <w:rStyle w:val="Refdenotaderodap"/>
        </w:rPr>
        <w:footnoteReference w:id="1"/>
      </w:r>
      <w:r>
        <w:t xml:space="preserve"> cuja subsistência está em si mesmo e de si mesmo</w:t>
      </w:r>
      <w:r>
        <w:t>.</w:t>
      </w:r>
      <w:r>
        <w:rPr>
          <w:rStyle w:val="Refdenotaderodap"/>
        </w:rPr>
        <w:footnoteReference w:id="2"/>
      </w:r>
      <w:r>
        <w:t xml:space="preserve"> </w:t>
      </w:r>
      <w:r>
        <w:t>I</w:t>
      </w:r>
      <w:r>
        <w:t>nfinito em seu ser e perfeição, cuja essência por ninguém pode ser compreendida, senão por Ele mesmo.</w:t>
      </w:r>
      <w:r>
        <w:rPr>
          <w:rStyle w:val="Refdenotaderodap"/>
        </w:rPr>
        <w:footnoteReference w:id="3"/>
      </w:r>
      <w:r>
        <w:t xml:space="preserve"> Ele é um espírito puríssimo,</w:t>
      </w:r>
      <w:r>
        <w:rPr>
          <w:rStyle w:val="Refdenotaderodap"/>
        </w:rPr>
        <w:footnoteReference w:id="4"/>
      </w:r>
      <w:r>
        <w:t xml:space="preserve"> invisível, sem corpo, partes</w:t>
      </w:r>
      <w:r>
        <w:t xml:space="preserve"> </w:t>
      </w:r>
      <w:r>
        <w:t>ou paixões; o único que possui imortalidade, habitando em luz, a qual nenhum homem é capaz de aproximar</w:t>
      </w:r>
      <w:r>
        <w:rPr>
          <w:rStyle w:val="Refdenotaderodap"/>
        </w:rPr>
        <w:footnoteReference w:id="5"/>
      </w:r>
      <w:r>
        <w:t xml:space="preserve"> imutável,</w:t>
      </w:r>
      <w:r>
        <w:rPr>
          <w:rStyle w:val="Refdenotaderodap"/>
        </w:rPr>
        <w:footnoteReference w:id="6"/>
      </w:r>
      <w:r>
        <w:t xml:space="preserve"> imenso,</w:t>
      </w:r>
      <w:r>
        <w:rPr>
          <w:rStyle w:val="Refdenotaderodap"/>
        </w:rPr>
        <w:footnoteReference w:id="7"/>
      </w:r>
      <w:r>
        <w:t xml:space="preserve"> eterno,</w:t>
      </w:r>
      <w:r>
        <w:rPr>
          <w:rStyle w:val="Refdenotaderodap"/>
        </w:rPr>
        <w:footnoteReference w:id="8"/>
      </w:r>
      <w:r>
        <w:t xml:space="preserve"> incompreensível, todo-poderoso;</w:t>
      </w:r>
      <w:r>
        <w:rPr>
          <w:rStyle w:val="Refdenotaderodap"/>
        </w:rPr>
        <w:footnoteReference w:id="9"/>
      </w:r>
      <w:r>
        <w:t xml:space="preserve"> em tudo infinito, santíssimo,</w:t>
      </w:r>
      <w:r>
        <w:rPr>
          <w:rStyle w:val="Refdenotaderodap"/>
        </w:rPr>
        <w:footnoteReference w:id="10"/>
      </w:r>
      <w:r>
        <w:t xml:space="preserve"> sapientíssimo; completamente livre e absoluto, operando todas as coisas segundo o conselho da sua própria imutável e mais justa vontade, para a sua própria glória;</w:t>
      </w:r>
      <w:r>
        <w:rPr>
          <w:rStyle w:val="Refdenotaderodap"/>
        </w:rPr>
        <w:footnoteReference w:id="11"/>
      </w:r>
      <w:r>
        <w:t xml:space="preserve"> amantíssimo, gracioso, misericordioso, longânimo; abundante em bondade e verdade, perdoando a iniquidade, a transgressão e o pecado; o recompensador daqueles que o buscam diligentemente;</w:t>
      </w:r>
      <w:r>
        <w:rPr>
          <w:rStyle w:val="Refdenotaderodap"/>
        </w:rPr>
        <w:footnoteReference w:id="12"/>
      </w:r>
      <w:r>
        <w:t xml:space="preserve"> contudo justíssimo e terrível em seus julgamentos,</w:t>
      </w:r>
      <w:r>
        <w:rPr>
          <w:rStyle w:val="Refdenotaderodap"/>
        </w:rPr>
        <w:footnoteReference w:id="13"/>
      </w:r>
      <w:r>
        <w:t xml:space="preserve"> odiando todo pecado,</w:t>
      </w:r>
      <w:r>
        <w:rPr>
          <w:rStyle w:val="Refdenotaderodap"/>
        </w:rPr>
        <w:footnoteReference w:id="14"/>
      </w:r>
      <w:r>
        <w:t xml:space="preserve"> e que de modo nenhum inocentará o culpado.</w:t>
      </w:r>
      <w:r>
        <w:rPr>
          <w:rStyle w:val="Refdenotaderodap"/>
        </w:rPr>
        <w:footnoteReference w:id="15"/>
      </w:r>
    </w:p>
    <w:p w14:paraId="7E3A7473" w14:textId="1380FD02" w:rsidR="00300D63" w:rsidRDefault="00300D63" w:rsidP="00300D63">
      <w:r>
        <w:t>2. Deus tem em si mesmo e de si mesmo toda a vida,</w:t>
      </w:r>
      <w:r>
        <w:rPr>
          <w:rStyle w:val="Refdenotaderodap"/>
        </w:rPr>
        <w:footnoteReference w:id="16"/>
      </w:r>
      <w:r>
        <w:t xml:space="preserve"> glória,</w:t>
      </w:r>
      <w:r>
        <w:rPr>
          <w:rStyle w:val="Refdenotaderodap"/>
        </w:rPr>
        <w:footnoteReference w:id="17"/>
      </w:r>
      <w:r>
        <w:t xml:space="preserve"> bondade</w:t>
      </w:r>
      <w:r>
        <w:rPr>
          <w:rStyle w:val="Refdenotaderodap"/>
        </w:rPr>
        <w:footnoteReference w:id="18"/>
      </w:r>
      <w:r>
        <w:t xml:space="preserve"> e bem-aventurança. É exclusivamente em si e para si mesmo </w:t>
      </w:r>
      <w:r>
        <w:t>autossuficiente; não</w:t>
      </w:r>
      <w:r>
        <w:t xml:space="preserve"> precisa de nenhuma das criaturas que fez, nem delas deriva glória alguma;</w:t>
      </w:r>
      <w:r>
        <w:rPr>
          <w:rStyle w:val="Refdenotaderodap"/>
        </w:rPr>
        <w:footnoteReference w:id="19"/>
      </w:r>
      <w:r>
        <w:t xml:space="preserve"> mas somente manifesta, nelas, por elas, para elas e sobre elas a sua própria glória. Ele, somente, é a fonte de todo ser: de quem, através de quem e para quem são todas as coisas,</w:t>
      </w:r>
      <w:r>
        <w:rPr>
          <w:rStyle w:val="Refdenotaderodap"/>
        </w:rPr>
        <w:footnoteReference w:id="20"/>
      </w:r>
      <w:r>
        <w:t xml:space="preserve"> tendo o mais soberano domínio sobre todas as criaturas, para fazer por meio delas, para elas e sobre elas tudo quanto lhe agrade.</w:t>
      </w:r>
      <w:r>
        <w:rPr>
          <w:rStyle w:val="Refdenotaderodap"/>
        </w:rPr>
        <w:footnoteReference w:id="21"/>
      </w:r>
      <w:r>
        <w:t xml:space="preserve"> Todas as coisas estão abertas e manifestas perante Ele;</w:t>
      </w:r>
      <w:r>
        <w:rPr>
          <w:rStyle w:val="Refdenotaderodap"/>
        </w:rPr>
        <w:footnoteReference w:id="22"/>
      </w:r>
      <w:r>
        <w:t xml:space="preserve"> o seu conhecimento é infinito, infalível e independe da criatura, de maneira que para Ele nada é contingente ou incerto.</w:t>
      </w:r>
      <w:r>
        <w:rPr>
          <w:rStyle w:val="Refdenotaderodap"/>
        </w:rPr>
        <w:footnoteReference w:id="23"/>
      </w:r>
      <w:r>
        <w:t xml:space="preserve"> Ele é santíssimo em todos os seus Conselhos, </w:t>
      </w:r>
      <w:r>
        <w:lastRenderedPageBreak/>
        <w:t>em todas as suas obras,</w:t>
      </w:r>
      <w:r>
        <w:rPr>
          <w:rStyle w:val="Refdenotaderodap"/>
        </w:rPr>
        <w:footnoteReference w:id="24"/>
      </w:r>
      <w:r>
        <w:t xml:space="preserve"> e em todos os seus mandamentos. A Ele são devidos, da parte de anjos e de homens, toda adoração,</w:t>
      </w:r>
      <w:r>
        <w:rPr>
          <w:rStyle w:val="Refdenotaderodap"/>
        </w:rPr>
        <w:footnoteReference w:id="25"/>
      </w:r>
      <w:r>
        <w:t xml:space="preserve"> todo serviço, e toda obediência que, como criaturas, devem </w:t>
      </w:r>
      <w:r>
        <w:t>a</w:t>
      </w:r>
      <w:r>
        <w:t>o criador; e tudo mais que Ele se agrade em requerer de suas criaturas.</w:t>
      </w:r>
    </w:p>
    <w:p w14:paraId="23924C5A" w14:textId="272B48DD" w:rsidR="00300D63" w:rsidRDefault="00300D63" w:rsidP="00300D63">
      <w:r>
        <w:t>3. Neste ser divino e infinito há três pessoas: o Pai, a Palavra (ou Filho) e o Espírito Santo;</w:t>
      </w:r>
      <w:r>
        <w:rPr>
          <w:rStyle w:val="Refdenotaderodap"/>
        </w:rPr>
        <w:footnoteReference w:id="26"/>
      </w:r>
      <w:r>
        <w:t xml:space="preserve"> de uma substância, poder e eternidade, possuindo cada uma inteira essência divina, que é indivisível.</w:t>
      </w:r>
      <w:r>
        <w:rPr>
          <w:rStyle w:val="Refdenotaderodap"/>
        </w:rPr>
        <w:footnoteReference w:id="27"/>
      </w:r>
      <w:r>
        <w:t xml:space="preserve"> O Pai, de ninguém é gerado ou procedente; o Filho é gerado eternamente do Pai;</w:t>
      </w:r>
      <w:r>
        <w:rPr>
          <w:rStyle w:val="Refdenotaderodap"/>
        </w:rPr>
        <w:footnoteReference w:id="28"/>
      </w:r>
      <w:r>
        <w:t xml:space="preserve"> o Espírito Santo procede do Pai e do Filho, eternamente;</w:t>
      </w:r>
      <w:r>
        <w:rPr>
          <w:rStyle w:val="Refdenotaderodap"/>
        </w:rPr>
        <w:footnoteReference w:id="29"/>
      </w:r>
      <w:r>
        <w:t xml:space="preserve"> todos infinitos e sem princípio de existência. Portanto, um só Deus; que não deve ser divido em seu ser ou natureza, mas, sim, distinguido pelas diversas peculiar</w:t>
      </w:r>
      <w:r>
        <w:t>idades,</w:t>
      </w:r>
      <w:r>
        <w:t xml:space="preserve"> relativas </w:t>
      </w:r>
      <w:r>
        <w:t xml:space="preserve">propriedades </w:t>
      </w:r>
      <w:r>
        <w:t xml:space="preserve">e relações pessoais. Essa doutrina da Trindade é o fundamento de toda a nossa comunhão com Deus e confortável dependência </w:t>
      </w:r>
      <w:proofErr w:type="spellStart"/>
      <w:r>
        <w:t>dEle.</w:t>
      </w:r>
      <w:proofErr w:type="spellEnd"/>
    </w:p>
    <w:p w14:paraId="45674968" w14:textId="77777777" w:rsidR="00557413" w:rsidRDefault="00D964CF"/>
    <w:sectPr w:rsidR="0055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42B3" w14:textId="77777777" w:rsidR="00D964CF" w:rsidRDefault="00D964CF" w:rsidP="00300D63">
      <w:pPr>
        <w:spacing w:after="0" w:line="240" w:lineRule="auto"/>
      </w:pPr>
      <w:r>
        <w:separator/>
      </w:r>
    </w:p>
  </w:endnote>
  <w:endnote w:type="continuationSeparator" w:id="0">
    <w:p w14:paraId="100C1ED6" w14:textId="77777777" w:rsidR="00D964CF" w:rsidRDefault="00D964CF" w:rsidP="0030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92D5" w14:textId="77777777" w:rsidR="00D964CF" w:rsidRDefault="00D964CF" w:rsidP="00300D63">
      <w:pPr>
        <w:spacing w:after="0" w:line="240" w:lineRule="auto"/>
      </w:pPr>
      <w:r>
        <w:separator/>
      </w:r>
    </w:p>
  </w:footnote>
  <w:footnote w:type="continuationSeparator" w:id="0">
    <w:p w14:paraId="24CFD3A3" w14:textId="77777777" w:rsidR="00D964CF" w:rsidRDefault="00D964CF" w:rsidP="00300D63">
      <w:pPr>
        <w:spacing w:after="0" w:line="240" w:lineRule="auto"/>
      </w:pPr>
      <w:r>
        <w:continuationSeparator/>
      </w:r>
    </w:p>
  </w:footnote>
  <w:footnote w:id="1">
    <w:p w14:paraId="3E87D3D0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 </w:t>
      </w:r>
      <w:r w:rsidRPr="001A444B">
        <w:t>I Coríntios 8:4,6; Deuteronômio 6:4.</w:t>
      </w:r>
    </w:p>
  </w:footnote>
  <w:footnote w:id="2">
    <w:p w14:paraId="7BD5B876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Jeremias 10:10; Isaías 48:12</w:t>
      </w:r>
    </w:p>
  </w:footnote>
  <w:footnote w:id="3">
    <w:p w14:paraId="51128845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Êxodo 3:14</w:t>
      </w:r>
    </w:p>
  </w:footnote>
  <w:footnote w:id="4">
    <w:p w14:paraId="4F028D37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 </w:t>
      </w:r>
      <w:r w:rsidRPr="001A444B">
        <w:t>João 4:24</w:t>
      </w:r>
    </w:p>
  </w:footnote>
  <w:footnote w:id="5">
    <w:p w14:paraId="2FF06221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I Timóteo 1:17; Deuteronômio 4:15-16</w:t>
      </w:r>
    </w:p>
  </w:footnote>
  <w:footnote w:id="6">
    <w:p w14:paraId="33F15C16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Malaquias 3:6</w:t>
      </w:r>
    </w:p>
  </w:footnote>
  <w:footnote w:id="7">
    <w:p w14:paraId="4D669880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I Reis 8:27; Jeremias 23:23</w:t>
      </w:r>
    </w:p>
  </w:footnote>
  <w:footnote w:id="8">
    <w:p w14:paraId="73F53E8A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Salmo 90:2</w:t>
      </w:r>
    </w:p>
  </w:footnote>
  <w:footnote w:id="9">
    <w:p w14:paraId="226D1E62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>Gênesis 17:1</w:t>
      </w:r>
    </w:p>
  </w:footnote>
  <w:footnote w:id="10">
    <w:p w14:paraId="4F335EF5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Isaías 6:3</w:t>
      </w:r>
    </w:p>
  </w:footnote>
  <w:footnote w:id="11">
    <w:p w14:paraId="00CEB02E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Provérbios 16:4; Romanos 11:36</w:t>
      </w:r>
    </w:p>
  </w:footnote>
  <w:footnote w:id="12">
    <w:p w14:paraId="144979A7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Êxodo 34:6-7; Hebreus 11:6</w:t>
      </w:r>
    </w:p>
  </w:footnote>
  <w:footnote w:id="13">
    <w:p w14:paraId="61CCC433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Neemias 9:32-33</w:t>
      </w:r>
    </w:p>
  </w:footnote>
  <w:footnote w:id="14">
    <w:p w14:paraId="078FB747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Salmo 5:5-6</w:t>
      </w:r>
    </w:p>
  </w:footnote>
  <w:footnote w:id="15">
    <w:p w14:paraId="2F76D963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Êxodo 34:7; Naum 1:2-3</w:t>
      </w:r>
    </w:p>
  </w:footnote>
  <w:footnote w:id="16">
    <w:p w14:paraId="7D7E8673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João 5:26</w:t>
      </w:r>
    </w:p>
  </w:footnote>
  <w:footnote w:id="17">
    <w:p w14:paraId="79F8E1A9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Salmo 148:13</w:t>
      </w:r>
    </w:p>
  </w:footnote>
  <w:footnote w:id="18">
    <w:p w14:paraId="5BF60236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Salmo 119:68</w:t>
      </w:r>
    </w:p>
  </w:footnote>
  <w:footnote w:id="19">
    <w:p w14:paraId="07BFA82A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Jó 22:2-3</w:t>
      </w:r>
    </w:p>
  </w:footnote>
  <w:footnote w:id="20">
    <w:p w14:paraId="5EA2FEDD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Romanos 11:34-36</w:t>
      </w:r>
    </w:p>
  </w:footnote>
  <w:footnote w:id="21">
    <w:p w14:paraId="2E18598D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Daniel 4:25,34-35</w:t>
      </w:r>
    </w:p>
  </w:footnote>
  <w:footnote w:id="22">
    <w:p w14:paraId="773033F6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Hebreus 4:13</w:t>
      </w:r>
    </w:p>
  </w:footnote>
  <w:footnote w:id="23">
    <w:p w14:paraId="0F4657FC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Ezequiel 11:5; Atos 15:18</w:t>
      </w:r>
    </w:p>
  </w:footnote>
  <w:footnote w:id="24">
    <w:p w14:paraId="18AA1C84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Salmo 145:17</w:t>
      </w:r>
    </w:p>
  </w:footnote>
  <w:footnote w:id="25">
    <w:p w14:paraId="5114AFBF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1A444B">
        <w:t xml:space="preserve"> Apocalipse 5:12-14</w:t>
      </w:r>
    </w:p>
  </w:footnote>
  <w:footnote w:id="26">
    <w:p w14:paraId="21A70A48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 </w:t>
      </w:r>
      <w:r w:rsidRPr="001A444B">
        <w:t>I João 5:7; Mateus 28:19; II Coríntios 13:14</w:t>
      </w:r>
    </w:p>
  </w:footnote>
  <w:footnote w:id="27">
    <w:p w14:paraId="2042221B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Êxodo 3:14; João 14:11; I Coríntios 8:6</w:t>
      </w:r>
    </w:p>
  </w:footnote>
  <w:footnote w:id="28">
    <w:p w14:paraId="24233742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João 1:14,18</w:t>
      </w:r>
    </w:p>
  </w:footnote>
  <w:footnote w:id="29">
    <w:p w14:paraId="760BA375" w14:textId="77777777" w:rsidR="00300D63" w:rsidRDefault="00300D63" w:rsidP="00300D63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João 15:26; Gálatas 4:6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61"/>
    <w:multiLevelType w:val="hybridMultilevel"/>
    <w:tmpl w:val="E2D24A36"/>
    <w:lvl w:ilvl="0" w:tplc="D3DA142C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A25E7"/>
    <w:multiLevelType w:val="hybridMultilevel"/>
    <w:tmpl w:val="F0849C4A"/>
    <w:lvl w:ilvl="0" w:tplc="C7CC8F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63"/>
    <w:rsid w:val="001E7D0A"/>
    <w:rsid w:val="00300D63"/>
    <w:rsid w:val="005743A5"/>
    <w:rsid w:val="009D3360"/>
    <w:rsid w:val="00D964CF"/>
    <w:rsid w:val="00F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BB68"/>
  <w15:chartTrackingRefBased/>
  <w15:docId w15:val="{29F00B3D-892C-4D5A-BE96-5C945F9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3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F47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300D63"/>
    <w:pPr>
      <w:keepNext/>
      <w:keepLines/>
      <w:numPr>
        <w:numId w:val="1"/>
      </w:numPr>
      <w:spacing w:before="40" w:after="0"/>
      <w:ind w:left="357" w:hanging="357"/>
      <w:jc w:val="center"/>
      <w:outlineLvl w:val="2"/>
    </w:pPr>
    <w:rPr>
      <w:rFonts w:eastAsiaTheme="majorEastAsia" w:cstheme="majorBidi"/>
      <w:b/>
      <w:smallCap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300D63"/>
    <w:rPr>
      <w:rFonts w:ascii="Palatino Linotype" w:eastAsiaTheme="majorEastAsia" w:hAnsi="Palatino Linotype" w:cstheme="majorBidi"/>
      <w:b/>
      <w:smallCaps/>
      <w:color w:val="000000" w:themeColor="text1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300D63"/>
    <w:pPr>
      <w:spacing w:before="200" w:line="240" w:lineRule="auto"/>
      <w:ind w:left="862" w:right="862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00D63"/>
    <w:rPr>
      <w:rFonts w:ascii="Palatino Linotype" w:hAnsi="Palatino Linotype"/>
      <w:i/>
      <w:iCs/>
      <w:color w:val="000000" w:themeColor="text1"/>
    </w:rPr>
  </w:style>
  <w:style w:type="character" w:styleId="Refdenotaderodap">
    <w:name w:val="footnote reference"/>
    <w:uiPriority w:val="99"/>
    <w:rsid w:val="00300D63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300D63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00D63"/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4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2</cp:revision>
  <dcterms:created xsi:type="dcterms:W3CDTF">2021-08-17T14:22:00Z</dcterms:created>
  <dcterms:modified xsi:type="dcterms:W3CDTF">2021-08-17T14:28:00Z</dcterms:modified>
</cp:coreProperties>
</file>