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9CF3" w14:textId="0D829116" w:rsidR="002B0438" w:rsidRPr="002B0438" w:rsidRDefault="002B0438" w:rsidP="002B0438">
      <w:pPr>
        <w:pStyle w:val="Ttulo1"/>
      </w:pPr>
      <w:bookmarkStart w:id="0" w:name="_Toc528329777"/>
      <w:r>
        <w:t xml:space="preserve">3 - </w:t>
      </w:r>
      <w:r w:rsidRPr="002B0438">
        <w:t>O Decreto de Deus</w:t>
      </w:r>
      <w:bookmarkEnd w:id="0"/>
    </w:p>
    <w:p w14:paraId="66B7ECD1" w14:textId="7AC33FB5" w:rsidR="002B0438" w:rsidRDefault="002B0438" w:rsidP="002B0438">
      <w:r>
        <w:t>1. Deus decretou em Si mesmo desde toda a eternidade, pelo mais sábio e santo Conselho de sua própria vontade, livre e imutavelmente, todas as coisas seja o que</w:t>
      </w:r>
      <w:r>
        <w:t xml:space="preserve"> for que aconteça</w:t>
      </w:r>
      <w:r>
        <w:t>.</w:t>
      </w:r>
      <w:r>
        <w:rPr>
          <w:rStyle w:val="Refdenotaderodap"/>
        </w:rPr>
        <w:footnoteReference w:id="1"/>
      </w:r>
      <w:r>
        <w:t xml:space="preserve"> Fê-lo, porém, de um modo em que Deus nem é o autor do pecado,</w:t>
      </w:r>
      <w:r>
        <w:rPr>
          <w:rStyle w:val="Refdenotaderodap"/>
        </w:rPr>
        <w:footnoteReference w:id="2"/>
      </w:r>
      <w:r>
        <w:t xml:space="preserve"> nem tem comunhão com o pecado, nem violência é oferecida à</w:t>
      </w:r>
      <w:r>
        <w:t xml:space="preserve"> </w:t>
      </w:r>
      <w:r>
        <w:t>vontade da criatura, nem é eliminada a liberdade ou contingência das causas secundárias. Pelo contrário, estas causas secundárias são estabelecidas</w:t>
      </w:r>
      <w:r>
        <w:t>.</w:t>
      </w:r>
      <w:r>
        <w:rPr>
          <w:rStyle w:val="Refdenotaderodap"/>
        </w:rPr>
        <w:footnoteReference w:id="3"/>
      </w:r>
      <w:r>
        <w:t xml:space="preserve"> </w:t>
      </w:r>
      <w:r>
        <w:t>E</w:t>
      </w:r>
      <w:r>
        <w:t xml:space="preserve"> em tudo aparece a sabedoria de Deus</w:t>
      </w:r>
      <w:r>
        <w:t>:</w:t>
      </w:r>
      <w:r>
        <w:t xml:space="preserve"> em dispor de todas as coisas, </w:t>
      </w:r>
      <w:r>
        <w:t>n</w:t>
      </w:r>
      <w:r>
        <w:t xml:space="preserve">o seu poder e </w:t>
      </w:r>
      <w:r>
        <w:t xml:space="preserve">na </w:t>
      </w:r>
      <w:r>
        <w:t>fidelidade em fazer cumprir seu decreto.</w:t>
      </w:r>
      <w:r>
        <w:rPr>
          <w:rStyle w:val="Refdenotaderodap"/>
        </w:rPr>
        <w:footnoteReference w:id="4"/>
      </w:r>
    </w:p>
    <w:p w14:paraId="39050643" w14:textId="77777777" w:rsidR="002B0438" w:rsidRDefault="002B0438" w:rsidP="002B0438">
      <w:r>
        <w:t>2. Embora Deus saiba tudo quanto pode ou poderá acontecer,</w:t>
      </w:r>
      <w:r>
        <w:rPr>
          <w:rStyle w:val="Refdenotaderodap"/>
        </w:rPr>
        <w:footnoteReference w:id="5"/>
      </w:r>
      <w:r>
        <w:t xml:space="preserve"> em todas as circunstâncias imagináveis, Ele nada decretou por causa do seu conhecimento prévio do futuro ou daquilo que viria a acontecer em determinada situação.</w:t>
      </w:r>
      <w:r>
        <w:rPr>
          <w:rStyle w:val="Refdenotaderodap"/>
        </w:rPr>
        <w:footnoteReference w:id="6"/>
      </w:r>
    </w:p>
    <w:p w14:paraId="10CE073E" w14:textId="77777777" w:rsidR="002B0438" w:rsidRDefault="002B0438" w:rsidP="002B0438">
      <w:r>
        <w:t>3. Pelo decreto, e para manifestação da glória de Deus, alguns homens e alguns anjos são predestinados (ou preordenados) para a vida eterna através de Jesus Cristo,</w:t>
      </w:r>
      <w:r>
        <w:rPr>
          <w:rStyle w:val="Refdenotaderodap"/>
        </w:rPr>
        <w:footnoteReference w:id="7"/>
      </w:r>
      <w:r>
        <w:t xml:space="preserve"> para louvor da sua graça gloriosa.</w:t>
      </w:r>
      <w:r>
        <w:rPr>
          <w:rStyle w:val="Refdenotaderodap"/>
        </w:rPr>
        <w:footnoteReference w:id="8"/>
      </w:r>
      <w:r>
        <w:t xml:space="preserve"> Os demais são deixados para agir em seu pecado para sua própria e justa condenação; e isto para louvor da justiça gloriosa de Deus.</w:t>
      </w:r>
      <w:r>
        <w:rPr>
          <w:rStyle w:val="Refdenotaderodap"/>
        </w:rPr>
        <w:footnoteReference w:id="9"/>
      </w:r>
    </w:p>
    <w:p w14:paraId="4AF89344" w14:textId="77777777" w:rsidR="002B0438" w:rsidRDefault="002B0438" w:rsidP="002B0438">
      <w:r>
        <w:t>4. Os anjos e homens predestinados (e</w:t>
      </w:r>
      <w:r>
        <w:t xml:space="preserve"> </w:t>
      </w:r>
      <w:r>
        <w:t>preordenados) estão designados de forma particular e imutável, e o seu número é tão certo e definido que não pode ser aumentado ou diminuído.</w:t>
      </w:r>
      <w:r>
        <w:rPr>
          <w:rStyle w:val="Refdenotaderodap"/>
        </w:rPr>
        <w:footnoteReference w:id="10"/>
      </w:r>
    </w:p>
    <w:p w14:paraId="3D3664F4" w14:textId="7DC2486E" w:rsidR="002B0438" w:rsidRDefault="002B0438" w:rsidP="002B0438">
      <w:r>
        <w:t xml:space="preserve">5. Dentre a humanidade, aqueles que são predestinados para a vida, Deus, antes da fundação do </w:t>
      </w:r>
      <w:r>
        <w:t>mundo, de</w:t>
      </w:r>
      <w:r>
        <w:t xml:space="preserve"> acordo com o seu propósito eterno e imutável, pelo conselho secreto e pelo beneplácito da sua vontade, os escolheu em Cristo para a glória eterna, apenas por sua livre graça e amor,</w:t>
      </w:r>
      <w:r>
        <w:rPr>
          <w:rStyle w:val="Refdenotaderodap"/>
        </w:rPr>
        <w:footnoteReference w:id="11"/>
      </w:r>
      <w:r>
        <w:t xml:space="preserve"> nada havendo em suas criaturas que servisse como causa ou condição para essa escolha.</w:t>
      </w:r>
      <w:r>
        <w:rPr>
          <w:rStyle w:val="Refdenotaderodap"/>
        </w:rPr>
        <w:footnoteReference w:id="12"/>
      </w:r>
    </w:p>
    <w:p w14:paraId="6ACBC8E4" w14:textId="559C5521" w:rsidR="002B0438" w:rsidRDefault="002B0438" w:rsidP="002B0438">
      <w:r w:rsidRPr="006701E7">
        <w:t xml:space="preserve">6. Deus não apenas designou os eleitos para glória, de acordo com o propósito eterno e </w:t>
      </w:r>
      <w:r>
        <w:t>mais livre</w:t>
      </w:r>
      <w:r w:rsidRPr="006701E7">
        <w:t xml:space="preserve"> </w:t>
      </w:r>
      <w:r w:rsidRPr="006701E7">
        <w:t xml:space="preserve">da sua vontade, mas também preordenou todos os meios pelos quais o seu propósito </w:t>
      </w:r>
      <w:r>
        <w:t>ocorrerá</w:t>
      </w:r>
      <w:r w:rsidRPr="006701E7">
        <w:t>.</w:t>
      </w:r>
      <w:r>
        <w:rPr>
          <w:rStyle w:val="Refdenotaderodap"/>
        </w:rPr>
        <w:footnoteReference w:id="13"/>
      </w:r>
      <w:r w:rsidRPr="006701E7">
        <w:t xml:space="preserve"> Por isso os eleitos, achando-se caídos em Adão, são redimidos em Cristo</w:t>
      </w:r>
      <w:r>
        <w:rPr>
          <w:rStyle w:val="Refdenotaderodap"/>
        </w:rPr>
        <w:footnoteReference w:id="14"/>
      </w:r>
      <w:r w:rsidRPr="006701E7">
        <w:t xml:space="preserve"> e chamados eficazmente para a fé </w:t>
      </w:r>
      <w:proofErr w:type="spellStart"/>
      <w:r w:rsidRPr="006701E7">
        <w:t>nEle</w:t>
      </w:r>
      <w:proofErr w:type="spellEnd"/>
      <w:r>
        <w:t xml:space="preserve">, pela ação do Espírito Santo, e no seu </w:t>
      </w:r>
      <w:r>
        <w:lastRenderedPageBreak/>
        <w:t>devido tempo</w:t>
      </w:r>
      <w:r w:rsidR="00156BAC">
        <w:t>. S</w:t>
      </w:r>
      <w:r>
        <w:t>ão justificados, adotados, santificados</w:t>
      </w:r>
      <w:r>
        <w:rPr>
          <w:rStyle w:val="Refdenotaderodap"/>
        </w:rPr>
        <w:footnoteReference w:id="15"/>
      </w:r>
      <w:r>
        <w:t xml:space="preserve"> e preservados</w:t>
      </w:r>
      <w:r>
        <w:t xml:space="preserve"> </w:t>
      </w:r>
      <w:r>
        <w:t>pelo poder de Deus, mediante a fé, para salvação.</w:t>
      </w:r>
      <w:r>
        <w:rPr>
          <w:rStyle w:val="Refdenotaderodap"/>
        </w:rPr>
        <w:footnoteReference w:id="16"/>
      </w:r>
      <w:r>
        <w:t xml:space="preserve"> Ninguém mais é redimido por Cristo, chamado eficazmente, justificado, adotado, santificado e salvo, senão unicamente os eleitos.</w:t>
      </w:r>
      <w:r>
        <w:rPr>
          <w:rStyle w:val="Refdenotaderodap"/>
        </w:rPr>
        <w:footnoteReference w:id="17"/>
      </w:r>
    </w:p>
    <w:p w14:paraId="26E6D462" w14:textId="375F6E0A" w:rsidR="002B0438" w:rsidRDefault="002B0438" w:rsidP="002B0438">
      <w:r>
        <w:t xml:space="preserve">7. A doutrina deste </w:t>
      </w:r>
      <w:r>
        <w:t>mais alto</w:t>
      </w:r>
      <w:r>
        <w:t xml:space="preserve"> mistério da predestinação deve ser tratado com especial prudência e cuidado, para que os homens, atentando para a vontade de Deus revelada em sua Palavra, e prestando-lhe obediência, possam, a partir da certeza do seu chamado eficaz, assegurar-se de sua eleição eterna.</w:t>
      </w:r>
      <w:r>
        <w:rPr>
          <w:rStyle w:val="Refdenotaderodap"/>
        </w:rPr>
        <w:footnoteReference w:id="18"/>
      </w:r>
      <w:r>
        <w:t xml:space="preserve">. Portanto, </w:t>
      </w:r>
      <w:r>
        <w:t>está</w:t>
      </w:r>
      <w:r>
        <w:t xml:space="preserve"> doutrina deve promover questão de louvor,</w:t>
      </w:r>
      <w:r>
        <w:rPr>
          <w:rStyle w:val="Refdenotaderodap"/>
        </w:rPr>
        <w:footnoteReference w:id="19"/>
      </w:r>
      <w:r>
        <w:t xml:space="preserve"> reverência e admiração a Deus, de humildade,</w:t>
      </w:r>
      <w:r>
        <w:rPr>
          <w:rStyle w:val="Refdenotaderodap"/>
        </w:rPr>
        <w:footnoteReference w:id="20"/>
      </w:r>
      <w:r>
        <w:t xml:space="preserve"> diligência e consolação abundante, para todos os que obedecem sinceramente ao evangelho.</w:t>
      </w:r>
      <w:r>
        <w:rPr>
          <w:rStyle w:val="Refdenotaderodap"/>
        </w:rPr>
        <w:footnoteReference w:id="21"/>
      </w:r>
    </w:p>
    <w:p w14:paraId="2B938EEF" w14:textId="77777777" w:rsidR="00557413" w:rsidRPr="002B0438" w:rsidRDefault="0081465B" w:rsidP="002B0438"/>
    <w:sectPr w:rsidR="00557413" w:rsidRPr="002B0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CCAF" w14:textId="77777777" w:rsidR="0081465B" w:rsidRDefault="0081465B" w:rsidP="002B0438">
      <w:pPr>
        <w:spacing w:after="0" w:line="240" w:lineRule="auto"/>
      </w:pPr>
      <w:r>
        <w:separator/>
      </w:r>
    </w:p>
  </w:endnote>
  <w:endnote w:type="continuationSeparator" w:id="0">
    <w:p w14:paraId="31D2F6E3" w14:textId="77777777" w:rsidR="0081465B" w:rsidRDefault="0081465B" w:rsidP="002B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E5D0D" w14:textId="77777777" w:rsidR="0081465B" w:rsidRDefault="0081465B" w:rsidP="002B0438">
      <w:pPr>
        <w:spacing w:after="0" w:line="240" w:lineRule="auto"/>
      </w:pPr>
      <w:r>
        <w:separator/>
      </w:r>
    </w:p>
  </w:footnote>
  <w:footnote w:type="continuationSeparator" w:id="0">
    <w:p w14:paraId="5155439F" w14:textId="77777777" w:rsidR="0081465B" w:rsidRDefault="0081465B" w:rsidP="002B0438">
      <w:pPr>
        <w:spacing w:after="0" w:line="240" w:lineRule="auto"/>
      </w:pPr>
      <w:r>
        <w:continuationSeparator/>
      </w:r>
    </w:p>
  </w:footnote>
  <w:footnote w:id="1">
    <w:p w14:paraId="006E6954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FC4D37">
        <w:t xml:space="preserve"> Isaías 46:10; Efésios 1:11; Hebreus 6:17; Romanos 9:15,18.</w:t>
      </w:r>
    </w:p>
  </w:footnote>
  <w:footnote w:id="2">
    <w:p w14:paraId="26CB780F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FC4D37">
        <w:t xml:space="preserve"> Tiago 1:13; I João 1:5</w:t>
      </w:r>
    </w:p>
  </w:footnote>
  <w:footnote w:id="3">
    <w:p w14:paraId="66C9A84C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FC4D37">
        <w:t xml:space="preserve"> Atos 4:27-28; João 19:11</w:t>
      </w:r>
    </w:p>
  </w:footnote>
  <w:footnote w:id="4">
    <w:p w14:paraId="614A5093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FC4D37">
        <w:t xml:space="preserve"> Números 23:19; Efésios 1:3-5</w:t>
      </w:r>
    </w:p>
  </w:footnote>
  <w:footnote w:id="5">
    <w:p w14:paraId="7B01FB34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FC4D37">
        <w:t xml:space="preserve"> Atos 15:18</w:t>
      </w:r>
    </w:p>
  </w:footnote>
  <w:footnote w:id="6">
    <w:p w14:paraId="160EF7FF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FC4D37">
        <w:t xml:space="preserve"> Romanos 9:11,13,16,18</w:t>
      </w:r>
    </w:p>
  </w:footnote>
  <w:footnote w:id="7">
    <w:p w14:paraId="574CC016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FC4D37">
        <w:t xml:space="preserve"> I Timóteo 5:21; Mateus 25:34</w:t>
      </w:r>
    </w:p>
  </w:footnote>
  <w:footnote w:id="8">
    <w:p w14:paraId="3671ECA7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FC4D37">
        <w:t xml:space="preserve"> Efésios 1:5-6</w:t>
      </w:r>
    </w:p>
  </w:footnote>
  <w:footnote w:id="9">
    <w:p w14:paraId="4B908248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FC4D37">
        <w:t xml:space="preserve"> Romanos 9:22-23; Judas 4</w:t>
      </w:r>
    </w:p>
  </w:footnote>
  <w:footnote w:id="10">
    <w:p w14:paraId="01E2E62B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FC4D37">
        <w:t xml:space="preserve"> II Timóteo 2:19; João 13:18</w:t>
      </w:r>
    </w:p>
  </w:footnote>
  <w:footnote w:id="11">
    <w:p w14:paraId="78A4A335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Efésios 1:4,9,11; Romanos 8:30; II Timóteo 1:9; I Tessalonicenses 5:9</w:t>
      </w:r>
    </w:p>
  </w:footnote>
  <w:footnote w:id="12">
    <w:p w14:paraId="5F16332C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Romanos 9:13,16; Efésios 2:5,12</w:t>
      </w:r>
    </w:p>
  </w:footnote>
  <w:footnote w:id="13">
    <w:p w14:paraId="71B606C2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I Pedro 1:2; II Tessalonicenses 2:13</w:t>
      </w:r>
    </w:p>
  </w:footnote>
  <w:footnote w:id="14">
    <w:p w14:paraId="6F2E3044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I Tessalonicenses 5:9-10</w:t>
      </w:r>
    </w:p>
  </w:footnote>
  <w:footnote w:id="15">
    <w:p w14:paraId="59FEA134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Romanos 8:30; II Tessalonicenses 2:13</w:t>
      </w:r>
    </w:p>
  </w:footnote>
  <w:footnote w:id="16">
    <w:p w14:paraId="187B3583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 </w:t>
      </w:r>
      <w:r w:rsidRPr="00B41FCF">
        <w:t>I Pedro 1:5</w:t>
      </w:r>
    </w:p>
  </w:footnote>
  <w:footnote w:id="17">
    <w:p w14:paraId="49C0B277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João 10:26; João 17:9; João 6:64</w:t>
      </w:r>
    </w:p>
  </w:footnote>
  <w:footnote w:id="18">
    <w:p w14:paraId="008B4AD6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I Tessalonicenses 1:4-5; II Pedro 1:10</w:t>
      </w:r>
    </w:p>
  </w:footnote>
  <w:footnote w:id="19">
    <w:p w14:paraId="7AC2B1C8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Efésios 1:6; Romanos 11:33</w:t>
      </w:r>
    </w:p>
  </w:footnote>
  <w:footnote w:id="20">
    <w:p w14:paraId="1A2B2EC9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Romanos 11:5-6,20</w:t>
      </w:r>
    </w:p>
  </w:footnote>
  <w:footnote w:id="21">
    <w:p w14:paraId="05AE8E0B" w14:textId="77777777" w:rsidR="002B0438" w:rsidRDefault="002B0438" w:rsidP="002B0438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B41FCF">
        <w:t xml:space="preserve"> Lucas 10:20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161"/>
    <w:multiLevelType w:val="hybridMultilevel"/>
    <w:tmpl w:val="E2D24A36"/>
    <w:lvl w:ilvl="0" w:tplc="D3DA142C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A4EC3"/>
    <w:multiLevelType w:val="hybridMultilevel"/>
    <w:tmpl w:val="C81C520C"/>
    <w:lvl w:ilvl="0" w:tplc="D938B748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8B53B8A"/>
    <w:multiLevelType w:val="hybridMultilevel"/>
    <w:tmpl w:val="5FD4E05C"/>
    <w:lvl w:ilvl="0" w:tplc="0F0A3E5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978AE"/>
    <w:multiLevelType w:val="hybridMultilevel"/>
    <w:tmpl w:val="567C3D5E"/>
    <w:lvl w:ilvl="0" w:tplc="219265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38"/>
    <w:rsid w:val="00156BAC"/>
    <w:rsid w:val="001E7D0A"/>
    <w:rsid w:val="002B0438"/>
    <w:rsid w:val="005743A5"/>
    <w:rsid w:val="0081465B"/>
    <w:rsid w:val="009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E6A5"/>
  <w15:chartTrackingRefBased/>
  <w15:docId w15:val="{B1763FAD-4D68-4A57-AD07-09D57849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38"/>
    <w:pPr>
      <w:spacing w:line="276" w:lineRule="auto"/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2B0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0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2B0438"/>
    <w:pPr>
      <w:keepNext/>
      <w:keepLines/>
      <w:numPr>
        <w:numId w:val="1"/>
      </w:numPr>
      <w:spacing w:before="40" w:after="0"/>
      <w:ind w:left="357" w:hanging="357"/>
      <w:jc w:val="center"/>
      <w:outlineLvl w:val="2"/>
    </w:pPr>
    <w:rPr>
      <w:rFonts w:eastAsiaTheme="majorEastAsia" w:cstheme="majorBidi"/>
      <w:b/>
      <w:smallCaps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2B0438"/>
    <w:rPr>
      <w:rFonts w:ascii="Palatino Linotype" w:eastAsiaTheme="majorEastAsia" w:hAnsi="Palatino Linotype" w:cstheme="majorBidi"/>
      <w:b/>
      <w:smallCaps/>
      <w:color w:val="000000" w:themeColor="text1"/>
      <w:szCs w:val="24"/>
    </w:rPr>
  </w:style>
  <w:style w:type="character" w:styleId="Refdenotaderodap">
    <w:name w:val="footnote reference"/>
    <w:uiPriority w:val="99"/>
    <w:rsid w:val="002B0438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2B0438"/>
    <w:pPr>
      <w:suppressAutoHyphens/>
      <w:spacing w:after="0" w:line="240" w:lineRule="auto"/>
    </w:pPr>
    <w:rPr>
      <w:rFonts w:ascii="Book Antiqua" w:eastAsia="Times New Roman" w:hAnsi="Book Antiqua" w:cs="Times New Roman"/>
      <w:sz w:val="18"/>
      <w:szCs w:val="20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0438"/>
    <w:rPr>
      <w:rFonts w:ascii="Book Antiqua" w:eastAsia="Times New Roman" w:hAnsi="Book Antiqua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B04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0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B0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Abreu</dc:creator>
  <cp:keywords/>
  <dc:description/>
  <cp:lastModifiedBy>Renan Abreu</cp:lastModifiedBy>
  <cp:revision>1</cp:revision>
  <dcterms:created xsi:type="dcterms:W3CDTF">2021-08-18T15:01:00Z</dcterms:created>
  <dcterms:modified xsi:type="dcterms:W3CDTF">2021-08-18T15:08:00Z</dcterms:modified>
</cp:coreProperties>
</file>