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1638" w14:textId="30FCD401" w:rsidR="001349D4" w:rsidRPr="001349D4" w:rsidRDefault="001349D4" w:rsidP="001349D4">
      <w:pPr>
        <w:pStyle w:val="Ttulo1"/>
      </w:pPr>
      <w:bookmarkStart w:id="0" w:name="_Toc528329779"/>
      <w:r>
        <w:t xml:space="preserve">5 - </w:t>
      </w:r>
      <w:r w:rsidRPr="001349D4">
        <w:t>A Providência Divina</w:t>
      </w:r>
      <w:bookmarkEnd w:id="0"/>
    </w:p>
    <w:p w14:paraId="525722B5" w14:textId="687067C8" w:rsidR="001349D4" w:rsidRDefault="001349D4" w:rsidP="001349D4">
      <w:r>
        <w:t>1. Deus, o bom criador de todas as coisas, em seu poder e sabedoria infinitos, mantém, dirige, dispõe, e governa todas as criaturas e coisas,</w:t>
      </w:r>
      <w:r>
        <w:rPr>
          <w:rStyle w:val="Refdenotaderodap"/>
        </w:rPr>
        <w:footnoteReference w:id="1"/>
      </w:r>
      <w:r>
        <w:t xml:space="preserve"> desde as maiores até às menores,</w:t>
      </w:r>
      <w:r>
        <w:rPr>
          <w:rStyle w:val="Refdenotaderodap"/>
        </w:rPr>
        <w:footnoteReference w:id="2"/>
      </w:r>
      <w:r>
        <w:t xml:space="preserve"> pela sua muito sábia e muito santa providência, para que cumpram com a finalidade para a qual foram criadas. Isso corre de acordo com a infalível presciência e o livre e imutável conselho </w:t>
      </w:r>
      <w:r>
        <w:t>de sua</w:t>
      </w:r>
      <w:r>
        <w:t xml:space="preserve"> própria vontade, para o louvor da glória de sua sabedoria, poder, justiça, infinita bondade e misericórdia.</w:t>
      </w:r>
      <w:r>
        <w:rPr>
          <w:rStyle w:val="Refdenotaderodap"/>
        </w:rPr>
        <w:footnoteReference w:id="3"/>
      </w:r>
    </w:p>
    <w:p w14:paraId="1FF0935B" w14:textId="3029E6F6" w:rsidR="00036509" w:rsidRDefault="001349D4" w:rsidP="00036509">
      <w:r>
        <w:t xml:space="preserve">2. </w:t>
      </w:r>
      <w:r w:rsidR="00036509">
        <w:t>Em</w:t>
      </w:r>
      <w:r w:rsidR="00036509">
        <w:t xml:space="preserve"> </w:t>
      </w:r>
      <w:r w:rsidR="00036509">
        <w:t xml:space="preserve">relação à presciência e ao decreto de </w:t>
      </w:r>
      <w:r w:rsidR="00036509">
        <w:t>Deus, decreto</w:t>
      </w:r>
      <w:r w:rsidR="00036509">
        <w:t xml:space="preserve"> este que é a causa primeira de tudo, todas as coisas acontecem imutável e infalivelmente,</w:t>
      </w:r>
      <w:r w:rsidR="00036509">
        <w:rPr>
          <w:rStyle w:val="Refdenotaderodap"/>
        </w:rPr>
        <w:footnoteReference w:id="4"/>
      </w:r>
      <w:r w:rsidR="00036509">
        <w:t xml:space="preserve"> de maneira que nada acontece</w:t>
      </w:r>
      <w:r w:rsidR="00036509">
        <w:t xml:space="preserve"> </w:t>
      </w:r>
      <w:r w:rsidR="00036509">
        <w:t>por acaso ou sem sua providência.</w:t>
      </w:r>
      <w:r w:rsidR="00036509">
        <w:rPr>
          <w:rStyle w:val="Refdenotaderodap"/>
        </w:rPr>
        <w:footnoteReference w:id="5"/>
      </w:r>
      <w:r w:rsidR="00036509">
        <w:t xml:space="preserve"> Ainda por esta mesma providência, Deus o</w:t>
      </w:r>
      <w:r w:rsidR="00036509">
        <w:t>rdena o</w:t>
      </w:r>
      <w:r w:rsidR="00036509">
        <w:t xml:space="preserve"> conjunto de consequências secundárias de acordo com a natureza das causas segundas, sejam necessariamente, livremente ou contingentemente.</w:t>
      </w:r>
      <w:r w:rsidR="00036509">
        <w:rPr>
          <w:rStyle w:val="Refdenotaderodap"/>
        </w:rPr>
        <w:footnoteReference w:id="6"/>
      </w:r>
    </w:p>
    <w:p w14:paraId="404DDDF3" w14:textId="77777777" w:rsidR="001349D4" w:rsidRDefault="001349D4" w:rsidP="001349D4">
      <w:r>
        <w:t>3. Deus por sua providência ordinária faz uso de meios</w:t>
      </w:r>
      <w:r>
        <w:rPr>
          <w:rStyle w:val="Refdenotaderodap"/>
        </w:rPr>
        <w:footnoteReference w:id="7"/>
      </w:r>
      <w:r>
        <w:t xml:space="preserve"> mas é livre para operar sem,</w:t>
      </w:r>
      <w:r>
        <w:rPr>
          <w:rStyle w:val="Refdenotaderodap"/>
        </w:rPr>
        <w:footnoteReference w:id="8"/>
      </w:r>
      <w:r>
        <w:t xml:space="preserve"> acima de,</w:t>
      </w:r>
      <w:r>
        <w:rPr>
          <w:rStyle w:val="Refdenotaderodap"/>
        </w:rPr>
        <w:footnoteReference w:id="9"/>
      </w:r>
      <w:r>
        <w:t xml:space="preserve"> e contra</w:t>
      </w:r>
      <w:r>
        <w:rPr>
          <w:rStyle w:val="Refdenotaderodap"/>
        </w:rPr>
        <w:footnoteReference w:id="10"/>
      </w:r>
      <w:r>
        <w:t xml:space="preserve"> os meios ordinários, segundo bem entenda.</w:t>
      </w:r>
    </w:p>
    <w:p w14:paraId="06489BA8" w14:textId="77777777" w:rsidR="001349D4" w:rsidRDefault="001349D4" w:rsidP="001349D4">
      <w:r>
        <w:t xml:space="preserve">4. A onipotência, a sabedoria inescrutável e a infinita bondade de Deus, tanto se manifestam em sua providência, que o seu conselho determinado se estende até mesmo  à primeira queda e a todos os outros atos pecaminosos, sejam de anjos </w:t>
      </w:r>
      <w:r>
        <w:t xml:space="preserve"> </w:t>
      </w:r>
      <w:r>
        <w:t>ou de homens.</w:t>
      </w:r>
      <w:r>
        <w:rPr>
          <w:rStyle w:val="Refdenotaderodap"/>
        </w:rPr>
        <w:footnoteReference w:id="11"/>
      </w:r>
      <w:r>
        <w:t xml:space="preserve"> E isso não por meio de mera permissão, que Deus muito sábia e poderosamente</w:t>
      </w:r>
      <w:r>
        <w:rPr>
          <w:rStyle w:val="Refdenotaderodap"/>
        </w:rPr>
        <w:footnoteReference w:id="12"/>
      </w:r>
      <w:r>
        <w:t xml:space="preserve"> delimita, regula e governa em multiforme dispensação para seu mais santo propósito final .</w:t>
      </w:r>
      <w:r>
        <w:rPr>
          <w:rStyle w:val="Refdenotaderodap"/>
        </w:rPr>
        <w:footnoteReference w:id="13"/>
      </w:r>
      <w:r>
        <w:t xml:space="preserve"> Mesmo assim, a pecaminosidade desses atos procede das criaturas, e não de Deus, que, sendo o mais</w:t>
      </w:r>
      <w:r>
        <w:t xml:space="preserve"> </w:t>
      </w:r>
      <w:r>
        <w:t>santo e justo, não é nem pode ser o autor do pecado; e nem pode aprová-lo.</w:t>
      </w:r>
      <w:r>
        <w:rPr>
          <w:rStyle w:val="Refdenotaderodap"/>
        </w:rPr>
        <w:footnoteReference w:id="14"/>
      </w:r>
    </w:p>
    <w:p w14:paraId="2A88307C" w14:textId="77777777" w:rsidR="001349D4" w:rsidRDefault="001349D4" w:rsidP="001349D4">
      <w:r>
        <w:t xml:space="preserve">5. Deus, que é muito sábio, justo e gracioso, muitas vezes deixa os seus próprios filhos entregues a várias tentações e à corrupção de seus próprios corações, por algum tempo, para castigá-los por antigos pecados, ou para mostrar-lhes o poder oculto da corrupção e do dolo em seus corações, a fim de que se humilhem; para levá-los a uma dependência mais constante e mais próxima de Deus; para torná-los mais vigilantes contra todas as </w:t>
      </w:r>
      <w:r>
        <w:lastRenderedPageBreak/>
        <w:t>futuras ocasiões de pecado; e para outros propósitos justos e santos.</w:t>
      </w:r>
      <w:r>
        <w:rPr>
          <w:rStyle w:val="Refdenotaderodap"/>
        </w:rPr>
        <w:footnoteReference w:id="15"/>
      </w:r>
      <w:r>
        <w:rPr>
          <w:position w:val="12"/>
        </w:rPr>
        <w:t xml:space="preserve"> </w:t>
      </w:r>
      <w:r>
        <w:t>Por isso, tudo o que sobrevêm aos eleitos acontece por designação divina, para a glória de Deus e o bem de seus filhos.</w:t>
      </w:r>
      <w:r>
        <w:rPr>
          <w:rStyle w:val="Refdenotaderodap"/>
        </w:rPr>
        <w:footnoteReference w:id="16"/>
      </w:r>
    </w:p>
    <w:p w14:paraId="45B8BE38" w14:textId="77777777" w:rsidR="001349D4" w:rsidRDefault="001349D4" w:rsidP="001349D4">
      <w:r>
        <w:t>6. Quanto aos perversos e ímpios, Deus, como reto juiz, os cega e endurece, em razão de pecados anteriores.</w:t>
      </w:r>
      <w:r>
        <w:rPr>
          <w:rStyle w:val="Refdenotaderodap"/>
        </w:rPr>
        <w:footnoteReference w:id="17"/>
      </w:r>
      <w:r>
        <w:t xml:space="preserve"> Ele não apenas lhes retem</w:t>
      </w:r>
      <w:r>
        <w:t xml:space="preserve"> </w:t>
      </w:r>
      <w:r>
        <w:t>a sua graça, pela qual poderiam ser iluminados no entendimento e transformados no coração;</w:t>
      </w:r>
      <w:r>
        <w:rPr>
          <w:rStyle w:val="Refdenotaderodap"/>
        </w:rPr>
        <w:footnoteReference w:id="18"/>
      </w:r>
      <w:r>
        <w:t xml:space="preserve"> às vezes Ele também lhes retira os dons que já possuíam,</w:t>
      </w:r>
      <w:r>
        <w:rPr>
          <w:rStyle w:val="Refdenotaderodap"/>
        </w:rPr>
        <w:footnoteReference w:id="19"/>
      </w:r>
      <w:r>
        <w:t xml:space="preserve"> e os expõe a objetos que suas corrupções tornam em ocasiões de pecado,</w:t>
      </w:r>
      <w:r>
        <w:rPr>
          <w:rStyle w:val="Refdenotaderodap"/>
        </w:rPr>
        <w:footnoteReference w:id="20"/>
      </w:r>
      <w:r>
        <w:t>. Desse modo os entrega às suas próprias paixões, às tentações do mundo e ao poder de Satanás,</w:t>
      </w:r>
      <w:r>
        <w:rPr>
          <w:rStyle w:val="Refdenotaderodap"/>
        </w:rPr>
        <w:footnoteReference w:id="21"/>
      </w:r>
      <w:r>
        <w:t xml:space="preserve"> de maneira que eles mesmos se endurecem, mesmo sob aqueles meios que Deus emprega para diminuir o endurecimento</w:t>
      </w:r>
      <w:r>
        <w:t xml:space="preserve"> </w:t>
      </w:r>
      <w:r>
        <w:t>de outras pessoas.</w:t>
      </w:r>
      <w:r>
        <w:rPr>
          <w:rStyle w:val="Refdenotaderodap"/>
        </w:rPr>
        <w:footnoteReference w:id="22"/>
      </w:r>
    </w:p>
    <w:p w14:paraId="5B663485" w14:textId="77777777" w:rsidR="001349D4" w:rsidRDefault="001349D4" w:rsidP="001349D4">
      <w:r>
        <w:t>7. Assim como a providência de Deus se estende a todas as criaturas, em geral; acima de tudo, de modo mais especial, Deus cuida de sua igreja, e tudo dispõe para o bem dela.</w:t>
      </w:r>
      <w:r>
        <w:rPr>
          <w:rStyle w:val="Refdenotaderodap"/>
        </w:rPr>
        <w:footnoteReference w:id="23"/>
      </w:r>
    </w:p>
    <w:p w14:paraId="20475ADD" w14:textId="77777777" w:rsidR="00557413" w:rsidRDefault="00373D1A"/>
    <w:sectPr w:rsidR="00557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97B33" w14:textId="77777777" w:rsidR="00373D1A" w:rsidRDefault="00373D1A" w:rsidP="001349D4">
      <w:pPr>
        <w:spacing w:after="0" w:line="240" w:lineRule="auto"/>
      </w:pPr>
      <w:r>
        <w:separator/>
      </w:r>
    </w:p>
  </w:endnote>
  <w:endnote w:type="continuationSeparator" w:id="0">
    <w:p w14:paraId="10A08A48" w14:textId="77777777" w:rsidR="00373D1A" w:rsidRDefault="00373D1A" w:rsidP="00134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C7BCD" w14:textId="77777777" w:rsidR="00373D1A" w:rsidRDefault="00373D1A" w:rsidP="001349D4">
      <w:pPr>
        <w:spacing w:after="0" w:line="240" w:lineRule="auto"/>
      </w:pPr>
      <w:r>
        <w:separator/>
      </w:r>
    </w:p>
  </w:footnote>
  <w:footnote w:type="continuationSeparator" w:id="0">
    <w:p w14:paraId="260BF17C" w14:textId="77777777" w:rsidR="00373D1A" w:rsidRDefault="00373D1A" w:rsidP="001349D4">
      <w:pPr>
        <w:spacing w:after="0" w:line="240" w:lineRule="auto"/>
      </w:pPr>
      <w:r>
        <w:continuationSeparator/>
      </w:r>
    </w:p>
  </w:footnote>
  <w:footnote w:id="1">
    <w:p w14:paraId="7AF9CBC6" w14:textId="77777777" w:rsidR="001349D4" w:rsidRDefault="001349D4" w:rsidP="001349D4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34693D">
        <w:t xml:space="preserve"> Hebreus 1:3; Jó 38:11; Isaías 46:10-11; Salmo 135:6.</w:t>
      </w:r>
    </w:p>
  </w:footnote>
  <w:footnote w:id="2">
    <w:p w14:paraId="5C0B55A0" w14:textId="77777777" w:rsidR="001349D4" w:rsidRDefault="001349D4" w:rsidP="001349D4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34693D">
        <w:t xml:space="preserve"> Mateus 10:29-31.</w:t>
      </w:r>
    </w:p>
  </w:footnote>
  <w:footnote w:id="3">
    <w:p w14:paraId="39E0CE24" w14:textId="77777777" w:rsidR="001349D4" w:rsidRDefault="001349D4" w:rsidP="001349D4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34693D">
        <w:t xml:space="preserve"> Efésios 1:11</w:t>
      </w:r>
    </w:p>
  </w:footnote>
  <w:footnote w:id="4">
    <w:p w14:paraId="3DC395B2" w14:textId="77777777" w:rsidR="00036509" w:rsidRDefault="00036509" w:rsidP="00036509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34693D">
        <w:t xml:space="preserve"> Atos 2:23</w:t>
      </w:r>
    </w:p>
  </w:footnote>
  <w:footnote w:id="5">
    <w:p w14:paraId="1352A09D" w14:textId="77777777" w:rsidR="00036509" w:rsidRDefault="00036509" w:rsidP="00036509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34693D">
        <w:t xml:space="preserve"> Provérbios 16:33</w:t>
      </w:r>
    </w:p>
  </w:footnote>
  <w:footnote w:id="6">
    <w:p w14:paraId="63E85D6E" w14:textId="77777777" w:rsidR="00036509" w:rsidRDefault="00036509" w:rsidP="00036509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34693D">
        <w:t xml:space="preserve"> Gênesis 8:22</w:t>
      </w:r>
    </w:p>
  </w:footnote>
  <w:footnote w:id="7">
    <w:p w14:paraId="3F1227B8" w14:textId="77777777" w:rsidR="001349D4" w:rsidRDefault="001349D4" w:rsidP="001349D4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34693D">
        <w:t xml:space="preserve"> Atos 27:31,44; Isaías 55:10-11</w:t>
      </w:r>
    </w:p>
  </w:footnote>
  <w:footnote w:id="8">
    <w:p w14:paraId="368A9968" w14:textId="77777777" w:rsidR="001349D4" w:rsidRDefault="001349D4" w:rsidP="001349D4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34693D">
        <w:t xml:space="preserve"> Oséias 1:7</w:t>
      </w:r>
    </w:p>
  </w:footnote>
  <w:footnote w:id="9">
    <w:p w14:paraId="7E2C0345" w14:textId="77777777" w:rsidR="001349D4" w:rsidRDefault="001349D4" w:rsidP="001349D4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34693D">
        <w:t xml:space="preserve"> Romanos 4:19-21</w:t>
      </w:r>
    </w:p>
  </w:footnote>
  <w:footnote w:id="10">
    <w:p w14:paraId="79865BC2" w14:textId="77777777" w:rsidR="001349D4" w:rsidRDefault="001349D4" w:rsidP="001349D4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34693D">
        <w:t xml:space="preserve"> Daniel 3:27</w:t>
      </w:r>
    </w:p>
  </w:footnote>
  <w:footnote w:id="11">
    <w:p w14:paraId="327B1EAF" w14:textId="77777777" w:rsidR="001349D4" w:rsidRDefault="001349D4" w:rsidP="001349D4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EB1B1F">
        <w:t xml:space="preserve"> Romanos 11:32-34; II Samuel 24:1; I Crônicas 21:1</w:t>
      </w:r>
    </w:p>
  </w:footnote>
  <w:footnote w:id="12">
    <w:p w14:paraId="3854E722" w14:textId="77777777" w:rsidR="001349D4" w:rsidRDefault="001349D4" w:rsidP="001349D4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EB1B1F">
        <w:t xml:space="preserve"> II Reis 19:28; Salmo 76:10</w:t>
      </w:r>
    </w:p>
  </w:footnote>
  <w:footnote w:id="13">
    <w:p w14:paraId="2C33C8BD" w14:textId="77777777" w:rsidR="001349D4" w:rsidRDefault="001349D4" w:rsidP="001349D4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EB1B1F">
        <w:t xml:space="preserve"> Gênesis 50:20; Isaías 10:6-7,12</w:t>
      </w:r>
    </w:p>
  </w:footnote>
  <w:footnote w:id="14">
    <w:p w14:paraId="59A8B5C7" w14:textId="77777777" w:rsidR="001349D4" w:rsidRDefault="001349D4" w:rsidP="001349D4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EB1B1F">
        <w:t xml:space="preserve"> Salmo 50:21; I João 2:16</w:t>
      </w:r>
    </w:p>
  </w:footnote>
  <w:footnote w:id="15">
    <w:p w14:paraId="38527932" w14:textId="77777777" w:rsidR="001349D4" w:rsidRDefault="001349D4" w:rsidP="001349D4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EB1B1F">
        <w:t xml:space="preserve"> II Crônicas 32:25-26,31; II Coríntios 12:7-9</w:t>
      </w:r>
    </w:p>
  </w:footnote>
  <w:footnote w:id="16">
    <w:p w14:paraId="4F004E34" w14:textId="77777777" w:rsidR="001349D4" w:rsidRDefault="001349D4" w:rsidP="001349D4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EB1B1F">
        <w:t xml:space="preserve"> Romanos 8:28</w:t>
      </w:r>
    </w:p>
  </w:footnote>
  <w:footnote w:id="17">
    <w:p w14:paraId="59C4EEF7" w14:textId="77777777" w:rsidR="001349D4" w:rsidRDefault="001349D4" w:rsidP="001349D4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EB1B1F">
        <w:t xml:space="preserve"> Romanos 1:24-26,28; Romanos 11:7-8</w:t>
      </w:r>
    </w:p>
  </w:footnote>
  <w:footnote w:id="18">
    <w:p w14:paraId="73105DE8" w14:textId="77777777" w:rsidR="001349D4" w:rsidRDefault="001349D4" w:rsidP="001349D4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EB1B1F">
        <w:t xml:space="preserve"> Deuteronômio 29:4</w:t>
      </w:r>
    </w:p>
  </w:footnote>
  <w:footnote w:id="19">
    <w:p w14:paraId="55EF87DD" w14:textId="77777777" w:rsidR="001349D4" w:rsidRDefault="001349D4" w:rsidP="001349D4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EB1B1F">
        <w:t xml:space="preserve"> Mateus 13:12</w:t>
      </w:r>
    </w:p>
  </w:footnote>
  <w:footnote w:id="20">
    <w:p w14:paraId="613C096B" w14:textId="77777777" w:rsidR="001349D4" w:rsidRDefault="001349D4" w:rsidP="001349D4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EB1B1F">
        <w:t xml:space="preserve"> Deuteronômio 2:30; II Reis 8:12-13</w:t>
      </w:r>
    </w:p>
  </w:footnote>
  <w:footnote w:id="21">
    <w:p w14:paraId="5742296F" w14:textId="77777777" w:rsidR="001349D4" w:rsidRDefault="001349D4" w:rsidP="001349D4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EB1B1F">
        <w:t>Salmo 81:11-12; II Tessalonicenses 2:10-12</w:t>
      </w:r>
    </w:p>
  </w:footnote>
  <w:footnote w:id="22">
    <w:p w14:paraId="203C5FD1" w14:textId="77777777" w:rsidR="001349D4" w:rsidRDefault="001349D4" w:rsidP="001349D4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EB1B1F">
        <w:t xml:space="preserve"> Êxodo 8:15,32; Isaías 6:9-10; I Pedro 2:7-8</w:t>
      </w:r>
    </w:p>
  </w:footnote>
  <w:footnote w:id="23">
    <w:p w14:paraId="47349C42" w14:textId="77777777" w:rsidR="001349D4" w:rsidRDefault="001349D4" w:rsidP="001349D4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EB1B1F">
        <w:t xml:space="preserve"> I Timóteo 4:10; Amós 9:8-9; Isaías 43:3-5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64161"/>
    <w:multiLevelType w:val="hybridMultilevel"/>
    <w:tmpl w:val="E2D24A36"/>
    <w:lvl w:ilvl="0" w:tplc="D3DA142C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D4"/>
    <w:rsid w:val="00036509"/>
    <w:rsid w:val="001349D4"/>
    <w:rsid w:val="001E7D0A"/>
    <w:rsid w:val="00283C30"/>
    <w:rsid w:val="002F4BC7"/>
    <w:rsid w:val="00373D1A"/>
    <w:rsid w:val="005743A5"/>
    <w:rsid w:val="009D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555ED"/>
  <w15:chartTrackingRefBased/>
  <w15:docId w15:val="{352746D2-4BBF-4ABD-B3F4-F6782C6F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9D4"/>
    <w:pPr>
      <w:spacing w:line="276" w:lineRule="auto"/>
      <w:jc w:val="both"/>
    </w:pPr>
    <w:rPr>
      <w:rFonts w:ascii="Palatino Linotype" w:hAnsi="Palatino Linotype"/>
    </w:rPr>
  </w:style>
  <w:style w:type="paragraph" w:styleId="Ttulo1">
    <w:name w:val="heading 1"/>
    <w:basedOn w:val="Normal"/>
    <w:next w:val="Normal"/>
    <w:link w:val="Ttulo1Char"/>
    <w:uiPriority w:val="9"/>
    <w:qFormat/>
    <w:rsid w:val="00134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nhideWhenUsed/>
    <w:qFormat/>
    <w:rsid w:val="001349D4"/>
    <w:pPr>
      <w:keepNext/>
      <w:keepLines/>
      <w:numPr>
        <w:numId w:val="1"/>
      </w:numPr>
      <w:spacing w:before="40" w:after="0"/>
      <w:ind w:left="357" w:hanging="357"/>
      <w:jc w:val="center"/>
      <w:outlineLvl w:val="2"/>
    </w:pPr>
    <w:rPr>
      <w:rFonts w:eastAsiaTheme="majorEastAsia" w:cstheme="majorBidi"/>
      <w:b/>
      <w:smallCaps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1349D4"/>
    <w:rPr>
      <w:rFonts w:ascii="Palatino Linotype" w:eastAsiaTheme="majorEastAsia" w:hAnsi="Palatino Linotype" w:cstheme="majorBidi"/>
      <w:b/>
      <w:smallCaps/>
      <w:color w:val="000000" w:themeColor="text1"/>
      <w:szCs w:val="24"/>
    </w:rPr>
  </w:style>
  <w:style w:type="character" w:styleId="Refdenotaderodap">
    <w:name w:val="footnote reference"/>
    <w:uiPriority w:val="99"/>
    <w:rsid w:val="001349D4"/>
    <w:rPr>
      <w:vertAlign w:val="superscript"/>
    </w:rPr>
  </w:style>
  <w:style w:type="paragraph" w:styleId="SemEspaamento">
    <w:name w:val="No Spacing"/>
    <w:link w:val="SemEspaamentoChar"/>
    <w:uiPriority w:val="1"/>
    <w:qFormat/>
    <w:rsid w:val="001349D4"/>
    <w:pPr>
      <w:suppressAutoHyphens/>
      <w:spacing w:after="0" w:line="240" w:lineRule="auto"/>
    </w:pPr>
    <w:rPr>
      <w:rFonts w:ascii="Book Antiqua" w:eastAsia="Times New Roman" w:hAnsi="Book Antiqua" w:cs="Times New Roman"/>
      <w:sz w:val="18"/>
      <w:szCs w:val="20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349D4"/>
    <w:rPr>
      <w:rFonts w:ascii="Book Antiqua" w:eastAsia="Times New Roman" w:hAnsi="Book Antiqua" w:cs="Times New Roman"/>
      <w:sz w:val="18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34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474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Abreu</dc:creator>
  <cp:keywords/>
  <dc:description/>
  <cp:lastModifiedBy>Renan Abreu</cp:lastModifiedBy>
  <cp:revision>1</cp:revision>
  <dcterms:created xsi:type="dcterms:W3CDTF">2021-08-18T18:37:00Z</dcterms:created>
  <dcterms:modified xsi:type="dcterms:W3CDTF">2021-08-18T19:05:00Z</dcterms:modified>
</cp:coreProperties>
</file>