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E582" w14:textId="65D251F3" w:rsidR="000F13AF" w:rsidRDefault="000F13AF" w:rsidP="000F13AF">
      <w:pPr>
        <w:pStyle w:val="Ttulo1"/>
      </w:pPr>
      <w:bookmarkStart w:id="0" w:name="_Toc528329782"/>
      <w:r>
        <w:t xml:space="preserve">8- </w:t>
      </w:r>
      <w:r>
        <w:t>Cristo, o Mediador</w:t>
      </w:r>
      <w:bookmarkEnd w:id="0"/>
    </w:p>
    <w:p w14:paraId="2AD07668" w14:textId="77777777" w:rsidR="000F13AF" w:rsidRDefault="000F13AF" w:rsidP="000F13AF">
      <w:r>
        <w:t>1. Em seu propósito eterno, e de acordo com o Pacto estabelecido entre ambos, aprouve a Deus escolher e ordenar</w:t>
      </w:r>
      <w:r>
        <w:t xml:space="preserve"> </w:t>
      </w:r>
      <w:r>
        <w:t>o Senhor Jesus Cristo, seu Filho unigênito, para ser o mediador entre Deus e os homens;</w:t>
      </w:r>
      <w:r>
        <w:rPr>
          <w:rStyle w:val="Refdenotaderodap"/>
        </w:rPr>
        <w:footnoteReference w:id="1"/>
      </w:r>
      <w:r>
        <w:t xml:space="preserve"> para ser o Profeta,</w:t>
      </w:r>
      <w:r>
        <w:rPr>
          <w:rStyle w:val="Refdenotaderodap"/>
        </w:rPr>
        <w:footnoteReference w:id="2"/>
      </w:r>
      <w:r>
        <w:t xml:space="preserve"> Sacerdote</w:t>
      </w:r>
      <w:r>
        <w:rPr>
          <w:rStyle w:val="Refdenotaderodap"/>
        </w:rPr>
        <w:footnoteReference w:id="3"/>
      </w:r>
      <w:r w:rsidRPr="00BC2C7B">
        <w:rPr>
          <w:rStyle w:val="CitaoChar"/>
        </w:rPr>
        <w:t xml:space="preserve"> </w:t>
      </w:r>
      <w:r>
        <w:t>e Rei;</w:t>
      </w:r>
      <w:r>
        <w:rPr>
          <w:rStyle w:val="Refdenotaderodap"/>
        </w:rPr>
        <w:footnoteReference w:id="4"/>
      </w:r>
      <w:r>
        <w:t xml:space="preserve"> o Cabeça e Salvador de sua Igreja;</w:t>
      </w:r>
      <w:r>
        <w:rPr>
          <w:rStyle w:val="Refdenotaderodap"/>
        </w:rPr>
        <w:footnoteReference w:id="5"/>
      </w:r>
      <w:r>
        <w:t xml:space="preserve"> o herdeiro de todas as coisas</w:t>
      </w:r>
      <w:r>
        <w:rPr>
          <w:rStyle w:val="Refdenotaderodap"/>
        </w:rPr>
        <w:footnoteReference w:id="6"/>
      </w:r>
      <w:r>
        <w:t xml:space="preserve"> e juiz do mundo.</w:t>
      </w:r>
      <w:r>
        <w:rPr>
          <w:rStyle w:val="Refdenotaderodap"/>
        </w:rPr>
        <w:footnoteReference w:id="7"/>
      </w:r>
      <w:r>
        <w:t xml:space="preserve"> Desde toda a eternidade, Deus deu-Lhe um povo para ser sua descendência, e para que, em tempo, esse povo seja por Ele redimido, chamado, justificado, santificado e glorificado.</w:t>
      </w:r>
      <w:r>
        <w:rPr>
          <w:rStyle w:val="Refdenotaderodap"/>
        </w:rPr>
        <w:footnoteReference w:id="8"/>
      </w:r>
    </w:p>
    <w:p w14:paraId="1A5B46E1" w14:textId="77777777" w:rsidR="000F13AF" w:rsidRDefault="000F13AF" w:rsidP="000F13AF">
      <w:r>
        <w:t>2. O Filho de Deus, Segunda pessoa da Santíssima Trindade, sendo o próprio Deus eterno, o resplendor da glória do Pai, da mesma essência e igual ao Pai, criou o mundo, sustém e governa todas as coisas que criou. Quando veio a plenitude do tempo, Ele tomou sobre si a natureza humana, com todas as suas propriedades essenciais e fraquezas comuns</w:t>
      </w:r>
      <w:r>
        <w:rPr>
          <w:rStyle w:val="Refdenotaderodap"/>
        </w:rPr>
        <w:footnoteReference w:id="9"/>
      </w:r>
      <w:r>
        <w:t>;  porém, sem pecado.</w:t>
      </w:r>
      <w:r>
        <w:rPr>
          <w:rStyle w:val="Refdenotaderodap"/>
        </w:rPr>
        <w:footnoteReference w:id="10"/>
      </w:r>
      <w:r>
        <w:rPr>
          <w:position w:val="12"/>
        </w:rPr>
        <w:t xml:space="preserve"> </w:t>
      </w:r>
      <w:r>
        <w:t>Foi concebido pelo Espírito Santo, no ventre de Maria, a virgem, (pois o Espírito Santo desceu sobre ela, e o poder do Altíssimo a envolveu). E assim, foi nascido de mulher, da tribo de Judá, da descendência de Abraão e de Davi, segundo previam as Escrituras.</w:t>
      </w:r>
      <w:r>
        <w:rPr>
          <w:rStyle w:val="Refdenotaderodap"/>
        </w:rPr>
        <w:footnoteReference w:id="11"/>
      </w:r>
      <w:r>
        <w:rPr>
          <w:position w:val="12"/>
        </w:rPr>
        <w:t xml:space="preserve"> </w:t>
      </w:r>
      <w:r>
        <w:t>Desse modo, duas naturezas completas, perfeitas e distintas foram inseparavelmente unidas, em uma única Pessoa, sem conversão, composição ou confusão. E essa pessoa é verdadeiramente Deus e verdadeiramente homem; no entanto, um só Cristo, o único mediador entre Deus e os homens.</w:t>
      </w:r>
      <w:r>
        <w:rPr>
          <w:rStyle w:val="Refdenotaderodap"/>
        </w:rPr>
        <w:footnoteReference w:id="12"/>
      </w:r>
    </w:p>
    <w:p w14:paraId="3ABAEA13" w14:textId="77777777" w:rsidR="000F13AF" w:rsidRDefault="000F13AF" w:rsidP="000F13AF">
      <w:r>
        <w:t>3. Em sua natureza humana assim unida à divina, na Pessoa do Filho, o Senhor Jesus foi santificado e ungido com o Espírito Santo, sobremaneira.</w:t>
      </w:r>
      <w:r>
        <w:rPr>
          <w:rStyle w:val="Refdenotaderodap"/>
        </w:rPr>
        <w:footnoteReference w:id="13"/>
      </w:r>
      <w:r>
        <w:t xml:space="preserve"> Tendo em si todos os tesouros da sabedoria e do conhecimento,</w:t>
      </w:r>
      <w:r>
        <w:rPr>
          <w:rStyle w:val="Refdenotaderodap"/>
        </w:rPr>
        <w:footnoteReference w:id="14"/>
      </w:r>
      <w:r>
        <w:t xml:space="preserve"> em Quem</w:t>
      </w:r>
      <w:r>
        <w:t xml:space="preserve"> </w:t>
      </w:r>
      <w:r>
        <w:t>aprouve ao Pai habitasse toda plenitude,</w:t>
      </w:r>
      <w:r>
        <w:rPr>
          <w:rStyle w:val="Refdenotaderodap"/>
        </w:rPr>
        <w:footnoteReference w:id="15"/>
      </w:r>
      <w:r>
        <w:t xml:space="preserve"> a fim de que, sendo santo, inculpável e sem mácula,</w:t>
      </w:r>
      <w:r>
        <w:rPr>
          <w:rStyle w:val="Refdenotaderodap"/>
        </w:rPr>
        <w:footnoteReference w:id="16"/>
      </w:r>
      <w:r>
        <w:t xml:space="preserve"> cheio de graça e de verdade,</w:t>
      </w:r>
      <w:r>
        <w:rPr>
          <w:rStyle w:val="Refdenotaderodap"/>
        </w:rPr>
        <w:footnoteReference w:id="17"/>
      </w:r>
      <w:r>
        <w:t xml:space="preserve"> Ele fosse plenamente qualificado para executar</w:t>
      </w:r>
      <w:r>
        <w:t xml:space="preserve"> </w:t>
      </w:r>
      <w:r>
        <w:t>o oficio de mediador e fiador,</w:t>
      </w:r>
      <w:r>
        <w:rPr>
          <w:rStyle w:val="Refdenotaderodap"/>
        </w:rPr>
        <w:footnoteReference w:id="18"/>
      </w:r>
      <w:r>
        <w:t xml:space="preserve"> ofício que </w:t>
      </w:r>
      <w:r>
        <w:lastRenderedPageBreak/>
        <w:t>Ele mesmo não tomou para si, mas para o qual foi chamado por seu Pai</w:t>
      </w:r>
      <w:r>
        <w:rPr>
          <w:rStyle w:val="Refdenotaderodap"/>
        </w:rPr>
        <w:footnoteReference w:id="19"/>
      </w:r>
      <w:r>
        <w:t>, que lhe conferiu todo poder e julgamento em sua mão, e ordenou que os executasse.</w:t>
      </w:r>
      <w:r>
        <w:rPr>
          <w:rStyle w:val="Refdenotaderodap"/>
        </w:rPr>
        <w:footnoteReference w:id="20"/>
      </w:r>
    </w:p>
    <w:p w14:paraId="2FB2A78E" w14:textId="77777777" w:rsidR="000F13AF" w:rsidRDefault="000F13AF" w:rsidP="000F13AF">
      <w:r>
        <w:t>4. Esse ofício o Senhor Jesus assumiu de muitíssima voluntariedade</w:t>
      </w:r>
      <w:r>
        <w:rPr>
          <w:rStyle w:val="Refdenotaderodap"/>
        </w:rPr>
        <w:footnoteReference w:id="21"/>
      </w:r>
      <w:r>
        <w:t xml:space="preserve"> para que pudesse exercê-lo foi sujeito à lei, e de modo perfeito a cumpriu..</w:t>
      </w:r>
      <w:r>
        <w:rPr>
          <w:rStyle w:val="Refdenotaderodap"/>
        </w:rPr>
        <w:footnoteReference w:id="22"/>
      </w:r>
      <w:r>
        <w:t xml:space="preserve"> Ele suportou o castigo que a nós era devido, que nós deveríamos ter recebido e sofrido.</w:t>
      </w:r>
      <w:r>
        <w:rPr>
          <w:rStyle w:val="Refdenotaderodap"/>
        </w:rPr>
        <w:footnoteReference w:id="23"/>
      </w:r>
      <w:r>
        <w:t xml:space="preserve"> E foi feito pecado e maldição, por nossa causa,</w:t>
      </w:r>
      <w:r>
        <w:rPr>
          <w:rStyle w:val="Refdenotaderodap"/>
        </w:rPr>
        <w:footnoteReference w:id="24"/>
      </w:r>
      <w:r>
        <w:t xml:space="preserve"> suportando as tristezas mais aflitivas em sua alma, e os sofrimentos mais dolorosos em seu corpo.</w:t>
      </w:r>
      <w:r>
        <w:rPr>
          <w:rStyle w:val="Refdenotaderodap"/>
        </w:rPr>
        <w:footnoteReference w:id="25"/>
      </w:r>
      <w:r>
        <w:t xml:space="preserve"> Foi crucificado e morreu; e, embora tenha ficado em estado de morte, não viu corrupção.</w:t>
      </w:r>
      <w:r>
        <w:rPr>
          <w:rStyle w:val="Refdenotaderodap"/>
        </w:rPr>
        <w:footnoteReference w:id="26"/>
      </w:r>
      <w:r>
        <w:t xml:space="preserve"> Ao terceiro dia Ele se levantou dentre os mortos,</w:t>
      </w:r>
      <w:r>
        <w:rPr>
          <w:rStyle w:val="Refdenotaderodap"/>
        </w:rPr>
        <w:footnoteReference w:id="27"/>
      </w:r>
      <w:r>
        <w:t xml:space="preserve"> com o mesmo corpo em que havia sofrido,</w:t>
      </w:r>
      <w:r>
        <w:rPr>
          <w:rStyle w:val="Refdenotaderodap"/>
        </w:rPr>
        <w:footnoteReference w:id="28"/>
      </w:r>
      <w:r>
        <w:t xml:space="preserve"> e com o qual ascendeu ao céu.</w:t>
      </w:r>
      <w:r>
        <w:rPr>
          <w:rStyle w:val="Refdenotaderodap"/>
        </w:rPr>
        <w:footnoteReference w:id="29"/>
      </w:r>
      <w:r>
        <w:t xml:space="preserve"> Ele está assentado à mão direita de seu Pai, fazendo intercessão,</w:t>
      </w:r>
      <w:r>
        <w:rPr>
          <w:rStyle w:val="Refdenotaderodap"/>
        </w:rPr>
        <w:footnoteReference w:id="30"/>
      </w:r>
      <w:r>
        <w:t xml:space="preserve"> e voltará para julgar homens e anjos, no fim do mundo.</w:t>
      </w:r>
      <w:r>
        <w:rPr>
          <w:rStyle w:val="Refdenotaderodap"/>
        </w:rPr>
        <w:footnoteReference w:id="31"/>
      </w:r>
    </w:p>
    <w:p w14:paraId="73D2C574" w14:textId="77777777" w:rsidR="000F13AF" w:rsidRDefault="000F13AF" w:rsidP="000F13AF">
      <w:r>
        <w:t>5. Por sua obediência perfeita, e pelo sacrifício que fez de si mesmo (que Ele, pelo Espírito Santo, ofereceu a Deus uma única vez), o Senhor Jesus satisfez plenamente a justiça de Deus,</w:t>
      </w:r>
      <w:r>
        <w:rPr>
          <w:rStyle w:val="Refdenotaderodap"/>
        </w:rPr>
        <w:footnoteReference w:id="32"/>
      </w:r>
      <w:r>
        <w:t xml:space="preserve"> </w:t>
      </w:r>
      <w:r>
        <w:rPr>
          <w:b/>
          <w:bCs/>
          <w:i/>
          <w:iCs/>
        </w:rPr>
        <w:t>conseguiu</w:t>
      </w:r>
      <w:r w:rsidRPr="007F4625">
        <w:rPr>
          <w:b/>
          <w:bCs/>
          <w:i/>
          <w:iCs/>
        </w:rPr>
        <w:t xml:space="preserve"> </w:t>
      </w:r>
      <w:r w:rsidRPr="007F4625">
        <w:rPr>
          <w:b/>
          <w:bCs/>
          <w:i/>
          <w:iCs/>
        </w:rPr>
        <w:t>a reconciliação e adquiriu uma herança</w:t>
      </w:r>
      <w:r>
        <w:rPr>
          <w:rStyle w:val="Refdenotaderodap"/>
          <w:b/>
          <w:bCs/>
          <w:i/>
          <w:iCs/>
        </w:rPr>
        <w:footnoteReference w:id="33"/>
      </w:r>
      <w:r>
        <w:t xml:space="preserve"> eterna no reino dos céus, para todos quantos foram dados a Ele pelo Pai.</w:t>
      </w:r>
      <w:r>
        <w:rPr>
          <w:rStyle w:val="Refdenotaderodap"/>
        </w:rPr>
        <w:footnoteReference w:id="34"/>
      </w:r>
    </w:p>
    <w:p w14:paraId="77EDEF4B" w14:textId="6BC484FE" w:rsidR="000F13AF" w:rsidRPr="00BC2C7B" w:rsidRDefault="000F13AF" w:rsidP="000F13AF">
      <w:pPr>
        <w:rPr>
          <w:rStyle w:val="CitaoChar"/>
        </w:rPr>
      </w:pPr>
      <w:r>
        <w:t xml:space="preserve">6. O preço da redenção não foi pago por Cristo senão após a sua encarnação. No entanto, a virtude, a eficácia e os benefícios da redenção </w:t>
      </w:r>
      <w:r>
        <w:t>foram comunicados</w:t>
      </w:r>
      <w:r>
        <w:t xml:space="preserve"> aos eleitos, em todas as eras, sucessivamente, desde o começo do mundo, nas – e através das – promessas, tipos e sacrifícios em que Cristo foi revelado, e significado como o descendente da mulher que devia esmagar a cabeça da serpente;</w:t>
      </w:r>
      <w:r>
        <w:rPr>
          <w:rStyle w:val="Refdenotaderodap"/>
        </w:rPr>
        <w:footnoteReference w:id="35"/>
      </w:r>
      <w:r>
        <w:t xml:space="preserve"> e como o Cordeiro que foi morto desde a fundação do mundo:</w:t>
      </w:r>
      <w:r>
        <w:rPr>
          <w:rStyle w:val="Refdenotaderodap"/>
        </w:rPr>
        <w:footnoteReference w:id="36"/>
      </w:r>
      <w:r>
        <w:t xml:space="preserve"> sendo o mesmo ontem, hoje e para sempre.</w:t>
      </w:r>
      <w:r>
        <w:rPr>
          <w:rStyle w:val="Refdenotaderodap"/>
        </w:rPr>
        <w:footnoteReference w:id="37"/>
      </w:r>
    </w:p>
    <w:p w14:paraId="7E020FB2" w14:textId="77777777" w:rsidR="000F13AF" w:rsidRDefault="000F13AF" w:rsidP="000F13AF">
      <w:r>
        <w:lastRenderedPageBreak/>
        <w:t>7. Cristo, na obra de mediação, age de acordo com suas duas naturezas, cada uma delas atuando como lhe é próprio. Mesmo assim, em razão da unidade de Pessoa, aquilo que é próprio de uma natureza às vezes é atribuído à Pessoa pelo nome de outra natureza.</w:t>
      </w:r>
      <w:r>
        <w:rPr>
          <w:rStyle w:val="Refdenotaderodap"/>
        </w:rPr>
        <w:footnoteReference w:id="38"/>
      </w:r>
    </w:p>
    <w:p w14:paraId="30211ED2" w14:textId="77777777" w:rsidR="000F13AF" w:rsidRDefault="000F13AF" w:rsidP="000F13AF">
      <w:r>
        <w:t>8. Para todos os estes por que Cristo obteve redenção eterna, Ele certamente e eficazmente aplica e comunica a redenção: fazendo intercessão por eles;</w:t>
      </w:r>
      <w:r>
        <w:rPr>
          <w:rStyle w:val="Refdenotaderodap"/>
        </w:rPr>
        <w:footnoteReference w:id="39"/>
      </w:r>
      <w:r>
        <w:t xml:space="preserve"> unindo-os a si mesmo por seu Espírito; revelando-lhes o mistério da salvação, na Palavra e pela Palavra; persuadindo-os a crer e obedecer;</w:t>
      </w:r>
      <w:r>
        <w:rPr>
          <w:rStyle w:val="Refdenotaderodap"/>
        </w:rPr>
        <w:footnoteReference w:id="40"/>
      </w:r>
      <w:r>
        <w:t xml:space="preserve"> governando os corações deles por seu Espírito e sua Palavra;</w:t>
      </w:r>
      <w:r>
        <w:rPr>
          <w:rStyle w:val="Refdenotaderodap"/>
        </w:rPr>
        <w:footnoteReference w:id="41"/>
      </w:r>
      <w:r>
        <w:t xml:space="preserve"> e vencendo todos os inimigos deles, por seu grandioso poder e sabedoria,</w:t>
      </w:r>
      <w:r>
        <w:rPr>
          <w:rStyle w:val="Refdenotaderodap"/>
        </w:rPr>
        <w:footnoteReference w:id="42"/>
      </w:r>
      <w:r>
        <w:t xml:space="preserve"> de modo tal e por caminhos que são os mais harmoniosos com a sua maravilhosa e inescrutável dispensação; e tudo por sua livre e absoluta graça, sem a precondição de neles ter sido vista de antemão uma busca pela redenção.</w:t>
      </w:r>
      <w:r>
        <w:rPr>
          <w:rStyle w:val="Refdenotaderodap"/>
        </w:rPr>
        <w:footnoteReference w:id="43"/>
      </w:r>
    </w:p>
    <w:p w14:paraId="01A81B36" w14:textId="77777777" w:rsidR="000F13AF" w:rsidRDefault="000F13AF" w:rsidP="000F13AF">
      <w:r>
        <w:t>9. Este ofício de mediador entre Deus e os homens cabe exclusivamente a Cristo, que é Profeta, Sacerdote e Rei da Igreja de Deus; e nem em parte nem totalmente pode ser transferido de Cristo para qualquer outrem.</w:t>
      </w:r>
      <w:r>
        <w:rPr>
          <w:rStyle w:val="Refdenotaderodap"/>
        </w:rPr>
        <w:footnoteReference w:id="44"/>
      </w:r>
    </w:p>
    <w:p w14:paraId="29288D95" w14:textId="77777777" w:rsidR="000F13AF" w:rsidRDefault="000F13AF" w:rsidP="000F13AF">
      <w:pPr>
        <w:rPr>
          <w:rFonts w:ascii="Harabara" w:hAnsi="Harabara"/>
          <w:b/>
          <w:bCs/>
          <w:color w:val="000000"/>
          <w:sz w:val="32"/>
          <w:szCs w:val="28"/>
        </w:rPr>
      </w:pPr>
      <w:r>
        <w:t>10.Este número e ordem de ofícios é necessário. Precisamos de seu ofício profético, por causa de nossa ignorância.</w:t>
      </w:r>
      <w:r>
        <w:rPr>
          <w:rStyle w:val="Refdenotaderodap"/>
        </w:rPr>
        <w:footnoteReference w:id="45"/>
      </w:r>
      <w:r>
        <w:t xml:space="preserve"> Por causa de nossa alienação de Deus, e da imperfeição de nossos melhores serviços, precisamos de seu ofício sacerdotal para nos reconciliar e apresentar aceitáveis a Deus.</w:t>
      </w:r>
      <w:r>
        <w:rPr>
          <w:rStyle w:val="Refdenotaderodap"/>
        </w:rPr>
        <w:footnoteReference w:id="46"/>
      </w:r>
      <w:r>
        <w:t xml:space="preserve"> E, por causa de nossa aversão e absoluta incapacidade de converter-nos a Deus, para nosso resgate e segurança, contra nossos adversários espirituais, precisamos de seu ofício Real para nos convencer, subjugar, atrair, defender, libertar e preservar para o seu reino celestial.</w:t>
      </w:r>
      <w:r>
        <w:rPr>
          <w:rStyle w:val="Refdenotaderodap"/>
        </w:rPr>
        <w:footnoteReference w:id="47"/>
      </w:r>
    </w:p>
    <w:p w14:paraId="46B96ADB" w14:textId="77777777" w:rsidR="00557413" w:rsidRDefault="00676C7D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C73E" w14:textId="77777777" w:rsidR="00676C7D" w:rsidRDefault="00676C7D" w:rsidP="000F13AF">
      <w:pPr>
        <w:spacing w:after="0" w:line="240" w:lineRule="auto"/>
      </w:pPr>
      <w:r>
        <w:separator/>
      </w:r>
    </w:p>
  </w:endnote>
  <w:endnote w:type="continuationSeparator" w:id="0">
    <w:p w14:paraId="2005EEFD" w14:textId="77777777" w:rsidR="00676C7D" w:rsidRDefault="00676C7D" w:rsidP="000F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abara">
    <w:altName w:val="Tw Cen MT Condensed Extra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3770" w14:textId="77777777" w:rsidR="00676C7D" w:rsidRDefault="00676C7D" w:rsidP="000F13AF">
      <w:pPr>
        <w:spacing w:after="0" w:line="240" w:lineRule="auto"/>
      </w:pPr>
      <w:r>
        <w:separator/>
      </w:r>
    </w:p>
  </w:footnote>
  <w:footnote w:type="continuationSeparator" w:id="0">
    <w:p w14:paraId="0E9F15B8" w14:textId="77777777" w:rsidR="00676C7D" w:rsidRDefault="00676C7D" w:rsidP="000F13AF">
      <w:pPr>
        <w:spacing w:after="0" w:line="240" w:lineRule="auto"/>
      </w:pPr>
      <w:r>
        <w:continuationSeparator/>
      </w:r>
    </w:p>
  </w:footnote>
  <w:footnote w:id="1">
    <w:p w14:paraId="13CC51FE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Isaías 42:1; I Pedro 1:19-20</w:t>
      </w:r>
    </w:p>
  </w:footnote>
  <w:footnote w:id="2">
    <w:p w14:paraId="2072397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Atos 3:22</w:t>
      </w:r>
    </w:p>
  </w:footnote>
  <w:footnote w:id="3">
    <w:p w14:paraId="5913E85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Hebreus 5:5-6</w:t>
      </w:r>
    </w:p>
  </w:footnote>
  <w:footnote w:id="4">
    <w:p w14:paraId="6BC5C3E2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Salmo 2:6; Lucas 1:33</w:t>
      </w:r>
    </w:p>
  </w:footnote>
  <w:footnote w:id="5">
    <w:p w14:paraId="1CF8AEF0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Efésios 1:22-23</w:t>
      </w:r>
    </w:p>
  </w:footnote>
  <w:footnote w:id="6">
    <w:p w14:paraId="0B5BEE27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Hebreus 1:2</w:t>
      </w:r>
    </w:p>
  </w:footnote>
  <w:footnote w:id="7">
    <w:p w14:paraId="60CC1426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Atos 17:31</w:t>
      </w:r>
    </w:p>
  </w:footnote>
  <w:footnote w:id="8">
    <w:p w14:paraId="102DE8AC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Isaías 53:10; João 17:6; Romanos 8:30</w:t>
      </w:r>
    </w:p>
  </w:footnote>
  <w:footnote w:id="9">
    <w:p w14:paraId="4C43D36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João 1:14; Gálatas 4:4</w:t>
      </w:r>
    </w:p>
  </w:footnote>
  <w:footnote w:id="10">
    <w:p w14:paraId="61128DE8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Romanos 8:3; Hebreus 2:14,16-17; Hebreus 4:15</w:t>
      </w:r>
    </w:p>
  </w:footnote>
  <w:footnote w:id="11">
    <w:p w14:paraId="1FDAD58D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Mateus 1:22-23; Lucas 1:27,31,35</w:t>
      </w:r>
    </w:p>
  </w:footnote>
  <w:footnote w:id="12">
    <w:p w14:paraId="293F34A7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Romanos 9:5; I Timóteo 2:5</w:t>
      </w:r>
    </w:p>
  </w:footnote>
  <w:footnote w:id="13">
    <w:p w14:paraId="78D3A782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Salmo 45:7; Atos 10:38; João 3:34</w:t>
      </w:r>
    </w:p>
  </w:footnote>
  <w:footnote w:id="14">
    <w:p w14:paraId="6ACE12F2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30D82">
        <w:t xml:space="preserve"> Colossenses 2:3</w:t>
      </w:r>
    </w:p>
  </w:footnote>
  <w:footnote w:id="15">
    <w:p w14:paraId="7EB9BD54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Colossenses 1:19</w:t>
      </w:r>
    </w:p>
  </w:footnote>
  <w:footnote w:id="16">
    <w:p w14:paraId="36A1439D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Hebreus 7:26</w:t>
      </w:r>
    </w:p>
  </w:footnote>
  <w:footnote w:id="17">
    <w:p w14:paraId="63ABC0DD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1:14</w:t>
      </w:r>
    </w:p>
  </w:footnote>
  <w:footnote w:id="18">
    <w:p w14:paraId="4F12CE87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Hebreus 7:22</w:t>
      </w:r>
    </w:p>
  </w:footnote>
  <w:footnote w:id="19">
    <w:p w14:paraId="1F89EEA1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Hebreus 5:5</w:t>
      </w:r>
    </w:p>
  </w:footnote>
  <w:footnote w:id="20">
    <w:p w14:paraId="09946B50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5:22,27; Mateus 28:18; Atos 2:36</w:t>
      </w:r>
    </w:p>
  </w:footnote>
  <w:footnote w:id="21">
    <w:p w14:paraId="1DE580D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Salmo 40:7-8; Hebreus 10:5-10; João 10:18</w:t>
      </w:r>
    </w:p>
  </w:footnote>
  <w:footnote w:id="22">
    <w:p w14:paraId="088D0C28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Gálatas 4:4; Mateus 3:15</w:t>
      </w:r>
    </w:p>
  </w:footnote>
  <w:footnote w:id="23">
    <w:p w14:paraId="26180FA8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Gálatas 3:13; Isaías 53:6; I Pedro 3:18</w:t>
      </w:r>
    </w:p>
  </w:footnote>
  <w:footnote w:id="24">
    <w:p w14:paraId="041D718F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II Coríntios 5:21</w:t>
      </w:r>
    </w:p>
  </w:footnote>
  <w:footnote w:id="25">
    <w:p w14:paraId="789A2009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Mateus 26:37-38; Lucas 22:44; Mateus 27:46</w:t>
      </w:r>
    </w:p>
  </w:footnote>
  <w:footnote w:id="26">
    <w:p w14:paraId="4BCBF61A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Atos 13:37</w:t>
      </w:r>
    </w:p>
  </w:footnote>
  <w:footnote w:id="27">
    <w:p w14:paraId="6AAD0E99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I Coríntios 15:3-4</w:t>
      </w:r>
    </w:p>
  </w:footnote>
  <w:footnote w:id="28">
    <w:p w14:paraId="0C15E48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20:25,27</w:t>
      </w:r>
    </w:p>
  </w:footnote>
  <w:footnote w:id="29">
    <w:p w14:paraId="3EED5D9F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Marcos 16:19; Atos 1:9-11</w:t>
      </w:r>
    </w:p>
  </w:footnote>
  <w:footnote w:id="30">
    <w:p w14:paraId="332D6E49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Romanos 8:34; Hebreus 9:24</w:t>
      </w:r>
    </w:p>
  </w:footnote>
  <w:footnote w:id="31">
    <w:p w14:paraId="70ECB1F8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Atos 10:42; Romanos 14:9-10; Atos 1:11; II Pedro 2:4</w:t>
      </w:r>
    </w:p>
  </w:footnote>
  <w:footnote w:id="32">
    <w:p w14:paraId="437473ED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Hebreus 9:14; Hebreus 10:14; Romanos 3:25-26</w:t>
      </w:r>
    </w:p>
  </w:footnote>
  <w:footnote w:id="33">
    <w:p w14:paraId="65901640" w14:textId="77777777" w:rsidR="000F13AF" w:rsidRDefault="000F13AF" w:rsidP="000F13AF">
      <w:pPr>
        <w:pStyle w:val="Textodenotaderodap"/>
      </w:pPr>
      <w:r>
        <w:rPr>
          <w:rStyle w:val="Refdenotaderodap"/>
        </w:rPr>
        <w:footnoteRef/>
      </w:r>
      <w:r>
        <w:t xml:space="preserve"> Os termos obter (</w:t>
      </w:r>
      <w:proofErr w:type="spellStart"/>
      <w:r>
        <w:rPr>
          <w:i/>
          <w:iCs/>
        </w:rPr>
        <w:t>procured</w:t>
      </w:r>
      <w:proofErr w:type="spellEnd"/>
      <w:r>
        <w:t>) e adquirir (</w:t>
      </w:r>
      <w:proofErr w:type="spellStart"/>
      <w:r w:rsidRPr="007F4625">
        <w:rPr>
          <w:i/>
          <w:iCs/>
        </w:rPr>
        <w:t>purchased</w:t>
      </w:r>
      <w:proofErr w:type="spellEnd"/>
      <w:r>
        <w:t>) foram, de modo distinto da Confissão de Westminster, preferidos a fim de dar ênfase na dupla eficácia da obediência de Cristo, a saber: eficácia satisfatória e eficácia meritória.</w:t>
      </w:r>
    </w:p>
  </w:footnote>
  <w:footnote w:id="34">
    <w:p w14:paraId="63B27635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17:2; Hebreus 9:15</w:t>
      </w:r>
    </w:p>
  </w:footnote>
  <w:footnote w:id="35">
    <w:p w14:paraId="506DAABE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I Coríntios 10:4; Hebreus 4:2; I Pedro 1:10-11</w:t>
      </w:r>
    </w:p>
  </w:footnote>
  <w:footnote w:id="36">
    <w:p w14:paraId="1A3C0C8C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Apocalipse 13:8</w:t>
      </w:r>
    </w:p>
  </w:footnote>
  <w:footnote w:id="37">
    <w:p w14:paraId="0CBA2251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Hebreus 13:8</w:t>
      </w:r>
    </w:p>
  </w:footnote>
  <w:footnote w:id="38">
    <w:p w14:paraId="5BC32D87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3:13; Atos 20:28</w:t>
      </w:r>
    </w:p>
  </w:footnote>
  <w:footnote w:id="39">
    <w:p w14:paraId="69B68568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6:37; João 10:15-16; João 17:9; Romanos 5:10</w:t>
      </w:r>
    </w:p>
  </w:footnote>
  <w:footnote w:id="40">
    <w:p w14:paraId="1A28E02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17:6; Efésios 1:9; I João 5:20</w:t>
      </w:r>
    </w:p>
  </w:footnote>
  <w:footnote w:id="41">
    <w:p w14:paraId="2D2C8EFD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Romanos 8:9,14</w:t>
      </w:r>
    </w:p>
  </w:footnote>
  <w:footnote w:id="42">
    <w:p w14:paraId="217650AF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Salmo 110:1; I Coríntios 15:25-26</w:t>
      </w:r>
    </w:p>
  </w:footnote>
  <w:footnote w:id="43">
    <w:p w14:paraId="53021C12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3:8; Efésios 1:8</w:t>
      </w:r>
    </w:p>
  </w:footnote>
  <w:footnote w:id="44">
    <w:p w14:paraId="12FBB7DB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I Timóteo 2:5</w:t>
      </w:r>
    </w:p>
  </w:footnote>
  <w:footnote w:id="45">
    <w:p w14:paraId="5DC913D0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1:18</w:t>
      </w:r>
    </w:p>
  </w:footnote>
  <w:footnote w:id="46">
    <w:p w14:paraId="060A08CE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Colossenses 1:21; Gálatas 5:17</w:t>
      </w:r>
    </w:p>
  </w:footnote>
  <w:footnote w:id="47">
    <w:p w14:paraId="4A006C13" w14:textId="77777777" w:rsidR="000F13AF" w:rsidRDefault="000F13AF" w:rsidP="000F13A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721C4">
        <w:t xml:space="preserve"> João 16:8; Salmo 110:3; Lucas 1:74-75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42F"/>
    <w:multiLevelType w:val="hybridMultilevel"/>
    <w:tmpl w:val="2C52BD80"/>
    <w:lvl w:ilvl="0" w:tplc="10A613E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AF"/>
    <w:rsid w:val="000F13AF"/>
    <w:rsid w:val="001E7D0A"/>
    <w:rsid w:val="005743A5"/>
    <w:rsid w:val="00676C7D"/>
    <w:rsid w:val="00757445"/>
    <w:rsid w:val="009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632C"/>
  <w15:chartTrackingRefBased/>
  <w15:docId w15:val="{1E028156-4933-4E29-95B9-034FD9FD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AF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0F1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0F13AF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F13AF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0F13AF"/>
    <w:pPr>
      <w:spacing w:before="200" w:line="240" w:lineRule="auto"/>
      <w:ind w:left="862" w:right="862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0F13AF"/>
    <w:rPr>
      <w:rFonts w:ascii="Palatino Linotype" w:hAnsi="Palatino Linotype"/>
      <w:i/>
      <w:iCs/>
      <w:color w:val="000000" w:themeColor="text1"/>
    </w:rPr>
  </w:style>
  <w:style w:type="character" w:styleId="Refdenotaderodap">
    <w:name w:val="footnote reference"/>
    <w:uiPriority w:val="99"/>
    <w:rsid w:val="000F13AF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0F13AF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F13AF"/>
    <w:rPr>
      <w:rFonts w:ascii="Book Antiqua" w:eastAsia="Times New Roman" w:hAnsi="Book Antiqua" w:cs="Times New Roman"/>
      <w:sz w:val="1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F13A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F13AF"/>
    <w:rPr>
      <w:rFonts w:ascii="Palatino Linotype" w:hAnsi="Palatino Linotype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3A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817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2021-08-19T18:58:00Z</dcterms:created>
  <dcterms:modified xsi:type="dcterms:W3CDTF">2021-08-19T19:00:00Z</dcterms:modified>
</cp:coreProperties>
</file>