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Fontes de Dados — Limitações, Pontos Fortes e Análises Viáveis</w:t>
      </w:r>
    </w:p>
    <w:p>
      <w:pPr/>
      <w:r>
        <w:t xml:space="preserve">Oct 31, 2026</w:t>
      </w:r>
      <w:r>
        <w:t xml:space="preserve"> · </w:t>
      </w:r>
      <w:r>
        <w:t xml:space="preserve">@Renan</w:t>
      </w:r>
    </w:p>
    <w:p>
      <w:pPr>
        <w:pStyle w:val="Heading2"/>
      </w:pPr>
      <w:r>
        <w:t xml:space="preserve">Contexto</w:t>
      </w:r>
    </w:p>
    <w:p>
      <w:pPr/>
      <w:r>
        <w:t xml:space="preserve">Os dados são publicados mensalmente pela Receita Federal do Brasil (RFB) no portal dados.gov.br, sob o conjunto </w:t>
      </w:r>
      <w:r>
        <w:rPr>
          <w:b/>
          <w:bCs/>
        </w:rPr>
        <w:t xml:space="preserve">Estatísticas de Declarações de Importação</w:t>
      </w:r>
      <w:r>
        <w:t xml:space="preserve">. Cada arquivo cobre um mês e registra estatísticas agregadas de importações efetivas por combinação de NCM, NVE e país de origem, com valores de FOB/kg, FOB/UME, frete, seguro, peso líquido e valor total (VMLE).</w:t>
      </w:r>
    </w:p>
    <w:p>
      <w:pPr/>
      <w:r>
        <w:t xml:space="preserve">A série está disponível desde janeiro de 2021, o que totaliza aproximadamente 68 meses até agosto de 2026. Os arquivos estão em formato CSV com separador </w:t>
      </w:r>
      <w:r>
        <w:rPr>
          <w:rStyle w:val="CodeChar"/>
        </w:rPr>
        <w:t xml:space="preserve">@</w:t>
      </w:r>
      <w:r>
        <w:t xml:space="preserve"> e são atualizados mensalmente.</w:t>
      </w:r>
    </w:p>
    <w:p>
      <w:pPr>
        <w:pStyle w:val="Heading2"/>
      </w:pPr>
      <w:r>
        <w:t xml:space="preserve">Limitações</w:t>
      </w:r>
    </w:p>
    <w:p>
      <w:pPr/>
      <w:r>
        <w:rPr>
          <w:b/>
          <w:bCs/>
        </w:rPr>
        <w:t xml:space="preserve">Regra dos 4 importadores (LGPD)</w:t>
      </w:r>
      <w:r>
        <w:t xml:space="preserve"> Uma linha só é publicada quando a combinação NCM + NVE + país de origem tiver ao menos 4 importadores distintos no mês. Mercados concentrados, produtos de nicho e origens secundárias tendem a ser suprimidos. A ausência de uma linha não significa ausência de importação — significa dado censurado.</w:t>
      </w:r>
    </w:p>
    <w:p>
      <w:pPr/>
      <w:r>
        <w:rPr>
          <w:b/>
          <w:bCs/>
        </w:rPr>
        <w:t xml:space="preserve">Cobertura parcial do total nacional</w:t>
      </w:r>
      <w:r>
        <w:t xml:space="preserve"> O arquivo de agosto/2026 soma aproximadamente US$ 2,7 bilhões em VMLE. O total real mensal de importações do Brasil fica na casa de US$ 20 a 25 bilhões. O dado cobre entre 10% e 15% do valor efetivo, e não deve ser usado para calcular totais nacionais nem market share absoluto.</w:t>
      </w:r>
    </w:p>
    <w:p>
      <w:pPr/>
      <w:r>
        <w:rPr>
          <w:b/>
          <w:bCs/>
        </w:rPr>
        <w:t xml:space="preserve">Quebras artificiais na série temporal</w:t>
      </w:r>
      <w:r>
        <w:t xml:space="preserve"> Uma linha pode desaparecer de um mês para outro não porque a importação parou, mas porque o número de importadores caiu de 4 para 3. Isso cria descontinuidades que parecem eventos reais e são, na prática, censura estatística.</w:t>
      </w:r>
    </w:p>
    <w:p>
      <w:pPr/>
      <w:r>
        <w:rPr>
          <w:b/>
          <w:bCs/>
        </w:rPr>
        <w:t xml:space="preserve">Viés contra mercados concentrados</w:t>
      </w:r>
      <w:r>
        <w:t xml:space="preserve"> O dado representa bem mercados competitivos e pulverizados. Mercados com 1, 2 ou 3 importadores dominantes ficam de fora justamente por serem os mais concentrados — que costumam ser os mais estratégicos para análise de política comercial.</w:t>
      </w:r>
    </w:p>
    <w:p>
      <w:pPr/>
      <w:r>
        <w:rPr>
          <w:b/>
          <w:bCs/>
        </w:rPr>
        <w:t xml:space="preserve">Mudanças no NCM ao longo da série</w:t>
      </w:r>
      <w:r>
        <w:t xml:space="preserve"> O Sistema Harmonizado foi atualizado em janeiro de 2022. Alguns NCMs foram divididos, fundidos ou renumerados. Sem uma tabela de correlação entre versões, um produto pode parecer sumir de um código e aparecer em outro, simulando um efeito inexistente.</w:t>
      </w:r>
    </w:p>
    <w:p>
      <w:pPr/>
      <w:r>
        <w:rPr>
          <w:b/>
          <w:bCs/>
        </w:rPr>
        <w:t xml:space="preserve">Valores em dólar nominal</w:t>
      </w:r>
      <w:r>
        <w:t xml:space="preserve"> Para comparar preços entre 2021 e 2026, é necessário deflacionar ou controlar por um índice de preços de importação. Para volume, o peso líquido é mais robusto.</w:t>
      </w:r>
    </w:p>
    <w:p>
      <w:pPr/>
      <w:r>
        <w:rPr>
          <w:b/>
          <w:bCs/>
        </w:rPr>
        <w:t xml:space="preserve">Sem dimensão interna</w:t>
      </w:r>
      <w:r>
        <w:t xml:space="preserve"> Não há UF de destino, modal de transporte, porto de entrada, CNPJ do importador nem contagem de operações por linha.</w:t>
      </w:r>
    </w:p>
    <w:p>
      <w:pPr/>
      <w:r>
        <w:rPr>
          <w:b/>
          <w:bCs/>
        </w:rPr>
        <w:t xml:space="preserve">Médias e medianas não se recombinam</w:t>
      </w:r>
      <w:r>
        <w:t xml:space="preserve"> Mediana e quartis não podem ser somados nem tirados em média entre linhas sem perda de significado. Para agregar por capítulo ou período, use </w:t>
      </w:r>
      <w:r>
        <w:rPr>
          <w:rStyle w:val="CodeChar"/>
        </w:rPr>
        <w:t xml:space="preserve">vmle_soma</w:t>
      </w:r>
      <w:r>
        <w:t xml:space="preserve"> e </w:t>
      </w:r>
      <w:r>
        <w:rPr>
          <w:rStyle w:val="CodeChar"/>
        </w:rPr>
        <w:t xml:space="preserve">peso_liq_soma</w:t>
      </w:r>
      <w:r>
        <w:t xml:space="preserve"> para recalcular preços médios ponderados.</w:t>
      </w:r>
    </w:p>
    <w:p>
      <w:pPr/>
      <w:r>
        <w:rPr>
          <w:b/>
          <w:bCs/>
        </w:rPr>
        <w:t xml:space="preserve">NCM com zeros à esquerda</w:t>
      </w:r>
      <w:r>
        <w:t xml:space="preserve"> Alguns parsers leem o NCM como número, perdendo os zeros à esquerda. A coluna deve sempre ser lida como texto e preenchida com </w:t>
      </w:r>
      <w:r>
        <w:rPr>
          <w:rStyle w:val="CodeChar"/>
        </w:rPr>
        <w:t xml:space="preserve">zfill(8)</w:t>
      </w:r>
      <w:r>
        <w:t xml:space="preserve">.</w:t>
      </w:r>
    </w:p>
    <w:p>
      <w:pPr>
        <w:pStyle w:val="Heading2"/>
      </w:pPr>
      <w:r>
        <w:t xml:space="preserve">Pontos Fortes</w:t>
      </w:r>
    </w:p>
    <w:p>
      <w:pPr/>
      <w:r>
        <w:rPr>
          <w:b/>
          <w:bCs/>
        </w:rPr>
        <w:t xml:space="preserve">Fonte oficial e gratuita</w:t>
      </w:r>
      <w:r>
        <w:t xml:space="preserve"> Publicado pela Receita Federal, com atualização mensal e série desde 2021. Não há custo de aquisição e os dados são abertos.</w:t>
      </w:r>
    </w:p>
    <w:p>
      <w:pPr/>
      <w:r>
        <w:rPr>
          <w:b/>
          <w:bCs/>
        </w:rPr>
        <w:t xml:space="preserve">Estatísticas de preço prontas</w:t>
      </w:r>
      <w:r>
        <w:t xml:space="preserve"> Cada linha já traz mínimo, máximo, média, mediana, desvio padrão, 1º e 3º quartis de FOB/kg e FOB/UME. Isso permite construir boxplots e análises de dispersão sem ter acesso aos microdados.</w:t>
      </w:r>
    </w:p>
    <w:p>
      <w:pPr/>
      <w:r>
        <w:rPr>
          <w:b/>
          <w:bCs/>
        </w:rPr>
        <w:t xml:space="preserve">Grão adequado para análise setorial</w:t>
      </w:r>
      <w:r>
        <w:t xml:space="preserve"> A combinação NCM + país de origem permite comparar preços entre origens para o mesmo produto, identificar substituição de fornecedor e calcular custo logístico relativo por par produto-origem.</w:t>
      </w:r>
    </w:p>
    <w:p>
      <w:pPr/>
      <w:r>
        <w:rPr>
          <w:b/>
          <w:bCs/>
        </w:rPr>
        <w:t xml:space="preserve">Série longa para análise temporal</w:t>
      </w:r>
      <w:r>
        <w:t xml:space="preserve"> Com 68 meses disponíveis, é possível identificar sazonalidade, tendências de preço e quebras de série, especialmente quando agregado por capítulo NCM.</w:t>
      </w:r>
    </w:p>
    <w:p>
      <w:pPr/>
      <w:r>
        <w:rPr>
          <w:b/>
          <w:bCs/>
        </w:rPr>
        <w:t xml:space="preserve">Cobertura ampla de mercados competitivos</w:t>
      </w:r>
      <w:r>
        <w:t xml:space="preserve"> Produtos importados de muitos países e por muitos importadores aparecem de forma consistente todos os meses. Para esses mercados, a cobertura é estável e as estatísticas são confiáveis.</w:t>
      </w:r>
    </w:p>
    <w:p>
      <w:pPr/>
      <w:r>
        <w:rPr>
          <w:b/>
          <w:bCs/>
        </w:rPr>
        <w:t xml:space="preserve">Compatível com análise de eventos regulatórios</w:t>
      </w:r>
      <w:r>
        <w:t xml:space="preserve"> Com uma tabela de eventos construída à parte, é possível aplicar diferenças-em-diferenças para avaliar o impacto de mudanças de alíquota, ex-tarifários e outros instrumentos em mercados pulverizados.</w:t>
      </w:r>
    </w:p>
    <w:p>
      <w:pPr/>
      <w:r>
        <w:rPr>
          <w:b/>
          <w:bCs/>
        </w:rPr>
        <w:t xml:space="preserve">Formato aberto e padronizado</w:t>
      </w:r>
      <w:r>
        <w:t xml:space="preserve"> CSV com separador </w:t>
      </w:r>
      <w:r>
        <w:rPr>
          <w:rStyle w:val="CodeChar"/>
        </w:rPr>
        <w:t xml:space="preserve">@</w:t>
      </w:r>
      <w:r>
        <w:t xml:space="preserve">, encoding UTF-8 e nomenclatura consistente de colunas. Simples de ingerir e processar com Python.</w:t>
      </w:r>
    </w:p>
    <w:p>
      <w:pPr>
        <w:pStyle w:val="Heading2"/>
      </w:pPr>
      <w:r>
        <w:t xml:space="preserve">Análises Viáveis</w:t>
      </w:r>
    </w:p>
    <w:p>
      <w:pPr>
        <w:pStyle w:val="Heading3"/>
      </w:pPr>
      <w:r>
        <w:t xml:space="preserve">Padrões de importação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92"/>
        <w:gridCol w:w="3573"/>
        <w:gridCol w:w="2295"/>
      </w:tblGrid>
      <w:tr>
        <w:trPr>
          <w:tblHeader/>
        </w:trPr>
        <w:tc>
          <w:tcPr>
            <w:tcW w:w="3492" w:type="dxa"/>
            <w:shd w:val="clear" w:color="auto" w:fill="F2F2F2"/>
          </w:tcPr>
          <w:p>
            <w:pPr/>
            <w:r>
              <w:t xml:space="preserve">Análise</w:t>
            </w:r>
          </w:p>
        </w:tc>
        <w:tc>
          <w:tcPr>
            <w:tcW w:w="3573" w:type="dxa"/>
            <w:shd w:val="clear" w:color="auto" w:fill="F2F2F2"/>
          </w:tcPr>
          <w:p>
            <w:pPr/>
            <w:r>
              <w:t xml:space="preserve">Métrica principal</w:t>
            </w:r>
          </w:p>
        </w:tc>
        <w:tc>
          <w:tcPr>
            <w:tcW w:w="2295" w:type="dxa"/>
            <w:shd w:val="clear" w:color="auto" w:fill="F2F2F2"/>
          </w:tcPr>
          <w:p>
            <w:pPr/>
            <w:r>
              <w:t xml:space="preserve">Nível de agregação</w:t>
            </w:r>
          </w:p>
        </w:tc>
      </w:tr>
      <w:tr>
        <w:tc>
          <w:tcPr>
            <w:tcW w:w="3492" w:type="dxa"/>
          </w:tcPr>
          <w:p>
            <w:pPr/>
            <w:r>
              <w:t xml:space="preserve">Composição por origem</w:t>
            </w:r>
          </w:p>
        </w:tc>
        <w:tc>
          <w:tcPr>
            <w:tcW w:w="3573" w:type="dxa"/>
          </w:tcPr>
          <w:p>
            <w:pPr/>
            <w:r>
              <w:rPr>
                <w:rStyle w:val="CodeChar"/>
              </w:rPr>
              <w:t xml:space="preserve">vmle_soma</w:t>
            </w:r>
            <w:r>
              <w:t xml:space="preserve"> por </w:t>
            </w:r>
            <w:r>
              <w:rPr>
                <w:rStyle w:val="CodeChar"/>
              </w:rPr>
              <w:t xml:space="preserve">pais_origem</w:t>
            </w:r>
          </w:p>
        </w:tc>
        <w:tc>
          <w:tcPr>
            <w:tcW w:w="2295" w:type="dxa"/>
          </w:tcPr>
          <w:p>
            <w:pPr/>
            <w:r>
              <w:t xml:space="preserve">Capítulo NCM</w:t>
            </w:r>
          </w:p>
        </w:tc>
      </w:tr>
      <w:tr>
        <w:tc>
          <w:tcPr>
            <w:tcW w:w="3492" w:type="dxa"/>
          </w:tcPr>
          <w:p>
            <w:pPr/>
            <w:r>
              <w:t xml:space="preserve">Concentração geográfica</w:t>
            </w:r>
          </w:p>
        </w:tc>
        <w:tc>
          <w:tcPr>
            <w:tcW w:w="3573" w:type="dxa"/>
          </w:tcPr>
          <w:p>
            <w:pPr/>
            <w:r>
              <w:t xml:space="preserve">Índice HHI sobre </w:t>
            </w:r>
            <w:r>
              <w:rPr>
                <w:rStyle w:val="CodeChar"/>
              </w:rPr>
              <w:t xml:space="preserve">vmle_soma</w:t>
            </w:r>
          </w:p>
        </w:tc>
        <w:tc>
          <w:tcPr>
            <w:tcW w:w="2295" w:type="dxa"/>
          </w:tcPr>
          <w:p>
            <w:pPr/>
            <w:r>
              <w:t xml:space="preserve">Capítulo NCM</w:t>
            </w:r>
          </w:p>
        </w:tc>
      </w:tr>
      <w:tr>
        <w:tc>
          <w:tcPr>
            <w:tcW w:w="3492" w:type="dxa"/>
          </w:tcPr>
          <w:p>
            <w:pPr/>
            <w:r>
              <w:t xml:space="preserve">Comparação de preço entre origens</w:t>
            </w:r>
          </w:p>
        </w:tc>
        <w:tc>
          <w:tcPr>
            <w:tcW w:w="3573" w:type="dxa"/>
          </w:tcPr>
          <w:p>
            <w:pPr/>
            <w:r>
              <w:t xml:space="preserve">Mediana de </w:t>
            </w:r>
            <w:r>
              <w:rPr>
                <w:rStyle w:val="CodeChar"/>
              </w:rPr>
              <w:t xml:space="preserve">fob_kg_mediana</w:t>
            </w:r>
          </w:p>
        </w:tc>
        <w:tc>
          <w:tcPr>
            <w:tcW w:w="2295" w:type="dxa"/>
          </w:tcPr>
          <w:p>
            <w:pPr/>
            <w:r>
              <w:t xml:space="preserve">NCM × país</w:t>
            </w:r>
          </w:p>
        </w:tc>
      </w:tr>
      <w:tr>
        <w:tc>
          <w:tcPr>
            <w:tcW w:w="3492" w:type="dxa"/>
          </w:tcPr>
          <w:p>
            <w:pPr/>
            <w:r>
              <w:t xml:space="preserve">Custo logístico relativo</w:t>
            </w:r>
          </w:p>
        </w:tc>
        <w:tc>
          <w:tcPr>
            <w:tcW w:w="3573" w:type="dxa"/>
          </w:tcPr>
          <w:p>
            <w:pPr/>
            <w:r>
              <w:rPr>
                <w:rStyle w:val="CodeChar"/>
              </w:rPr>
              <w:t xml:space="preserve">frete_media / fob_ume_media</w:t>
            </w:r>
          </w:p>
        </w:tc>
        <w:tc>
          <w:tcPr>
            <w:tcW w:w="2295" w:type="dxa"/>
          </w:tcPr>
          <w:p>
            <w:pPr/>
            <w:r>
              <w:t xml:space="preserve">País × capítulo</w:t>
            </w:r>
          </w:p>
        </w:tc>
      </w:tr>
      <w:tr>
        <w:tc>
          <w:tcPr>
            <w:tcW w:w="3492" w:type="dxa"/>
          </w:tcPr>
          <w:p>
            <w:pPr/>
            <w:r>
              <w:t xml:space="preserve">Dispersão de preços por produto</w:t>
            </w:r>
          </w:p>
        </w:tc>
        <w:tc>
          <w:tcPr>
            <w:tcW w:w="3573" w:type="dxa"/>
          </w:tcPr>
          <w:p>
            <w:pPr/>
            <w:r>
              <w:t xml:space="preserve">Amplitude interquartil </w:t>
            </w:r>
            <w:r>
              <w:rPr>
                <w:rStyle w:val="CodeChar"/>
              </w:rPr>
              <w:t xml:space="preserve">(q3 - q1) / mediana</w:t>
            </w:r>
          </w:p>
        </w:tc>
        <w:tc>
          <w:tcPr>
            <w:tcW w:w="2295" w:type="dxa"/>
          </w:tcPr>
          <w:p>
            <w:pPr/>
            <w:r>
              <w:t xml:space="preserve">NCM</w:t>
            </w:r>
          </w:p>
        </w:tc>
      </w:tr>
      <w:tr>
        <w:tc>
          <w:tcPr>
            <w:tcW w:w="3492" w:type="dxa"/>
          </w:tcPr>
          <w:p>
            <w:pPr/>
            <w:r>
              <w:t xml:space="preserve">Participação por unidade de medida (UME)</w:t>
            </w:r>
          </w:p>
        </w:tc>
        <w:tc>
          <w:tcPr>
            <w:tcW w:w="3573" w:type="dxa"/>
          </w:tcPr>
          <w:p>
            <w:pPr/>
            <w:r>
              <w:rPr>
                <w:rStyle w:val="CodeChar"/>
              </w:rPr>
              <w:t xml:space="preserve">vmle_soma</w:t>
            </w:r>
            <w:r>
              <w:t xml:space="preserve"> por </w:t>
            </w:r>
            <w:r>
              <w:rPr>
                <w:rStyle w:val="CodeChar"/>
              </w:rPr>
              <w:t xml:space="preserve">ume</w:t>
            </w:r>
          </w:p>
        </w:tc>
        <w:tc>
          <w:tcPr>
            <w:tcW w:w="2295" w:type="dxa"/>
          </w:tcPr>
          <w:p>
            <w:pPr/>
            <w:r>
              <w:t xml:space="preserve">Geral</w:t>
            </w:r>
          </w:p>
        </w:tc>
      </w:tr>
    </w:tbl>
    <w:p>
      <w:pPr>
        <w:pStyle w:val="Heading3"/>
      </w:pPr>
      <w:r>
        <w:t xml:space="preserve">Análise temporal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59"/>
        <w:gridCol w:w="3806"/>
        <w:gridCol w:w="2295"/>
      </w:tblGrid>
      <w:tr>
        <w:trPr>
          <w:tblHeader/>
        </w:trPr>
        <w:tc>
          <w:tcPr>
            <w:tcW w:w="3259" w:type="dxa"/>
            <w:shd w:val="clear" w:color="auto" w:fill="F2F2F2"/>
          </w:tcPr>
          <w:p>
            <w:pPr/>
            <w:r>
              <w:t xml:space="preserve">Análise</w:t>
            </w:r>
          </w:p>
        </w:tc>
        <w:tc>
          <w:tcPr>
            <w:tcW w:w="3806" w:type="dxa"/>
            <w:shd w:val="clear" w:color="auto" w:fill="F2F2F2"/>
          </w:tcPr>
          <w:p>
            <w:pPr/>
            <w:r>
              <w:t xml:space="preserve">Métrica principal</w:t>
            </w:r>
          </w:p>
        </w:tc>
        <w:tc>
          <w:tcPr>
            <w:tcW w:w="2295" w:type="dxa"/>
            <w:shd w:val="clear" w:color="auto" w:fill="F2F2F2"/>
          </w:tcPr>
          <w:p>
            <w:pPr/>
            <w:r>
              <w:t xml:space="preserve">Nível de agregação</w:t>
            </w:r>
          </w:p>
        </w:tc>
      </w:tr>
      <w:tr>
        <w:tc>
          <w:tcPr>
            <w:tcW w:w="3259" w:type="dxa"/>
          </w:tcPr>
          <w:p>
            <w:pPr/>
            <w:r>
              <w:t xml:space="preserve">Evolução do preço médio ponderado</w:t>
            </w:r>
          </w:p>
        </w:tc>
        <w:tc>
          <w:tcPr>
            <w:tcW w:w="3806" w:type="dxa"/>
          </w:tcPr>
          <w:p>
            <w:pPr/>
            <w:r>
              <w:rPr>
                <w:rStyle w:val="CodeChar"/>
              </w:rPr>
              <w:t xml:space="preserve">SUM(vmle_soma) / SUM(peso_liq_soma)</w:t>
            </w:r>
          </w:p>
        </w:tc>
        <w:tc>
          <w:tcPr>
            <w:tcW w:w="2295" w:type="dxa"/>
          </w:tcPr>
          <w:p>
            <w:pPr/>
            <w:r>
              <w:t xml:space="preserve">Capítulo × mês</w:t>
            </w:r>
          </w:p>
        </w:tc>
      </w:tr>
      <w:tr>
        <w:tc>
          <w:tcPr>
            <w:tcW w:w="3259" w:type="dxa"/>
          </w:tcPr>
          <w:p>
            <w:pPr/>
            <w:r>
              <w:t xml:space="preserve">Participação relativa de países</w:t>
            </w:r>
          </w:p>
        </w:tc>
        <w:tc>
          <w:tcPr>
            <w:tcW w:w="3806" w:type="dxa"/>
          </w:tcPr>
          <w:p>
            <w:pPr/>
            <w:r>
              <w:rPr>
                <w:rStyle w:val="CodeChar"/>
              </w:rPr>
              <w:t xml:space="preserve">vmle_soma</w:t>
            </w:r>
            <w:r>
              <w:t xml:space="preserve"> por </w:t>
            </w:r>
            <w:r>
              <w:rPr>
                <w:rStyle w:val="CodeChar"/>
              </w:rPr>
              <w:t xml:space="preserve">pais_origem</w:t>
            </w:r>
          </w:p>
        </w:tc>
        <w:tc>
          <w:tcPr>
            <w:tcW w:w="2295" w:type="dxa"/>
          </w:tcPr>
          <w:p>
            <w:pPr/>
            <w:r>
              <w:t xml:space="preserve">Capítulo × mês</w:t>
            </w:r>
          </w:p>
        </w:tc>
      </w:tr>
      <w:tr>
        <w:tc>
          <w:tcPr>
            <w:tcW w:w="3259" w:type="dxa"/>
          </w:tcPr>
          <w:p>
            <w:pPr/>
            <w:r>
              <w:t xml:space="preserve">Sazonalidade</w:t>
            </w:r>
          </w:p>
        </w:tc>
        <w:tc>
          <w:tcPr>
            <w:tcW w:w="3806" w:type="dxa"/>
          </w:tcPr>
          <w:p>
            <w:pPr/>
            <w:r>
              <w:rPr>
                <w:rStyle w:val="CodeChar"/>
              </w:rPr>
              <w:t xml:space="preserve">vmle_soma</w:t>
            </w:r>
            <w:r>
              <w:t xml:space="preserve"> e </w:t>
            </w:r>
            <w:r>
              <w:rPr>
                <w:rStyle w:val="CodeChar"/>
              </w:rPr>
              <w:t xml:space="preserve">peso_liq_soma</w:t>
            </w:r>
          </w:p>
        </w:tc>
        <w:tc>
          <w:tcPr>
            <w:tcW w:w="2295" w:type="dxa"/>
          </w:tcPr>
          <w:p>
            <w:pPr/>
            <w:r>
              <w:t xml:space="preserve">Capítulo × mês</w:t>
            </w:r>
          </w:p>
        </w:tc>
      </w:tr>
      <w:tr>
        <w:tc>
          <w:tcPr>
            <w:tcW w:w="3259" w:type="dxa"/>
          </w:tcPr>
          <w:p>
            <w:pPr/>
            <w:r>
              <w:t xml:space="preserve">Detecção de quebras de série</w:t>
            </w:r>
          </w:p>
        </w:tc>
        <w:tc>
          <w:tcPr>
            <w:tcW w:w="3806" w:type="dxa"/>
          </w:tcPr>
          <w:p>
            <w:pPr/>
            <w:r>
              <w:t xml:space="preserve">Desvio da tendência</w:t>
            </w:r>
          </w:p>
        </w:tc>
        <w:tc>
          <w:tcPr>
            <w:tcW w:w="2295" w:type="dxa"/>
          </w:tcPr>
          <w:p>
            <w:pPr/>
            <w:r>
              <w:t xml:space="preserve">Capítulo × mês</w:t>
            </w:r>
          </w:p>
        </w:tc>
      </w:tr>
      <w:tr>
        <w:tc>
          <w:tcPr>
            <w:tcW w:w="3259" w:type="dxa"/>
          </w:tcPr>
          <w:p>
            <w:pPr/>
            <w:r>
              <w:t xml:space="preserve">Persistência de origens</w:t>
            </w:r>
          </w:p>
        </w:tc>
        <w:tc>
          <w:tcPr>
            <w:tcW w:w="3806" w:type="dxa"/>
          </w:tcPr>
          <w:p>
            <w:pPr/>
            <w:r>
              <w:t xml:space="preserve">Contagem de meses com presença</w:t>
            </w:r>
          </w:p>
        </w:tc>
        <w:tc>
          <w:tcPr>
            <w:tcW w:w="2295" w:type="dxa"/>
          </w:tcPr>
          <w:p>
            <w:pPr/>
            <w:r>
              <w:t xml:space="preserve">NCM × país</w:t>
            </w:r>
          </w:p>
        </w:tc>
      </w:tr>
    </w:tbl>
    <w:p>
      <w:pPr>
        <w:pStyle w:val="Heading3"/>
      </w:pPr>
      <w:r>
        <w:t xml:space="preserve">Impacto regulatório (mercados pulverizados)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0"/>
        <w:gridCol w:w="3466"/>
        <w:gridCol w:w="3634"/>
      </w:tblGrid>
      <w:tr>
        <w:trPr>
          <w:tblHeader/>
        </w:trPr>
        <w:tc>
          <w:tcPr>
            <w:tcW w:w="2260" w:type="dxa"/>
            <w:shd w:val="clear" w:color="auto" w:fill="F2F2F2"/>
          </w:tcPr>
          <w:p>
            <w:pPr/>
            <w:r>
              <w:t xml:space="preserve">Análise</w:t>
            </w:r>
          </w:p>
        </w:tc>
        <w:tc>
          <w:tcPr>
            <w:tcW w:w="3466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3634" w:type="dxa"/>
            <w:shd w:val="clear" w:color="auto" w:fill="F2F2F2"/>
          </w:tcPr>
          <w:p>
            <w:pPr/>
            <w:r>
              <w:t xml:space="preserve">Condição de validade</w:t>
            </w:r>
          </w:p>
        </w:tc>
      </w:tr>
      <w:tr>
        <w:tc>
          <w:tcPr>
            <w:tcW w:w="2260" w:type="dxa"/>
          </w:tcPr>
          <w:p>
            <w:pPr/>
            <w:r>
              <w:t xml:space="preserve">Efeito de redução de alíquota</w:t>
            </w:r>
          </w:p>
        </w:tc>
        <w:tc>
          <w:tcPr>
            <w:tcW w:w="3466" w:type="dxa"/>
          </w:tcPr>
          <w:p>
            <w:pPr/>
            <w:r>
              <w:t xml:space="preserve">Diferenças-em-diferenças</w:t>
            </w:r>
          </w:p>
        </w:tc>
        <w:tc>
          <w:tcPr>
            <w:tcW w:w="3634" w:type="dxa"/>
          </w:tcPr>
          <w:p>
            <w:pPr/>
            <w:r>
              <w:t xml:space="preserve">Linha NCM × país não some após o evento</w:t>
            </w:r>
          </w:p>
        </w:tc>
      </w:tr>
      <w:tr>
        <w:tc>
          <w:tcPr>
            <w:tcW w:w="2260" w:type="dxa"/>
          </w:tcPr>
          <w:p>
            <w:pPr/>
            <w:r>
              <w:t xml:space="preserve">Efeito de ex-tarifário</w:t>
            </w:r>
          </w:p>
        </w:tc>
        <w:tc>
          <w:tcPr>
            <w:tcW w:w="3466" w:type="dxa"/>
          </w:tcPr>
          <w:p>
            <w:pPr/>
            <w:r>
              <w:t xml:space="preserve">Diferenças-em-diferenças</w:t>
            </w:r>
          </w:p>
        </w:tc>
        <w:tc>
          <w:tcPr>
            <w:tcW w:w="3634" w:type="dxa"/>
          </w:tcPr>
          <w:p>
            <w:pPr/>
            <w:r>
              <w:t xml:space="preserve">Capítulo afetado vs. capítulos controle</w:t>
            </w:r>
          </w:p>
        </w:tc>
      </w:tr>
      <w:tr>
        <w:tc>
          <w:tcPr>
            <w:tcW w:w="2260" w:type="dxa"/>
          </w:tcPr>
          <w:p>
            <w:pPr/>
            <w:r>
              <w:t xml:space="preserve">Antecipação de compras</w:t>
            </w:r>
          </w:p>
        </w:tc>
        <w:tc>
          <w:tcPr>
            <w:tcW w:w="3466" w:type="dxa"/>
          </w:tcPr>
          <w:p>
            <w:pPr/>
            <w:r>
              <w:t xml:space="preserve">Variação de </w:t>
            </w:r>
            <w:r>
              <w:rPr>
                <w:rStyle w:val="CodeChar"/>
              </w:rPr>
              <w:t xml:space="preserve">vmle_soma</w:t>
            </w:r>
            <w:r>
              <w:t xml:space="preserve"> e </w:t>
            </w:r>
            <w:r>
              <w:rPr>
                <w:rStyle w:val="CodeChar"/>
              </w:rPr>
              <w:t xml:space="preserve">peso_liq_soma</w:t>
            </w:r>
            <w:r>
              <w:t xml:space="preserve"> nos meses anteriores à vigência</w:t>
            </w:r>
          </w:p>
        </w:tc>
        <w:tc>
          <w:tcPr>
            <w:tcW w:w="3634" w:type="dxa"/>
          </w:tcPr>
          <w:p>
            <w:pPr/>
            <w:r>
              <w:t xml:space="preserve">Mercado com muitos importadores</w:t>
            </w:r>
          </w:p>
        </w:tc>
      </w:tr>
    </w:tbl>
    <w:p>
      <w:pPr/>
      <w:r>
        <w:rPr>
          <w:b/>
          <w:bCs/>
        </w:rPr>
        <w:t xml:space="preserve">Nota:</w:t>
      </w:r>
      <w:r>
        <w:t xml:space="preserve"> para eventos que afetam mercados concentrados, a linha NCM × país tende a sumir após a medida. Nesses casos, classifique como dado censurado e exclua da análise de impacto.</w:t>
      </w:r>
    </w:p>
    <w:p>
      <w:pPr>
        <w:pStyle w:val="Heading2"/>
      </w:pPr>
      <w:r>
        <w:t xml:space="preserve">Análises Inviáveis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Análise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Motivo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Total importado pelo Brasil</w:t>
            </w:r>
          </w:p>
        </w:tc>
        <w:tc>
          <w:tcPr>
            <w:tcW w:w="4920" w:type="dxa"/>
          </w:tcPr>
          <w:p>
            <w:pPr/>
            <w:r>
              <w:t xml:space="preserve">Cobertura de 10%–15% do valor real; exclui grupos com menos de 4 importadores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Market share de importadores</w:t>
            </w:r>
          </w:p>
        </w:tc>
        <w:tc>
          <w:tcPr>
            <w:tcW w:w="4920" w:type="dxa"/>
          </w:tcPr>
          <w:p>
            <w:pPr/>
            <w:r>
              <w:t xml:space="preserve">Sem CNPJ, razão social nem contagem de empresas por linha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Impacto de antidumping em mercados concentrados</w:t>
            </w:r>
          </w:p>
        </w:tc>
        <w:tc>
          <w:tcPr>
            <w:tcW w:w="4920" w:type="dxa"/>
          </w:tcPr>
          <w:p>
            <w:pPr/>
            <w:r>
              <w:t xml:space="preserve">A linha NCM × país some quando o mercado cai abaixo de 4 importadores — exatamente o efeito a medir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Análise por estado ou região de destino</w:t>
            </w:r>
          </w:p>
        </w:tc>
        <w:tc>
          <w:tcPr>
            <w:tcW w:w="4920" w:type="dxa"/>
          </w:tcPr>
          <w:p>
            <w:pPr/>
            <w:r>
              <w:t xml:space="preserve">Sem UF de destino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Análise por modal de transporte</w:t>
            </w:r>
          </w:p>
        </w:tc>
        <w:tc>
          <w:tcPr>
            <w:tcW w:w="4920" w:type="dxa"/>
          </w:tcPr>
          <w:p>
            <w:pPr/>
            <w:r>
              <w:t xml:space="preserve">Sem via de transporte ou porto de entrada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Número de operações por produto</w:t>
            </w:r>
          </w:p>
        </w:tc>
        <w:tc>
          <w:tcPr>
            <w:tcW w:w="4920" w:type="dxa"/>
          </w:tcPr>
          <w:p>
            <w:pPr/>
            <w:r>
              <w:t xml:space="preserve">Sem contagem de DIs por linha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Identificação de subfaturamento individual</w:t>
            </w:r>
          </w:p>
        </w:tc>
        <w:tc>
          <w:tcPr>
            <w:tcW w:w="4920" w:type="dxa"/>
          </w:tcPr>
          <w:p>
            <w:pPr/>
            <w:r>
              <w:t xml:space="preserve">Dado agregado; LGPD impede o granular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NCMs com menos de 4 importadores</w:t>
            </w:r>
          </w:p>
        </w:tc>
        <w:tc>
          <w:tcPr>
            <w:tcW w:w="4920" w:type="dxa"/>
          </w:tcPr>
          <w:p>
            <w:pPr/>
            <w:r>
              <w:t xml:space="preserve">Estruturalmente ausentes da fonte</w:t>
            </w:r>
          </w:p>
        </w:tc>
      </w:tr>
    </w:tbl>
    <w:p>
      <w:pPr>
        <w:pStyle w:val="Heading2"/>
      </w:pPr>
      <w:r>
        <w:t xml:space="preserve">Recomendações para o Projeto</w:t>
      </w:r>
    </w:p>
    <w:p>
      <w:pPr/>
      <w:r>
        <w:rPr>
          <w:b/>
          <w:bCs/>
        </w:rPr>
        <w:t xml:space="preserve">Usar capítulo NCM como grão principal da série temporal</w:t>
      </w:r>
      <w:r>
        <w:t xml:space="preserve"> A série de capítulo NCM × mês, somando todos os países, é bem mais estável e contínua do que NCM × país. Use-a como base para análise temporal e estudo de eventos.</w:t>
      </w:r>
    </w:p>
    <w:p>
      <w:pPr/>
      <w:r>
        <w:rPr>
          <w:b/>
          <w:bCs/>
        </w:rPr>
        <w:t xml:space="preserve">Nunca interpretar ausência de linha como zero</w:t>
      </w:r>
      <w:r>
        <w:t xml:space="preserve"> No dado, uma linha ausente significa "não divulgado", não "não importado". Isso deve estar documentado no </w:t>
      </w:r>
      <w:r>
        <w:rPr>
          <w:rStyle w:val="CodeChar"/>
        </w:rPr>
        <w:t xml:space="preserve">dicionario_dados.md</w:t>
      </w:r>
      <w:r>
        <w:t xml:space="preserve"> e visível como aviso fixo no dashboard do Power BI.</w:t>
      </w:r>
    </w:p>
    <w:p>
      <w:pPr/>
      <w:r>
        <w:rPr>
          <w:b/>
          <w:bCs/>
        </w:rPr>
        <w:t xml:space="preserve">Calcular preço médio ponderado com somas, não com médias</w:t>
      </w:r>
      <w:r>
        <w:t xml:space="preserve"> Use </w:t>
      </w:r>
      <w:r>
        <w:rPr>
          <w:rStyle w:val="CodeChar"/>
        </w:rPr>
        <w:t xml:space="preserve">SUM(vmle_soma) / SUM(peso_liq_soma)</w:t>
      </w:r>
      <w:r>
        <w:t xml:space="preserve"> para agregar preços por capítulo ou período. Nunca use </w:t>
      </w:r>
      <w:r>
        <w:rPr>
          <w:rStyle w:val="CodeChar"/>
        </w:rPr>
        <w:t xml:space="preserve">AVERAGE</w:t>
      </w:r>
      <w:r>
        <w:t xml:space="preserve"> sobre a coluna de preço médio, que trata linhas de pesos diferentes como equivalentes.</w:t>
      </w:r>
    </w:p>
    <w:p>
      <w:pPr/>
      <w:r>
        <w:rPr>
          <w:b/>
          <w:bCs/>
        </w:rPr>
        <w:t xml:space="preserve">Criar flag de cobertura ao empilhar a série</w:t>
      </w:r>
      <w:r>
        <w:t xml:space="preserve"> Ao consolidar os meses, marcar quais combinações NCM × país aparecem em pelo menos X meses consecutivos. Combinações com presença irregular são as mais afetadas pela regra dos 4 importadores e devem ser analisadas com cautela.</w:t>
      </w:r>
    </w:p>
    <w:p>
      <w:pPr/>
      <w:r>
        <w:rPr>
          <w:b/>
          <w:bCs/>
        </w:rPr>
        <w:t xml:space="preserve">Registrar censura na tabela de eventos regulatórios</w:t>
      </w:r>
      <w:r>
        <w:t xml:space="preserve"> Para cada evento, verificar se a linha NCM × país some nos meses seguintes. Se sumir, classificar como dado censurado e excluir da análise de impacto.</w:t>
      </w:r>
    </w:p>
    <w:p>
      <w:pPr/>
      <w:r>
        <w:rPr>
          <w:b/>
          <w:bCs/>
        </w:rPr>
        <w:t xml:space="preserve">Montar tabela de correlação de NCM</w:t>
      </w:r>
      <w:r>
        <w:t xml:space="preserve"> Para tratar a mudança do Sistema Harmonizado em janeiro de 2022, manter uma tabela </w:t>
      </w:r>
      <w:r>
        <w:rPr>
          <w:rStyle w:val="CodeChar"/>
        </w:rPr>
        <w:t xml:space="preserve">dados_ref/correlacao_ncm.csv</w:t>
      </w:r>
      <w:r>
        <w:t xml:space="preserve"> com o DE e PARA dos códigos alterados, antes de fazer qualquer join entre anos.</w:t>
      </w:r>
    </w:p>
    <w:p>
      <w:pPr/>
      <w:r>
        <w:rPr>
          <w:b/>
          <w:bCs/>
        </w:rPr>
        <w:t xml:space="preserve">Avisar no dashboard sobre escopo do dado</w:t>
      </w:r>
      <w:r>
        <w:t xml:space="preserve"> Uma nota fixa no Power BI indicando que os valores não representam o total nacional e que a ausência de um produto não implica ausência de importação é essencial para evitar interpretações incorretas.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Fontes de Dados — Limitações, Pontos Fortes e Análises Viáveis</dc:title>
  <dc:description>Claude Docs node/54a1a8ad-b47f@7 docx-w8</dc:description>
  <cp:revision>7</cp:revision>
</cp:coreProperties>
</file>