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E4085" w14:textId="77777777" w:rsidR="00D25E98" w:rsidRDefault="00000000">
      <w:pPr>
        <w:spacing w:after="60"/>
        <w:jc w:val="center"/>
      </w:pPr>
      <w:r>
        <w:rPr>
          <w:b/>
          <w:bCs/>
          <w:color w:val="0C2340"/>
          <w:sz w:val="28"/>
          <w:szCs w:val="28"/>
        </w:rPr>
        <w:t>Documentação Técnica — Dashboard Sales Insights</w:t>
      </w:r>
    </w:p>
    <w:p w14:paraId="36DDFDBE" w14:textId="77777777" w:rsidR="00D25E98" w:rsidRDefault="00000000">
      <w:pPr>
        <w:spacing w:after="40"/>
        <w:jc w:val="center"/>
      </w:pPr>
      <w:r>
        <w:rPr>
          <w:color w:val="7A7A7A"/>
        </w:rPr>
        <w:t>Case Bimbo Brasil — Controladoria DNA</w:t>
      </w:r>
    </w:p>
    <w:p w14:paraId="7D5C2A2D" w14:textId="77777777" w:rsidR="00D25E98" w:rsidRDefault="00000000">
      <w:pPr>
        <w:spacing w:after="160"/>
        <w:jc w:val="center"/>
      </w:pPr>
      <w:r>
        <w:rPr>
          <w:sz w:val="18"/>
          <w:szCs w:val="18"/>
        </w:rPr>
        <w:t>Renan Santos Ferreira</w:t>
      </w:r>
      <w:r>
        <w:rPr>
          <w:color w:val="7A7A7A"/>
          <w:sz w:val="18"/>
          <w:szCs w:val="18"/>
        </w:rPr>
        <w:t xml:space="preserve">  •  </w:t>
      </w:r>
      <w:r>
        <w:rPr>
          <w:sz w:val="18"/>
          <w:szCs w:val="18"/>
        </w:rPr>
        <w:t>23/04/2026</w:t>
      </w:r>
    </w:p>
    <w:p w14:paraId="53CAFD7A" w14:textId="77777777" w:rsidR="00D25E98" w:rsidRDefault="00D25E98">
      <w:pPr>
        <w:pBdr>
          <w:bottom w:val="single" w:sz="6" w:space="2" w:color="0C2340"/>
        </w:pBdr>
        <w:spacing w:after="120"/>
      </w:pPr>
    </w:p>
    <w:p w14:paraId="2D6B1859" w14:textId="77777777" w:rsidR="00D25E98" w:rsidRDefault="00000000">
      <w:pPr>
        <w:pStyle w:val="Ttulo1"/>
      </w:pPr>
      <w:r>
        <w:t>1. Visão Geral</w:t>
      </w:r>
    </w:p>
    <w:p w14:paraId="0091DECF" w14:textId="4B9F68F9" w:rsidR="00D25E98" w:rsidRDefault="00000000">
      <w:pPr>
        <w:spacing w:after="80"/>
        <w:jc w:val="both"/>
      </w:pPr>
      <w:r>
        <w:t>Dashboard para a Controladoria DNA da Bimbo Brasil, projetado para fornecer visão</w:t>
      </w:r>
      <w:r w:rsidR="00501B4B">
        <w:t xml:space="preserve"> </w:t>
      </w:r>
      <w:r>
        <w:t xml:space="preserve">de receita, margem, market share e </w:t>
      </w:r>
      <w:r w:rsidR="00501B4B">
        <w:t>fatores de crescimento</w:t>
      </w:r>
      <w:r>
        <w:t xml:space="preserve"> por canal, região e produto, suportando decisões a partir de base histórica de vendas (2023–2024).</w:t>
      </w:r>
    </w:p>
    <w:p w14:paraId="771D61D2" w14:textId="77777777" w:rsidR="00D25E98" w:rsidRDefault="00000000">
      <w:pPr>
        <w:pStyle w:val="Ttulo3"/>
      </w:pPr>
      <w:r>
        <w:t>Perguntas de negócio respondidas</w:t>
      </w:r>
    </w:p>
    <w:p w14:paraId="3D3E9F17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t>Performance YoY de receita, margem, volume e market share.</w:t>
      </w:r>
    </w:p>
    <w:p w14:paraId="266A06A8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t>Canais, regiões e SKUs que lideram ou travam o crescimento.</w:t>
      </w:r>
    </w:p>
    <w:p w14:paraId="4C8E1194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t>Margem bruta por linha de produto e canal de venda.</w:t>
      </w:r>
    </w:p>
    <w:p w14:paraId="01453D9A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t>Ganhos e perdas de Market Share por canal.</w:t>
      </w:r>
    </w:p>
    <w:p w14:paraId="5858E076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t>Tendência de receita para as próximas semanas (histórico).</w:t>
      </w:r>
    </w:p>
    <w:p w14:paraId="64A7EC74" w14:textId="77777777" w:rsidR="00D25E98" w:rsidRDefault="00000000">
      <w:pPr>
        <w:pStyle w:val="Ttulo3"/>
      </w:pPr>
      <w:r>
        <w:t>Estrutura do dashboard</w:t>
      </w:r>
    </w:p>
    <w:p w14:paraId="1926FE6D" w14:textId="08FCE9CF" w:rsidR="00D25E98" w:rsidRDefault="00000000">
      <w:pPr>
        <w:spacing w:after="80"/>
        <w:jc w:val="both"/>
      </w:pPr>
      <w:r>
        <w:t>Organizado em três views, navegáveis por menu lateral, seguindo a lógica analítica: O que aconteceu? → Por que aconteceu? → O que fazer?</w:t>
      </w:r>
    </w:p>
    <w:p w14:paraId="07FB5EBD" w14:textId="4A35A3CA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Aba 1 — Visão Executiva: </w:t>
      </w:r>
      <w:r>
        <w:t>KPIs, evolução temporal, decomposição YoY de receita e</w:t>
      </w:r>
      <w:r w:rsidR="00925507">
        <w:t xml:space="preserve"> volume e</w:t>
      </w:r>
      <w:r>
        <w:t xml:space="preserve"> </w:t>
      </w:r>
      <w:r w:rsidR="00925507">
        <w:t>gráfico BCG (</w:t>
      </w:r>
      <w:r>
        <w:t>dispersão</w:t>
      </w:r>
      <w:r w:rsidR="00925507">
        <w:t>) de</w:t>
      </w:r>
      <w:r>
        <w:t xml:space="preserve"> </w:t>
      </w:r>
      <w:r w:rsidR="00925507">
        <w:t>m</w:t>
      </w:r>
      <w:r>
        <w:t>ar</w:t>
      </w:r>
      <w:r w:rsidR="00925507">
        <w:t>ket share</w:t>
      </w:r>
      <w:r>
        <w:t xml:space="preserve"> × </w:t>
      </w:r>
      <w:r w:rsidR="00925507">
        <w:t>market share YoY</w:t>
      </w:r>
      <w:r>
        <w:t>.</w:t>
      </w:r>
    </w:p>
    <w:p w14:paraId="516E228B" w14:textId="3661E845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Aba 2 — Análise Canal/Região: </w:t>
      </w:r>
      <w:r>
        <w:t>BCG (M</w:t>
      </w:r>
      <w:r w:rsidR="00925507">
        <w:t>arket share</w:t>
      </w:r>
      <w:r>
        <w:t xml:space="preserve"> × </w:t>
      </w:r>
      <w:r w:rsidR="00925507">
        <w:t xml:space="preserve">receita </w:t>
      </w:r>
      <w:r>
        <w:t xml:space="preserve">YoY), heatmap Canal × Região, ranking de </w:t>
      </w:r>
      <w:r w:rsidR="00925507">
        <w:t>SKUs</w:t>
      </w:r>
      <w:r>
        <w:t xml:space="preserve"> e heatmap Margem Linha × Canal.</w:t>
      </w:r>
    </w:p>
    <w:p w14:paraId="09301CF2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Aba 3 — Drill-down Produto: </w:t>
      </w:r>
      <w:r>
        <w:t>Decomposition tree (Categoria→Marca→Linha→Produto), Top 10 SKUs, heatmap Categoria × Linha e tabela detalhada.</w:t>
      </w:r>
    </w:p>
    <w:p w14:paraId="15D3195A" w14:textId="77777777" w:rsidR="00D25E98" w:rsidRDefault="00000000">
      <w:pPr>
        <w:pStyle w:val="Ttulo1"/>
      </w:pPr>
      <w:r>
        <w:t>2. Estrutura dos Dados</w:t>
      </w:r>
    </w:p>
    <w:p w14:paraId="5E805654" w14:textId="77777777" w:rsidR="00D25E98" w:rsidRDefault="00000000">
      <w:pPr>
        <w:spacing w:after="80"/>
        <w:jc w:val="both"/>
      </w:pPr>
      <w:r>
        <w:t>Base fictícia gerada em Python com a biblioteca Faker, com parâmetros calibrados para refletir dinâmicas do setor de panificação (sazonalidade, mix de canais, estruturas de custo e desconto). Volumetria: 40.453 registros de venda, 5 canais, 8 regiões, 22 SKUs e 200 clientes.</w:t>
      </w:r>
    </w:p>
    <w:p w14:paraId="7C7CBD0A" w14:textId="1EFE0FF7" w:rsidR="00D25E98" w:rsidRDefault="00000000">
      <w:pPr>
        <w:spacing w:after="80"/>
        <w:jc w:val="both"/>
      </w:pPr>
      <w:r>
        <w:rPr>
          <w:b/>
          <w:bCs/>
        </w:rPr>
        <w:t xml:space="preserve">Modelo: </w:t>
      </w:r>
      <w:r w:rsidR="00CA53FB">
        <w:t>S</w:t>
      </w:r>
      <w:r>
        <w:t>tar schema com a tabela fato fVendas conectada às dimensões dCanais, dRegioes, dProdutos, dClientes e dCalendario via relacionamentos 1:N. Tabela auxiliar dMercado armazena os valores de mercado estimado por tipo de canal (base do cálculo de Market Share) e se relaciona com dCanais</w:t>
      </w:r>
      <w:r w:rsidR="00325114">
        <w:t xml:space="preserve"> e dCalendario.</w:t>
      </w:r>
    </w:p>
    <w:p w14:paraId="586D1162" w14:textId="4290FD9A" w:rsidR="00D25E98" w:rsidRDefault="00000000">
      <w:pPr>
        <w:spacing w:after="80"/>
        <w:jc w:val="both"/>
      </w:pPr>
      <w:r>
        <w:rPr>
          <w:b/>
          <w:bCs/>
        </w:rPr>
        <w:t xml:space="preserve">Premissa — Market Share: </w:t>
      </w:r>
      <w:r>
        <w:t xml:space="preserve">o valor de mercado total por tipo de canal foi estimado com base em referências públicas do setor de panificação (ABIP/Nielsen) e é </w:t>
      </w:r>
      <w:r w:rsidR="00325114">
        <w:t>variável entre os anos</w:t>
      </w:r>
      <w:r>
        <w:t xml:space="preserve"> </w:t>
      </w:r>
      <w:r w:rsidR="00325114">
        <w:t>d</w:t>
      </w:r>
      <w:r>
        <w:t>o horizonte analisado. Market Share = Receita Líquida ÷ Share Estimado do canal.</w:t>
      </w:r>
    </w:p>
    <w:p w14:paraId="6B40B40A" w14:textId="77777777" w:rsidR="00D25E98" w:rsidRDefault="00000000">
      <w:r>
        <w:br w:type="page"/>
      </w:r>
    </w:p>
    <w:p w14:paraId="2C47E2DD" w14:textId="77777777" w:rsidR="00D25E98" w:rsidRDefault="00000000">
      <w:pPr>
        <w:pStyle w:val="Ttulo1"/>
      </w:pPr>
      <w:r>
        <w:lastRenderedPageBreak/>
        <w:t>3. Decisões de Design</w:t>
      </w:r>
    </w:p>
    <w:p w14:paraId="5CD6FC3E" w14:textId="5FA95BCF" w:rsidR="00D25E98" w:rsidRDefault="00000000">
      <w:pPr>
        <w:spacing w:after="80"/>
        <w:jc w:val="both"/>
      </w:pPr>
      <w:r>
        <w:rPr>
          <w:b/>
          <w:bCs/>
        </w:rPr>
        <w:t xml:space="preserve">Layout e hierarquia visual: </w:t>
      </w:r>
      <w:r>
        <w:t xml:space="preserve">padrão </w:t>
      </w:r>
      <w:r w:rsidR="00325114">
        <w:t>F</w:t>
      </w:r>
      <w:r>
        <w:t xml:space="preserve">-pattern, com KPIs críticos no topo, análise de evolução no centro e decomposição analítica na parte inferior. Até 7 elementos visuais por aba. Tipografia </w:t>
      </w:r>
      <w:r w:rsidR="00CA53FB">
        <w:t>dupla</w:t>
      </w:r>
      <w:r>
        <w:t xml:space="preserve"> (Segoe UI</w:t>
      </w:r>
      <w:r w:rsidR="00CA53FB">
        <w:t xml:space="preserve"> e D</w:t>
      </w:r>
      <w:r w:rsidR="008D7E47">
        <w:t>IN</w:t>
      </w:r>
      <w:r>
        <w:t xml:space="preserve">) com hierarquia: Title </w:t>
      </w:r>
      <w:r w:rsidR="002F24FB">
        <w:t>18</w:t>
      </w:r>
      <w:r>
        <w:t>pt, KPI Value 16pt bold, Body 1</w:t>
      </w:r>
      <w:r w:rsidR="002F24FB">
        <w:t>2</w:t>
      </w:r>
      <w:r>
        <w:t>pt, Label 10pt. Espaçamento em grid de 8px</w:t>
      </w:r>
      <w:r w:rsidR="002F24FB">
        <w:t xml:space="preserve"> no power point.</w:t>
      </w:r>
    </w:p>
    <w:p w14:paraId="3E97CD0F" w14:textId="0454EBAA" w:rsidR="00D25E98" w:rsidRDefault="00000000">
      <w:pPr>
        <w:spacing w:after="80"/>
        <w:jc w:val="both"/>
      </w:pPr>
      <w:r>
        <w:rPr>
          <w:b/>
          <w:bCs/>
        </w:rPr>
        <w:t xml:space="preserve">Paleta e acessibilidade: </w:t>
      </w:r>
      <w:r>
        <w:t>5 cores — azul</w:t>
      </w:r>
      <w:r w:rsidR="002F24FB">
        <w:t xml:space="preserve"> </w:t>
      </w:r>
      <w:r>
        <w:t>(</w:t>
      </w:r>
      <w:r w:rsidR="002F24FB" w:rsidRPr="002F24FB">
        <w:t>#032030</w:t>
      </w:r>
      <w:r>
        <w:t>), verde (#1D9E75) e vermelho (#E24B4A)</w:t>
      </w:r>
      <w:r w:rsidR="002F24FB">
        <w:t xml:space="preserve">, </w:t>
      </w:r>
      <w:r>
        <w:t>cinza</w:t>
      </w:r>
      <w:r w:rsidR="002F24FB">
        <w:t xml:space="preserve"> (</w:t>
      </w:r>
      <w:r w:rsidR="002F24FB" w:rsidRPr="002F24FB">
        <w:t>#F5F7F9</w:t>
      </w:r>
      <w:r w:rsidR="002F24FB">
        <w:t>)</w:t>
      </w:r>
      <w:r>
        <w:t xml:space="preserve"> e branco. Elementos combinam cor com ícones e formas, evitando diferenciação apenas por cor. Validação WCAG AA (contraste 4.5:1) executada via </w:t>
      </w:r>
      <w:r>
        <w:rPr>
          <w:i/>
          <w:iCs/>
        </w:rPr>
        <w:t>axe DevTools</w:t>
      </w:r>
      <w:r>
        <w:t xml:space="preserve"> sobre a versão publicada no Power BI Service: foram identificadas 4 inconsistências (3 na aba Canal/Região, 1 na aba Produto), todas ajustadas e revalidadas com aprovação.</w:t>
      </w:r>
    </w:p>
    <w:p w14:paraId="60A29FEC" w14:textId="2387E7EB" w:rsidR="00D25E98" w:rsidRDefault="00000000">
      <w:pPr>
        <w:spacing w:after="80"/>
        <w:jc w:val="both"/>
      </w:pPr>
      <w:r>
        <w:rPr>
          <w:b/>
          <w:bCs/>
        </w:rPr>
        <w:t xml:space="preserve">BCG com ponto de corte dinâmico: </w:t>
      </w:r>
      <w:r>
        <w:t xml:space="preserve">as linhas de referência que dividem os quadrantes (Estrela, Vaca, Interrogação, Abacaxi) são calculadas como média de Market Share e </w:t>
      </w:r>
      <w:r w:rsidR="00717306">
        <w:t>Receita</w:t>
      </w:r>
      <w:r>
        <w:t xml:space="preserve"> YoY, ajustando-se automaticamente ao dataset e aos filtros aplicados.</w:t>
      </w:r>
    </w:p>
    <w:p w14:paraId="59DE1B04" w14:textId="793DE743" w:rsidR="00D25E98" w:rsidRDefault="00000000">
      <w:pPr>
        <w:spacing w:after="80"/>
        <w:jc w:val="both"/>
      </w:pPr>
      <w:r>
        <w:rPr>
          <w:b/>
          <w:bCs/>
        </w:rPr>
        <w:t xml:space="preserve">Decomposição YoY (waterfall): </w:t>
      </w:r>
      <w:r>
        <w:t xml:space="preserve">lógica de waterfall aplicada sobre gráfico de colunas empilhadas, permitindo controle dos </w:t>
      </w:r>
      <w:r w:rsidR="002F24FB">
        <w:t>efeitos de</w:t>
      </w:r>
      <w:r>
        <w:t xml:space="preserve"> volume, preço</w:t>
      </w:r>
      <w:r w:rsidR="002F24FB">
        <w:t xml:space="preserve"> e</w:t>
      </w:r>
      <w:r>
        <w:t xml:space="preserve"> desconto</w:t>
      </w:r>
      <w:r w:rsidR="002F24FB">
        <w:t xml:space="preserve"> sobre a receita</w:t>
      </w:r>
      <w:r w:rsidR="00325114">
        <w:t xml:space="preserve"> e margem</w:t>
      </w:r>
      <w:r w:rsidR="002F24FB">
        <w:t>.</w:t>
      </w:r>
    </w:p>
    <w:p w14:paraId="38BF5314" w14:textId="14400C21" w:rsidR="00D25E98" w:rsidRDefault="00000000">
      <w:pPr>
        <w:spacing w:after="80"/>
        <w:jc w:val="both"/>
      </w:pPr>
      <w:r>
        <w:rPr>
          <w:b/>
          <w:bCs/>
        </w:rPr>
        <w:t xml:space="preserve">Tooltips dinâmicos contextuais: </w:t>
      </w:r>
      <w:r>
        <w:t xml:space="preserve">medidas DAX dedicadas renderizam texto contextual ao hover —BCG classifica o quadrante e recomenda ação; heatmap Canal × Região decompõe crescimento em volume, preço e custo identificando o </w:t>
      </w:r>
      <w:r w:rsidR="00717306">
        <w:t>ponto</w:t>
      </w:r>
      <w:r>
        <w:t xml:space="preserve"> principal; matrizes de produto e margem comparam a célula selecionada com a média da categoria/canal.</w:t>
      </w:r>
    </w:p>
    <w:p w14:paraId="1EE2EBF4" w14:textId="77777777" w:rsidR="00D25E98" w:rsidRDefault="00000000">
      <w:pPr>
        <w:spacing w:after="80"/>
        <w:jc w:val="both"/>
      </w:pPr>
      <w:r>
        <w:rPr>
          <w:b/>
          <w:bCs/>
        </w:rPr>
        <w:t xml:space="preserve">Filtros globais: </w:t>
      </w:r>
      <w:r>
        <w:t>Período, Canal, Região e Categoria sincronizados entre abas via slicers; navegação por menu lateral com bookmarks.</w:t>
      </w:r>
    </w:p>
    <w:p w14:paraId="0282A046" w14:textId="77777777" w:rsidR="00D25E98" w:rsidRDefault="00000000">
      <w:pPr>
        <w:pStyle w:val="Ttulo1"/>
      </w:pPr>
      <w:r>
        <w:t>4. Glossário de Métricas</w:t>
      </w:r>
    </w:p>
    <w:p w14:paraId="684B4C7C" w14:textId="77777777" w:rsidR="00D25E98" w:rsidRDefault="00000000">
      <w:pPr>
        <w:spacing w:after="80"/>
        <w:jc w:val="both"/>
      </w:pPr>
      <w:r>
        <w:t>Todas as medidas DAX foram documentadas com comentários explicativos no Power BI Desktop. Abaixo, o glossário das métricas principais.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25E98" w14:paraId="06EF0C7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0D96" w14:textId="77777777" w:rsidR="00D25E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Métrica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00A7C" w14:textId="77777777" w:rsidR="00D25E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Definição</w:t>
            </w:r>
          </w:p>
        </w:tc>
      </w:tr>
      <w:tr w:rsidR="00D25E98" w14:paraId="0A8C6C1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E0DC5" w14:textId="77777777" w:rsidR="00D25E98" w:rsidRDefault="00000000">
            <w:r>
              <w:rPr>
                <w:b/>
                <w:bCs/>
                <w:sz w:val="18"/>
                <w:szCs w:val="18"/>
              </w:rPr>
              <w:t>Receita Líquida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FE8E" w14:textId="2CC63149" w:rsidR="00D25E98" w:rsidRDefault="00000000">
            <w:r>
              <w:rPr>
                <w:sz w:val="18"/>
                <w:szCs w:val="18"/>
              </w:rPr>
              <w:t>Receita bruta menos desconto concedido.</w:t>
            </w:r>
          </w:p>
        </w:tc>
      </w:tr>
      <w:tr w:rsidR="00D25E98" w14:paraId="630AD54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CA40" w14:textId="77777777" w:rsidR="00D25E98" w:rsidRDefault="00000000">
            <w:r>
              <w:rPr>
                <w:b/>
                <w:bCs/>
                <w:sz w:val="18"/>
                <w:szCs w:val="18"/>
              </w:rPr>
              <w:t>Margem Bruta %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DDFAD" w14:textId="77777777" w:rsidR="00D25E98" w:rsidRDefault="00000000">
            <w:r>
              <w:rPr>
                <w:sz w:val="18"/>
                <w:szCs w:val="18"/>
              </w:rPr>
              <w:t>(Receita Líquida − Custo Total) ÷ Receita Líquida. Rentabilidade antes de despesas operacionais.</w:t>
            </w:r>
          </w:p>
        </w:tc>
      </w:tr>
      <w:tr w:rsidR="00D25E98" w14:paraId="2E393B7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C291" w14:textId="77777777" w:rsidR="00D25E98" w:rsidRDefault="00000000">
            <w:r>
              <w:rPr>
                <w:b/>
                <w:bCs/>
                <w:sz w:val="18"/>
                <w:szCs w:val="18"/>
              </w:rPr>
              <w:t>YoY Receita %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F51D" w14:textId="77777777" w:rsidR="00D25E98" w:rsidRDefault="00000000">
            <w:r>
              <w:rPr>
                <w:sz w:val="18"/>
                <w:szCs w:val="18"/>
              </w:rPr>
              <w:t>Variação percentual da Receita Líquida vs. mesmo período do ano anterior (SAMEPERIODLASTYEAR).</w:t>
            </w:r>
          </w:p>
        </w:tc>
      </w:tr>
      <w:tr w:rsidR="00D25E98" w14:paraId="29C0126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2D94" w14:textId="77777777" w:rsidR="00D25E98" w:rsidRDefault="00000000">
            <w:r>
              <w:rPr>
                <w:b/>
                <w:bCs/>
                <w:sz w:val="18"/>
                <w:szCs w:val="18"/>
              </w:rPr>
              <w:t>Market Share %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6F71" w14:textId="77777777" w:rsidR="00D25E98" w:rsidRDefault="00000000">
            <w:r>
              <w:rPr>
                <w:sz w:val="18"/>
                <w:szCs w:val="18"/>
              </w:rPr>
              <w:t>Receita Líquida ÷ Share Estimado do canal (dMercado).</w:t>
            </w:r>
          </w:p>
        </w:tc>
      </w:tr>
      <w:tr w:rsidR="00D25E98" w14:paraId="46C81D4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BBED" w14:textId="77777777" w:rsidR="00D25E98" w:rsidRDefault="00000000">
            <w:r>
              <w:rPr>
                <w:b/>
                <w:bCs/>
                <w:sz w:val="18"/>
                <w:szCs w:val="18"/>
              </w:rPr>
              <w:t>YoY Market Share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3EC8" w14:textId="77777777" w:rsidR="00D25E98" w:rsidRDefault="00000000">
            <w:r>
              <w:rPr>
                <w:sz w:val="18"/>
                <w:szCs w:val="18"/>
              </w:rPr>
              <w:t>Variação em pontos percentuais do Market Share entre 2024 e 2023.</w:t>
            </w:r>
          </w:p>
        </w:tc>
      </w:tr>
      <w:tr w:rsidR="00D25E98" w14:paraId="761F7A1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F7FB" w14:textId="77777777" w:rsidR="00D25E98" w:rsidRDefault="00000000">
            <w:r>
              <w:rPr>
                <w:b/>
                <w:bCs/>
                <w:sz w:val="18"/>
                <w:szCs w:val="18"/>
              </w:rPr>
              <w:t>Crescimento Volume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116F" w14:textId="77777777" w:rsidR="00D25E98" w:rsidRDefault="00000000">
            <w:r>
              <w:rPr>
                <w:sz w:val="18"/>
                <w:szCs w:val="18"/>
              </w:rPr>
              <w:t>Variação percentual da quantidade vendida (unidades) vs. ano anterior.</w:t>
            </w:r>
          </w:p>
        </w:tc>
      </w:tr>
      <w:tr w:rsidR="00D25E98" w14:paraId="2F6359D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5326" w14:textId="77777777" w:rsidR="00D25E98" w:rsidRDefault="00000000">
            <w:r>
              <w:rPr>
                <w:b/>
                <w:bCs/>
                <w:sz w:val="18"/>
                <w:szCs w:val="18"/>
              </w:rPr>
              <w:t>Churn %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9DA9" w14:textId="77777777" w:rsidR="00D25E98" w:rsidRDefault="00000000">
            <w:r>
              <w:rPr>
                <w:sz w:val="18"/>
                <w:szCs w:val="18"/>
              </w:rPr>
              <w:t>Clientes inativos ÷ Total de clientes. Taxa de abandono/inatividade.</w:t>
            </w:r>
          </w:p>
        </w:tc>
      </w:tr>
    </w:tbl>
    <w:p w14:paraId="1179D031" w14:textId="77777777" w:rsidR="00D25E98" w:rsidRDefault="00000000">
      <w:r>
        <w:br w:type="page"/>
      </w:r>
    </w:p>
    <w:p w14:paraId="0934A7CB" w14:textId="77777777" w:rsidR="00D25E98" w:rsidRDefault="00000000">
      <w:pPr>
        <w:pStyle w:val="Ttulo1"/>
      </w:pPr>
      <w:r>
        <w:lastRenderedPageBreak/>
        <w:t>5. Principais Achados e Recomendações</w:t>
      </w:r>
    </w:p>
    <w:p w14:paraId="4415CEDE" w14:textId="2FC38FFD" w:rsidR="00D25E98" w:rsidRDefault="00000000">
      <w:pPr>
        <w:pStyle w:val="Ttulo3"/>
      </w:pPr>
      <w:r>
        <w:t xml:space="preserve">Achado 1 — Crescimento com leve </w:t>
      </w:r>
      <w:r w:rsidR="00717306">
        <w:t>queda</w:t>
      </w:r>
      <w:r>
        <w:t xml:space="preserve"> de margem</w:t>
      </w:r>
    </w:p>
    <w:p w14:paraId="13ADF65D" w14:textId="63C6D9EC" w:rsidR="00D25E98" w:rsidRDefault="00000000">
      <w:pPr>
        <w:spacing w:after="80"/>
        <w:jc w:val="both"/>
      </w:pPr>
      <w:r>
        <w:t xml:space="preserve">Receita cresceu 1,4% YoY (R$ 191 Mi → R$ 193 Mi), sustentada por </w:t>
      </w:r>
      <w:r w:rsidR="00717306">
        <w:t>aumento</w:t>
      </w:r>
      <w:r>
        <w:t xml:space="preserve"> de volume (+2,6%, de 41 Mi para 42 Mi de unidades). A margem bruta </w:t>
      </w:r>
      <w:r w:rsidR="00717306">
        <w:t>reduziu</w:t>
      </w:r>
      <w:r>
        <w:t xml:space="preserve"> 0,4pp (47,9% → 47,5%), sinalizando que o repasse de custo não acompanhou totalmente o crescimento de volume. A </w:t>
      </w:r>
      <w:r w:rsidR="00717306">
        <w:t>redução</w:t>
      </w:r>
      <w:r>
        <w:t xml:space="preserve"> é leve e não estrutural, mas merece monitoramento.</w:t>
      </w:r>
    </w:p>
    <w:p w14:paraId="13D10DDA" w14:textId="124C143F" w:rsidR="00D25E98" w:rsidRDefault="00000000">
      <w:pPr>
        <w:pStyle w:val="Ttulo3"/>
      </w:pPr>
      <w:r>
        <w:t>Achado 2 — Polarização dos canais</w:t>
      </w:r>
    </w:p>
    <w:p w14:paraId="400C04EC" w14:textId="13FB4858" w:rsidR="000C419F" w:rsidRDefault="000C419F">
      <w:pPr>
        <w:pStyle w:val="Ttulo3"/>
        <w:rPr>
          <w:b w:val="0"/>
          <w:bCs w:val="0"/>
          <w:color w:val="auto"/>
          <w:sz w:val="20"/>
          <w:szCs w:val="20"/>
        </w:rPr>
      </w:pPr>
      <w:r w:rsidRPr="000C419F">
        <w:rPr>
          <w:b w:val="0"/>
          <w:bCs w:val="0"/>
          <w:color w:val="auto"/>
          <w:sz w:val="20"/>
          <w:szCs w:val="20"/>
        </w:rPr>
        <w:t xml:space="preserve">A matriz BCG mostra um cenário dividido. O canal de Varejo Pequeno Porte se destaca como Estrela, combinando alto crescimento e ganho de </w:t>
      </w:r>
      <w:r>
        <w:rPr>
          <w:b w:val="0"/>
          <w:bCs w:val="0"/>
          <w:color w:val="auto"/>
          <w:sz w:val="20"/>
          <w:szCs w:val="20"/>
        </w:rPr>
        <w:t>mercado</w:t>
      </w:r>
      <w:r w:rsidRPr="000C419F">
        <w:rPr>
          <w:b w:val="0"/>
          <w:bCs w:val="0"/>
          <w:color w:val="auto"/>
          <w:sz w:val="20"/>
          <w:szCs w:val="20"/>
        </w:rPr>
        <w:t>. O Food Service atua como Vaca Leiteira, com alto share e crescimento mais baixo. O Atacado e o E-commerce estão em Abacaxi, com baixo crescimento e baixa participação. Já o Varejo Grande Porte aparece como Interrogação, indicando potencial de crescimento, mas ainda com share inferior aos líderes.</w:t>
      </w:r>
    </w:p>
    <w:p w14:paraId="6BDA0D6C" w14:textId="77777777" w:rsidR="000C419F" w:rsidRDefault="000C419F" w:rsidP="000C419F">
      <w:pPr>
        <w:pStyle w:val="Ttulo3"/>
      </w:pPr>
      <w:r>
        <w:t>Achado 3 — Linha Light em risco</w:t>
      </w:r>
    </w:p>
    <w:p w14:paraId="2741DE2C" w14:textId="73B2B51E" w:rsidR="000C419F" w:rsidRDefault="000C419F" w:rsidP="000C419F">
      <w:pPr>
        <w:spacing w:after="80"/>
        <w:jc w:val="both"/>
      </w:pPr>
      <w:r>
        <w:t>A linha Light apresenta comportamento crítico: Torradas Light recuou 8,3% YoY (pior performance por linha). A combinação Light × Atacado registra margem de 33,3% — a mais baixa entre todas as intersecções linha × canal. O problema não é isolado, ele está presente tanto no crescimento quanto na rentabilidade.</w:t>
      </w:r>
    </w:p>
    <w:p w14:paraId="50E5A163" w14:textId="77777777" w:rsidR="00D25E98" w:rsidRDefault="00000000">
      <w:pPr>
        <w:pStyle w:val="Ttulo3"/>
      </w:pPr>
      <w:r>
        <w:t>Recomendações</w:t>
      </w:r>
    </w:p>
    <w:p w14:paraId="146D3C51" w14:textId="583FDC98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Revisar política comercial (custo × preço): </w:t>
      </w:r>
      <w:r>
        <w:t xml:space="preserve">mesmo com crescimento de receita, a margem recuou em todos os canais. Revisar cadeia de custo e preço, com foco em Atacado, onde a margem </w:t>
      </w:r>
      <w:r w:rsidR="00483FBC">
        <w:t>é a pior e</w:t>
      </w:r>
      <w:r>
        <w:t xml:space="preserve"> compromete a</w:t>
      </w:r>
      <w:r w:rsidR="000C419F">
        <w:t xml:space="preserve"> performance</w:t>
      </w:r>
      <w:r>
        <w:t xml:space="preserve"> do canal.</w:t>
      </w:r>
    </w:p>
    <w:p w14:paraId="3DAFB1BD" w14:textId="43B38550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Dobrar aposta no Varejo e reavaliar Atacado: </w:t>
      </w:r>
      <w:r>
        <w:t xml:space="preserve">concentrar investimento comercial (SDRs, estoque, campanhas regionais) no Varejo Grande Porte, que comprovou </w:t>
      </w:r>
      <w:r w:rsidR="00483FBC">
        <w:t>potencial</w:t>
      </w:r>
      <w:r>
        <w:t xml:space="preserve"> e </w:t>
      </w:r>
      <w:r w:rsidR="00483FBC">
        <w:t>Market Share</w:t>
      </w:r>
      <w:r>
        <w:t xml:space="preserve"> crescente. Para o Atacado, definir plano de reestruturação ou reduzir exposição.</w:t>
      </w:r>
    </w:p>
    <w:p w14:paraId="18426FFC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 xml:space="preserve">Reposicionar ou descontinuar a linha Light: </w:t>
      </w:r>
      <w:r>
        <w:t>avaliar descontinuação nas categorias e canais mais comprometidos (Torradas Light e Atacado) ou reposicionar a linha com novo apelo de consumo.</w:t>
      </w:r>
    </w:p>
    <w:p w14:paraId="47CEE599" w14:textId="77777777" w:rsidR="00D25E98" w:rsidRDefault="00000000">
      <w:pPr>
        <w:pStyle w:val="Ttulo1"/>
      </w:pPr>
      <w:r>
        <w:t>6. Fontes e Referências</w:t>
      </w:r>
    </w:p>
    <w:p w14:paraId="674AEA42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ABIP</w:t>
      </w:r>
      <w:r>
        <w:t xml:space="preserve"> — Associação Brasileira da Indústria de Panificação: referências de mercado e benchmark setorial.</w:t>
      </w:r>
    </w:p>
    <w:p w14:paraId="4009D159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Nielsen</w:t>
      </w:r>
      <w:r>
        <w:t xml:space="preserve"> — dados de mercado de bens de consumo não duráveis no Brasil.</w:t>
      </w:r>
    </w:p>
    <w:p w14:paraId="53B12856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Microsoft Learn</w:t>
      </w:r>
      <w:r>
        <w:t xml:space="preserve"> — documentação oficial Power BI e linguagem DAX.</w:t>
      </w:r>
    </w:p>
    <w:p w14:paraId="4E653F63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W3C WCAG 2.1</w:t>
      </w:r>
      <w:r>
        <w:t xml:space="preserve"> — critérios de acessibilidade web (nível AA, contraste 4.5:1).</w:t>
      </w:r>
    </w:p>
    <w:p w14:paraId="1D3D9222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axe DevTools (Deque Systems)</w:t>
      </w:r>
      <w:r>
        <w:t xml:space="preserve"> — ferramenta de auditoria automática de acessibilidade WCAG.</w:t>
      </w:r>
    </w:p>
    <w:p w14:paraId="5E1BDBAC" w14:textId="77777777" w:rsidR="00D25E9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Bibliotecas Python</w:t>
      </w:r>
      <w:r>
        <w:t>: Faker (geração de dados sintéticos), pandas e numpy (tratamento e modelagem).</w:t>
      </w:r>
    </w:p>
    <w:p w14:paraId="106B0B97" w14:textId="36520CE0" w:rsidR="00483FBC" w:rsidRDefault="00483FB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</w:rPr>
        <w:t>Flaticon</w:t>
      </w:r>
      <w:r w:rsidRPr="00483FBC">
        <w:t>:</w:t>
      </w:r>
      <w:r>
        <w:t xml:space="preserve"> Ferramenta para ícones ilustrativos.</w:t>
      </w:r>
    </w:p>
    <w:sectPr w:rsidR="00483FBC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3F7FD4" w14:textId="77777777" w:rsidR="00D37735" w:rsidRDefault="00D37735">
      <w:r>
        <w:separator/>
      </w:r>
    </w:p>
  </w:endnote>
  <w:endnote w:type="continuationSeparator" w:id="0">
    <w:p w14:paraId="2E9843BD" w14:textId="77777777" w:rsidR="00D37735" w:rsidRDefault="00D3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579ED" w14:textId="2E44FF6E" w:rsidR="00C71265" w:rsidRDefault="00C7126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07E565" wp14:editId="74D7E1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2850" cy="345440"/>
              <wp:effectExtent l="0" t="0" r="6350" b="0"/>
              <wp:wrapNone/>
              <wp:docPr id="138934079" name="Caixa de Texto 2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71B17" w14:textId="0757047F" w:rsidR="00C71265" w:rsidRPr="00C71265" w:rsidRDefault="00C71265" w:rsidP="00C71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71265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7E56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This content is Internal." style="position:absolute;margin-left:0;margin-top:0;width:95.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F771B17" w14:textId="0757047F" w:rsidR="00C71265" w:rsidRPr="00C71265" w:rsidRDefault="00C71265" w:rsidP="00C71265">
                    <w:pPr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71265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501ED" w14:textId="38EC4E64" w:rsidR="00D25E98" w:rsidRDefault="00C71265">
    <w:pPr>
      <w:jc w:val="center"/>
    </w:pPr>
    <w:r>
      <w:rPr>
        <w:noProof/>
        <w:color w:val="7A7A7A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881610" wp14:editId="7989B9BF">
              <wp:simplePos x="914400" y="10125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2850" cy="345440"/>
              <wp:effectExtent l="0" t="0" r="6350" b="0"/>
              <wp:wrapNone/>
              <wp:docPr id="746612455" name="Caixa de Texto 3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844C7" w14:textId="74D33CB0" w:rsidR="00C71265" w:rsidRPr="00C71265" w:rsidRDefault="00C71265" w:rsidP="00C71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71265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161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This content is Internal." style="position:absolute;left:0;text-align:left;margin-left:0;margin-top:0;width:95.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5D844C7" w14:textId="74D33CB0" w:rsidR="00C71265" w:rsidRPr="00C71265" w:rsidRDefault="00C71265" w:rsidP="00C71265">
                    <w:pPr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71265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EBA85" w14:textId="67CFD8F8" w:rsidR="00C71265" w:rsidRDefault="00C7126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C3860D" wp14:editId="6F91A4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2850" cy="345440"/>
              <wp:effectExtent l="0" t="0" r="6350" b="0"/>
              <wp:wrapNone/>
              <wp:docPr id="1937995287" name="Caixa de Texto 1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CAAA5" w14:textId="5DFB38A2" w:rsidR="00C71265" w:rsidRPr="00C71265" w:rsidRDefault="00C71265" w:rsidP="00C71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71265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3860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This content is Internal." style="position:absolute;margin-left:0;margin-top:0;width:95.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10CAAA5" w14:textId="5DFB38A2" w:rsidR="00C71265" w:rsidRPr="00C71265" w:rsidRDefault="00C71265" w:rsidP="00C71265">
                    <w:pPr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71265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DB6C8" w14:textId="77777777" w:rsidR="00D37735" w:rsidRDefault="00D37735">
      <w:r>
        <w:separator/>
      </w:r>
    </w:p>
  </w:footnote>
  <w:footnote w:type="continuationSeparator" w:id="0">
    <w:p w14:paraId="05326B5E" w14:textId="77777777" w:rsidR="00D37735" w:rsidRDefault="00D37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0C5EF" w14:textId="77777777" w:rsidR="00D25E98" w:rsidRDefault="00000000">
    <w:pPr>
      <w:jc w:val="right"/>
    </w:pPr>
    <w:r>
      <w:rPr>
        <w:i/>
        <w:iCs/>
        <w:color w:val="7A7A7A"/>
        <w:sz w:val="16"/>
        <w:szCs w:val="16"/>
      </w:rPr>
      <w:t>Case Bimbo — Dashboard Sales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781949"/>
    <w:multiLevelType w:val="hybridMultilevel"/>
    <w:tmpl w:val="5794489E"/>
    <w:lvl w:ilvl="0" w:tplc="635AFF62">
      <w:start w:val="1"/>
      <w:numFmt w:val="bullet"/>
      <w:lvlText w:val="●"/>
      <w:lvlJc w:val="left"/>
      <w:pPr>
        <w:ind w:left="720" w:hanging="360"/>
      </w:pPr>
    </w:lvl>
    <w:lvl w:ilvl="1" w:tplc="182CBE38">
      <w:start w:val="1"/>
      <w:numFmt w:val="bullet"/>
      <w:lvlText w:val="○"/>
      <w:lvlJc w:val="left"/>
      <w:pPr>
        <w:ind w:left="1440" w:hanging="360"/>
      </w:pPr>
    </w:lvl>
    <w:lvl w:ilvl="2" w:tplc="E734384E">
      <w:start w:val="1"/>
      <w:numFmt w:val="bullet"/>
      <w:lvlText w:val="■"/>
      <w:lvlJc w:val="left"/>
      <w:pPr>
        <w:ind w:left="2160" w:hanging="360"/>
      </w:pPr>
    </w:lvl>
    <w:lvl w:ilvl="3" w:tplc="5F8ACE80">
      <w:start w:val="1"/>
      <w:numFmt w:val="bullet"/>
      <w:lvlText w:val="●"/>
      <w:lvlJc w:val="left"/>
      <w:pPr>
        <w:ind w:left="2880" w:hanging="360"/>
      </w:pPr>
    </w:lvl>
    <w:lvl w:ilvl="4" w:tplc="C0AAE426">
      <w:start w:val="1"/>
      <w:numFmt w:val="bullet"/>
      <w:lvlText w:val="○"/>
      <w:lvlJc w:val="left"/>
      <w:pPr>
        <w:ind w:left="3600" w:hanging="360"/>
      </w:pPr>
    </w:lvl>
    <w:lvl w:ilvl="5" w:tplc="15723BC8">
      <w:start w:val="1"/>
      <w:numFmt w:val="bullet"/>
      <w:lvlText w:val="■"/>
      <w:lvlJc w:val="left"/>
      <w:pPr>
        <w:ind w:left="4320" w:hanging="360"/>
      </w:pPr>
    </w:lvl>
    <w:lvl w:ilvl="6" w:tplc="F9A24626">
      <w:start w:val="1"/>
      <w:numFmt w:val="bullet"/>
      <w:lvlText w:val="●"/>
      <w:lvlJc w:val="left"/>
      <w:pPr>
        <w:ind w:left="5040" w:hanging="360"/>
      </w:pPr>
    </w:lvl>
    <w:lvl w:ilvl="7" w:tplc="AD46CD72">
      <w:start w:val="1"/>
      <w:numFmt w:val="bullet"/>
      <w:lvlText w:val="●"/>
      <w:lvlJc w:val="left"/>
      <w:pPr>
        <w:ind w:left="5760" w:hanging="360"/>
      </w:pPr>
    </w:lvl>
    <w:lvl w:ilvl="8" w:tplc="18AAA5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A7CB2"/>
    <w:multiLevelType w:val="hybridMultilevel"/>
    <w:tmpl w:val="18AE16B0"/>
    <w:lvl w:ilvl="0" w:tplc="C262BF5E">
      <w:start w:val="1"/>
      <w:numFmt w:val="bullet"/>
      <w:lvlText w:val="•"/>
      <w:lvlJc w:val="left"/>
      <w:pPr>
        <w:ind w:left="540" w:hanging="280"/>
      </w:pPr>
    </w:lvl>
    <w:lvl w:ilvl="1" w:tplc="20E8E696">
      <w:numFmt w:val="decimal"/>
      <w:lvlText w:val=""/>
      <w:lvlJc w:val="left"/>
    </w:lvl>
    <w:lvl w:ilvl="2" w:tplc="B12EC216">
      <w:numFmt w:val="decimal"/>
      <w:lvlText w:val=""/>
      <w:lvlJc w:val="left"/>
    </w:lvl>
    <w:lvl w:ilvl="3" w:tplc="71CC28C4">
      <w:numFmt w:val="decimal"/>
      <w:lvlText w:val=""/>
      <w:lvlJc w:val="left"/>
    </w:lvl>
    <w:lvl w:ilvl="4" w:tplc="44A4C72C">
      <w:numFmt w:val="decimal"/>
      <w:lvlText w:val=""/>
      <w:lvlJc w:val="left"/>
    </w:lvl>
    <w:lvl w:ilvl="5" w:tplc="61D23B12">
      <w:numFmt w:val="decimal"/>
      <w:lvlText w:val=""/>
      <w:lvlJc w:val="left"/>
    </w:lvl>
    <w:lvl w:ilvl="6" w:tplc="9EE8A050">
      <w:numFmt w:val="decimal"/>
      <w:lvlText w:val=""/>
      <w:lvlJc w:val="left"/>
    </w:lvl>
    <w:lvl w:ilvl="7" w:tplc="C7CC6CEC">
      <w:numFmt w:val="decimal"/>
      <w:lvlText w:val=""/>
      <w:lvlJc w:val="left"/>
    </w:lvl>
    <w:lvl w:ilvl="8" w:tplc="0FF2054A">
      <w:numFmt w:val="decimal"/>
      <w:lvlText w:val=""/>
      <w:lvlJc w:val="left"/>
    </w:lvl>
  </w:abstractNum>
  <w:num w:numId="1" w16cid:durableId="2035810395">
    <w:abstractNumId w:val="0"/>
    <w:lvlOverride w:ilvl="0">
      <w:startOverride w:val="1"/>
    </w:lvlOverride>
  </w:num>
  <w:num w:numId="2" w16cid:durableId="1337725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8"/>
    <w:rsid w:val="00021BA4"/>
    <w:rsid w:val="00027ACE"/>
    <w:rsid w:val="000C419F"/>
    <w:rsid w:val="002F24FB"/>
    <w:rsid w:val="00325114"/>
    <w:rsid w:val="00483FBC"/>
    <w:rsid w:val="00501B4B"/>
    <w:rsid w:val="0066170F"/>
    <w:rsid w:val="006F61F6"/>
    <w:rsid w:val="00717306"/>
    <w:rsid w:val="008D7E47"/>
    <w:rsid w:val="008F729D"/>
    <w:rsid w:val="00902825"/>
    <w:rsid w:val="00925507"/>
    <w:rsid w:val="00AF3ED2"/>
    <w:rsid w:val="00C71265"/>
    <w:rsid w:val="00CA53FB"/>
    <w:rsid w:val="00D25E98"/>
    <w:rsid w:val="00D37735"/>
    <w:rsid w:val="00DA1C56"/>
    <w:rsid w:val="00F5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94AB5"/>
  <w15:docId w15:val="{A0FB57BE-6820-44BD-B5D2-C260193D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60" w:after="100"/>
      <w:outlineLvl w:val="0"/>
    </w:pPr>
    <w:rPr>
      <w:b/>
      <w:bCs/>
      <w:color w:val="0C2340"/>
      <w:sz w:val="26"/>
      <w:szCs w:val="26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spacing w:before="100" w:after="60"/>
      <w:outlineLvl w:val="2"/>
    </w:pPr>
    <w:rPr>
      <w:b/>
      <w:bCs/>
      <w:color w:val="0C2340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C712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1106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- Case Bimbo</vt:lpstr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Case Bimbo</dc:title>
  <dc:creator>Renan Santos Ferreira</dc:creator>
  <cp:lastModifiedBy>Renan Santos Ferreira</cp:lastModifiedBy>
  <cp:revision>10</cp:revision>
  <cp:lastPrinted>2026-04-23T21:53:00Z</cp:lastPrinted>
  <dcterms:created xsi:type="dcterms:W3CDTF">2026-04-21T00:41:00Z</dcterms:created>
  <dcterms:modified xsi:type="dcterms:W3CDTF">2026-04-23T21:53:00Z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73837617,847f73f,2c8066e7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This content is Internal.</vt:lpwstr>
  </property>
  <property fmtid="{D5CDD505-2E9C-101B-9397-08002B2CF9AE}" pid="5" name="MSIP_Label_3ba52d44-af58-4f66-8659-3c1b8d659d72_Enabled">
    <vt:lpwstr>true</vt:lpwstr>
  </property>
  <property fmtid="{D5CDD505-2E9C-101B-9397-08002B2CF9AE}" pid="6" name="MSIP_Label_3ba52d44-af58-4f66-8659-3c1b8d659d72_SetDate">
    <vt:lpwstr>2026-04-21T00:40:38Z</vt:lpwstr>
  </property>
  <property fmtid="{D5CDD505-2E9C-101B-9397-08002B2CF9AE}" pid="7" name="MSIP_Label_3ba52d44-af58-4f66-8659-3c1b8d659d72_Method">
    <vt:lpwstr>Privileged</vt:lpwstr>
  </property>
  <property fmtid="{D5CDD505-2E9C-101B-9397-08002B2CF9AE}" pid="8" name="MSIP_Label_3ba52d44-af58-4f66-8659-3c1b8d659d72_Name">
    <vt:lpwstr>3ba52d44-af58-4f66-8659-3c1b8d659d72</vt:lpwstr>
  </property>
  <property fmtid="{D5CDD505-2E9C-101B-9397-08002B2CF9AE}" pid="9" name="MSIP_Label_3ba52d44-af58-4f66-8659-3c1b8d659d72_SiteId">
    <vt:lpwstr>461fd7ef-0eb3-4420-b044-310dc2914d64</vt:lpwstr>
  </property>
  <property fmtid="{D5CDD505-2E9C-101B-9397-08002B2CF9AE}" pid="10" name="MSIP_Label_3ba52d44-af58-4f66-8659-3c1b8d659d72_ActionId">
    <vt:lpwstr>c0c044a2-30c7-4ce7-a5a7-c25c912ba850</vt:lpwstr>
  </property>
  <property fmtid="{D5CDD505-2E9C-101B-9397-08002B2CF9AE}" pid="11" name="MSIP_Label_3ba52d44-af58-4f66-8659-3c1b8d659d72_ContentBits">
    <vt:lpwstr>2</vt:lpwstr>
  </property>
  <property fmtid="{D5CDD505-2E9C-101B-9397-08002B2CF9AE}" pid="12" name="MSIP_Label_3ba52d44-af58-4f66-8659-3c1b8d659d72_Tag">
    <vt:lpwstr>10, 0, 1, 1</vt:lpwstr>
  </property>
</Properties>
</file>