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59.png" ContentType="image/png"/>
  <Override PartName="/word/media/rId27.png" ContentType="image/png"/>
  <Override PartName="/word/media/rId22.png" ContentType="image/png"/>
  <Override PartName="/word/media/rId24.png" ContentType="image/png"/>
  <Override PartName="/word/media/rId25.png" ContentType="image/png"/>
  <Override PartName="/word/media/rId29.png" ContentType="image/png"/>
  <Override PartName="/word/media/rId30.png" ContentType="image/png"/>
  <Override PartName="/word/media/rId31.png" ContentType="image/png"/>
  <Override PartName="/word/media/rId32.png" ContentType="image/png"/>
  <Override PartName="/word/media/rId35.png" ContentType="image/png"/>
  <Override PartName="/word/media/rId36.png" ContentType="image/png"/>
  <Override PartName="/word/media/rId38.png" ContentType="image/png"/>
  <Override PartName="/word/media/rId43.png" ContentType="image/png"/>
  <Override PartName="/word/media/rId45.png" ContentType="image/png"/>
  <Override PartName="/word/media/rId49.png" ContentType="image/png"/>
  <Override PartName="/word/media/rId55.png" ContentType="image/png"/>
  <Override PartName="/word/media/rId56.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resumo"/>
    <w:p>
      <w:pPr>
        <w:pStyle w:val="Heading1"/>
      </w:pPr>
      <w:r>
        <w:t xml:space="preserve">Resumo</w:t>
      </w:r>
    </w:p>
    <w:p>
      <w:pPr>
        <w:pStyle w:val="FirstParagraph"/>
      </w:pPr>
      <w:r>
        <w:t xml:space="preserve">Reconstruir um modelo de linguagem componente a componente é uma estratégia consolidada de aprendizado arquitetural, mas a literatura didática sobre o tema tende a parar na descrição da arquitetura, sem submeter a hipóteses testáveis aquilo que de fato limita o desempenho de um modelo pequeno. Este trabalho apresenta o</w:t>
      </w:r>
      <w:r>
        <w:t xml:space="preserve"> </w:t>
      </w:r>
      <w:r>
        <w:rPr>
          <w:bCs/>
          <w:b/>
        </w:rPr>
        <w:t xml:space="preserve">TucanoCE</w:t>
      </w:r>
      <w:r>
        <w:t xml:space="preserve">, uma reimplementação verificável de um modelo autoregressivo</w:t>
      </w:r>
      <w:r>
        <w:t xml:space="preserve"> </w:t>
      </w:r>
      <w:r>
        <w:rPr>
          <w:iCs/>
          <w:i/>
        </w:rPr>
        <w:t xml:space="preserve">decoder-only</w:t>
      </w:r>
      <w:r>
        <w:t xml:space="preserve"> </w:t>
      </w:r>
      <w:r>
        <w:t xml:space="preserve">que parte do GPT-2 e adota as quatro modernizações consolidadas pela família LLaMA — RMSNorm, SwiGLU, codificação posicional rotacional (RoPE) e cache de chaves/valores —, treinável em hardware de consumo. Sobre essa base, a contribuição central é experimental. Partindo da decomposição da entropia cruzada em entropia irredutível do corpus mais divergência de Kullback-Leibler, formula-se a hipótese de que, em regime de baixa capacidade, a complexidade estatística do texto — e não seu volume — governa a qualidade atingível. A hipótese é testada por ablação: o mesmo modelo de 1,8 milhão de parâmetros foi treinado sobre corpora de física de partículas, de</w:t>
      </w:r>
      <w:r>
        <w:t xml:space="preserve"> </w:t>
      </w:r>
      <w:r>
        <w:rPr>
          <w:iCs/>
          <w:i/>
        </w:rPr>
        <w:t xml:space="preserve">machine learning</w:t>
      </w:r>
      <w:r>
        <w:t xml:space="preserve"> </w:t>
      </w:r>
      <w:r>
        <w:t xml:space="preserve">e sobre o TinyStories, com quatro proxies de entropia medidos para cada um, e o TinyStories foi truncado ao volume exato do corpus de física para desacoplar os dois fatores. Com o volume mantido fixo, a perda de validação caiu de 3,087 para 1,823</w:t>
      </w:r>
      <w:r>
        <w:t xml:space="preserve"> </w:t>
      </w:r>
      <w:r>
        <w:rPr>
          <w:iCs/>
          <w:i/>
        </w:rPr>
        <w:t xml:space="preserve">nats</w:t>
      </w:r>
      <w:r>
        <w:t xml:space="preserve">/</w:t>
      </w:r>
      <w:r>
        <w:rPr>
          <w:iCs/>
          <w:i/>
        </w:rPr>
        <w:t xml:space="preserve">token</w:t>
      </w:r>
      <w:r>
        <w:t xml:space="preserve">; multiplicar os dados por sete acrescentou apenas 0,237 — ou seja,</w:t>
      </w:r>
      <w:r>
        <w:t xml:space="preserve"> </w:t>
      </w:r>
      <w:r>
        <w:rPr>
          <w:bCs/>
          <w:b/>
        </w:rPr>
        <w:t xml:space="preserve">84 % do efeito é atribuível à entropia do corpus e 16 % ao volume</w:t>
      </w:r>
      <w:r>
        <w:t xml:space="preserve">. Uma referência mais informativa que o piso trivial mostra por quê: nos corpora técnicos o modelo supera um contador de bigramas por apenas 0,18</w:t>
      </w:r>
      <w:r>
        <w:t xml:space="preserve"> </w:t>
      </w:r>
      <w:r>
        <w:rPr>
          <w:iCs/>
          <w:i/>
        </w:rPr>
        <w:t xml:space="preserve">nat</w:t>
      </w:r>
      <w:r>
        <w:t xml:space="preserve">, contra 1,41 no TinyStories. A implementação é validada por 78 testes de invariância e comparada ao GPT-2 em</w:t>
      </w:r>
      <w:r>
        <w:t xml:space="preserve"> </w:t>
      </w:r>
      <w:r>
        <w:rPr>
          <w:iCs/>
          <w:i/>
        </w:rPr>
        <w:t xml:space="preserve">bits</w:t>
      </w:r>
      <w:r>
        <w:t xml:space="preserve"> </w:t>
      </w:r>
      <w:r>
        <w:t xml:space="preserve">por</w:t>
      </w:r>
      <w:r>
        <w:t xml:space="preserve"> </w:t>
      </w:r>
      <w:r>
        <w:rPr>
          <w:iCs/>
          <w:i/>
        </w:rPr>
        <w:t xml:space="preserve">byte</w:t>
      </w:r>
      <w:r>
        <w:t xml:space="preserve">, métrica independente de tokenizador. Conclui-se que, sob restrição de capacidade, a curadoria da complexidade dos dados é uma alavanca de engenharia mais eficiente que o escalonamento, e que métricas de compressão não devem ser confundidas com adequação à tarefa.</w:t>
      </w:r>
    </w:p>
    <w:p>
      <w:pPr>
        <w:pStyle w:val="BodyText"/>
      </w:pPr>
      <w:r>
        <w:rPr>
          <w:bCs/>
          <w:b/>
        </w:rPr>
        <w:t xml:space="preserve">Palavras-chave:</w:t>
      </w:r>
      <w:r>
        <w:t xml:space="preserve"> </w:t>
      </w:r>
      <w:r>
        <w:t xml:space="preserve">modelos de linguagem;</w:t>
      </w:r>
      <w:r>
        <w:t xml:space="preserve"> </w:t>
      </w:r>
      <w:r>
        <w:rPr>
          <w:iCs/>
          <w:i/>
        </w:rPr>
        <w:t xml:space="preserve">Transformer</w:t>
      </w:r>
      <w:r>
        <w:t xml:space="preserve">; entropia de dados; leis de escalonamento; ablação controlada; reprodutibilidade.</w:t>
      </w:r>
    </w:p>
    <w:bookmarkEnd w:id="20"/>
    <w:bookmarkStart w:id="21" w:name="introdução"/>
    <w:p>
      <w:pPr>
        <w:pStyle w:val="Heading1"/>
      </w:pPr>
      <w:r>
        <w:t xml:space="preserve">1 Introdução</w:t>
      </w:r>
    </w:p>
    <w:p>
      <w:pPr>
        <w:pStyle w:val="FirstParagraph"/>
      </w:pPr>
      <w:r>
        <w:t xml:space="preserve">Desde a formulação do mecanismo de atenção (VASWANI et al., 2017) e sua aplicação a geração autoregressiva em larga escala (RADFORD et al., 2019), a arquitetura</w:t>
      </w:r>
      <w:r>
        <w:t xml:space="preserve"> </w:t>
      </w:r>
      <w:r>
        <w:rPr>
          <w:iCs/>
          <w:i/>
        </w:rPr>
        <w:t xml:space="preserve">Transformer</w:t>
      </w:r>
      <w:r>
        <w:t xml:space="preserve"> </w:t>
      </w:r>
      <w:r>
        <w:t xml:space="preserve">consolidou-se como substrato dominante do processamento de linguagem natural. A família LLaMA (TOUVRON et al., 2023) estabilizou um conjunto de escolhas que hoje funciona como padrão de fato — normalização sem centralização, ativação com</w:t>
      </w:r>
      <w:r>
        <w:t xml:space="preserve"> </w:t>
      </w:r>
      <w:r>
        <w:rPr>
          <w:iCs/>
          <w:i/>
        </w:rPr>
        <w:t xml:space="preserve">gating</w:t>
      </w:r>
      <w:r>
        <w:t xml:space="preserve"> </w:t>
      </w:r>
      <w:r>
        <w:t xml:space="preserve">multiplicativo, posição codificada por rotação — e que se difundiu para praticamente todos os modelos abertos subsequentes.</w:t>
      </w:r>
    </w:p>
    <w:p>
      <w:pPr>
        <w:pStyle w:val="BodyText"/>
      </w:pPr>
      <w:r>
        <w:t xml:space="preserve">A distância entre consumir um modelo pré-treinado e compreender por que cada uma dessas peças existe, no entanto, permanece grande. Bibliotecas de alto nível encapsulam decisões cuja justificativa raramente é reconstruída pelo praticante, o que produz uma forma específica de fragilidade profissional: a capacidade de configurar sem a capacidade de decidir. Reimplementar do zero é o antídoto conhecido, e existe material abundante nessa direção.</w:t>
      </w:r>
    </w:p>
    <w:p>
      <w:pPr>
        <w:pStyle w:val="BodyText"/>
      </w:pPr>
      <w:r>
        <w:t xml:space="preserve">O que é menos frequente é o passo seguinte. Materiais de reimplementação costumam encerrar-se na arquitetura funcionando, ou, quando avançam para resultados, tratam o desempenho observado como consequência direta da escala — número de parâmetros e volume de dados. Essa leitura é bem fundamentada para modelos grandes (HOFFMANN et al., 2022), e Cunha (2026), num trabalho didático de escopo próximo a este, demonstrou-a de forma direta em GPU de consumo: sobre um corpus de 25,3 milhões de</w:t>
      </w:r>
      <w:r>
        <w:t xml:space="preserve"> </w:t>
      </w:r>
      <w:r>
        <w:rPr>
          <w:iCs/>
          <w:i/>
        </w:rPr>
        <w:t xml:space="preserve">tokens</w:t>
      </w:r>
      <w:r>
        <w:t xml:space="preserve"> </w:t>
      </w:r>
      <w:r>
        <w:t xml:space="preserve">de Wikipedia técnica, um modelo de 43 milhões de parâmetros supera um de 211 milhões, e duplicar parâmetros com o corpus fixo não desloca o teto de validação. Naquele regime, o gargalo é volume de dados.</w:t>
      </w:r>
    </w:p>
    <w:p>
      <w:pPr>
        <w:pStyle w:val="BodyText"/>
      </w:pPr>
      <w:r>
        <w:t xml:space="preserve">Este trabalho parte de uma arquitetura equivalente e investiga uma questão que a leitura de escala não responde:</w:t>
      </w:r>
      <w:r>
        <w:t xml:space="preserve"> </w:t>
      </w:r>
      <w:r>
        <w:rPr>
          <w:bCs/>
          <w:b/>
        </w:rPr>
        <w:t xml:space="preserve">em regime de capacidade muito baixa, o que limita o modelo é o volume do corpus ou sua complexidade estatística?</w:t>
      </w:r>
      <w:r>
        <w:t xml:space="preserve"> </w:t>
      </w:r>
      <w:r>
        <w:t xml:space="preserve">As duas explicações são distinguíveis, porque fazem predições diferentes. A leitura de escala prevê que reduzir o volume degrade o resultado independentemente do domínio; a leitura de entropia prevê que, com o volume mantido constante, trocar o domínio por texto mais simples derrube a perda. A questão importa na prática: se a segunda explicação valer, a alavanca mais barata para um praticante com pouco</w:t>
      </w:r>
      <w:r>
        <w:t xml:space="preserve"> </w:t>
      </w:r>
      <w:r>
        <w:rPr>
          <w:iCs/>
          <w:i/>
        </w:rPr>
        <w:t xml:space="preserve">compute</w:t>
      </w:r>
      <w:r>
        <w:t xml:space="preserve"> </w:t>
      </w:r>
      <w:r>
        <w:t xml:space="preserve">é curar a complexidade dos dados, não conseguir mais dados nem mais GPU.</w:t>
      </w:r>
    </w:p>
    <w:p>
      <w:pPr>
        <w:pStyle w:val="BodyText"/>
      </w:pPr>
      <w:r>
        <w:t xml:space="preserve">As contribuições são quatro:</w:t>
      </w:r>
    </w:p>
    <w:p>
      <w:pPr>
        <w:numPr>
          <w:ilvl w:val="0"/>
          <w:numId w:val="1001"/>
        </w:numPr>
        <w:pStyle w:val="Compact"/>
      </w:pPr>
      <w:r>
        <w:t xml:space="preserve">uma reimplementação didática e verificável do caminho GPT-2 → LLaMA, organizada em duas camadas (oito</w:t>
      </w:r>
      <w:r>
        <w:t xml:space="preserve"> </w:t>
      </w:r>
      <w:r>
        <w:rPr>
          <w:iCs/>
          <w:i/>
        </w:rPr>
        <w:t xml:space="preserve">notebooks</w:t>
      </w:r>
      <w:r>
        <w:t xml:space="preserve"> </w:t>
      </w:r>
      <w:r>
        <w:t xml:space="preserve">de derivação e um pacote de produção) e validada por 78 testes de invariância (Seções 2 e 3);</w:t>
      </w:r>
    </w:p>
    <w:p>
      <w:pPr>
        <w:numPr>
          <w:ilvl w:val="0"/>
          <w:numId w:val="1001"/>
        </w:numPr>
        <w:pStyle w:val="Compact"/>
      </w:pPr>
      <w:r>
        <w:t xml:space="preserve">uma caracterização</w:t>
      </w:r>
      <w:r>
        <w:t xml:space="preserve"> </w:t>
      </w:r>
      <w:r>
        <w:rPr>
          <w:bCs/>
          <w:b/>
        </w:rPr>
        <w:t xml:space="preserve">quantitativa</w:t>
      </w:r>
      <w:r>
        <w:t xml:space="preserve"> </w:t>
      </w:r>
      <w:r>
        <w:t xml:space="preserve">da entropia de três corpora por quatro proxies mensuráveis, em substituição à afirmação qualitativa de que um corpus é</w:t>
      </w:r>
      <w:r>
        <w:t xml:space="preserve"> </w:t>
      </w:r>
      <w:r>
        <w:t xml:space="preserve">“</w:t>
      </w:r>
      <w:r>
        <w:t xml:space="preserve">mais simples</w:t>
      </w:r>
      <w:r>
        <w:t xml:space="preserve">”</w:t>
      </w:r>
      <w:r>
        <w:t xml:space="preserve"> </w:t>
      </w:r>
      <w:r>
        <w:t xml:space="preserve">que outro (Seções 3.4 e 4.1);</w:t>
      </w:r>
    </w:p>
    <w:p>
      <w:pPr>
        <w:numPr>
          <w:ilvl w:val="0"/>
          <w:numId w:val="1001"/>
        </w:numPr>
        <w:pStyle w:val="Compact"/>
      </w:pPr>
      <w:r>
        <w:t xml:space="preserve">uma</w:t>
      </w:r>
      <w:r>
        <w:t xml:space="preserve"> </w:t>
      </w:r>
      <w:r>
        <w:rPr>
          <w:bCs/>
          <w:b/>
        </w:rPr>
        <w:t xml:space="preserve">ablação controlada</w:t>
      </w:r>
      <w:r>
        <w:t xml:space="preserve"> </w:t>
      </w:r>
      <w:r>
        <w:t xml:space="preserve">que desacopla entropia de volume e atribui 84 % do efeito observado à primeira, com o volume mantido fixo (Seções 3.5 e 4.3);</w:t>
      </w:r>
    </w:p>
    <w:p>
      <w:pPr>
        <w:numPr>
          <w:ilvl w:val="0"/>
          <w:numId w:val="1001"/>
        </w:numPr>
        <w:pStyle w:val="Compact"/>
      </w:pPr>
      <w:r>
        <w:t xml:space="preserve">um</w:t>
      </w:r>
      <w:r>
        <w:t xml:space="preserve"> </w:t>
      </w:r>
      <w:r>
        <w:rPr>
          <w:iCs/>
          <w:i/>
        </w:rPr>
        <w:t xml:space="preserve">benchmark</w:t>
      </w:r>
      <w:r>
        <w:t xml:space="preserve"> </w:t>
      </w:r>
      <w:r>
        <w:t xml:space="preserve">honesto contra o GPT-2 em</w:t>
      </w:r>
      <w:r>
        <w:t xml:space="preserve"> </w:t>
      </w:r>
      <w:r>
        <w:rPr>
          <w:iCs/>
          <w:i/>
        </w:rPr>
        <w:t xml:space="preserve">bits</w:t>
      </w:r>
      <w:r>
        <w:t xml:space="preserve"> </w:t>
      </w:r>
      <w:r>
        <w:t xml:space="preserve">por</w:t>
      </w:r>
      <w:r>
        <w:t xml:space="preserve"> </w:t>
      </w:r>
      <w:r>
        <w:rPr>
          <w:iCs/>
          <w:i/>
        </w:rPr>
        <w:t xml:space="preserve">byte</w:t>
      </w:r>
      <w:r>
        <w:t xml:space="preserve">, com a distinção explícita entre capacidade de compressão e adequação à tarefa (Seções 3.8 e 4.4).</w:t>
      </w:r>
    </w:p>
    <w:p>
      <w:pPr>
        <w:pStyle w:val="FirstParagraph"/>
      </w:pPr>
      <w:r>
        <w:t xml:space="preserve">Cabe delimitar com precisão o que é derivado e o que é original. A</w:t>
      </w:r>
      <w:r>
        <w:t xml:space="preserve"> </w:t>
      </w:r>
      <w:r>
        <w:rPr>
          <w:bCs/>
          <w:b/>
        </w:rPr>
        <w:t xml:space="preserve">trilha arquitetural</w:t>
      </w:r>
      <w:r>
        <w:t xml:space="preserve"> </w:t>
      </w:r>
      <w:r>
        <w:t xml:space="preserve">aqui percorrida — partir do GPT-2 e substituir LayerNorm por RMSNorm, MLP com GELU por SwiGLU,</w:t>
      </w:r>
      <w:r>
        <w:t xml:space="preserve"> </w:t>
      </w:r>
      <w:r>
        <w:rPr>
          <w:iCs/>
          <w:i/>
        </w:rPr>
        <w:t xml:space="preserve">embeddings</w:t>
      </w:r>
      <w:r>
        <w:t xml:space="preserve"> </w:t>
      </w:r>
      <w:r>
        <w:t xml:space="preserve">posicionais somados por RoPE e geração ingênua por KV-cache, derivando cada peça componente a componente numa camada didática — segue o percurso documentado por Cunha (2026), adotado por ser o caminho canônico de modernização e por sua adequação pedagógica; a formulação de cada componente remete às fontes primárias citadas na Seção 2. O que este trabalho acrescenta é o</w:t>
      </w:r>
      <w:r>
        <w:t xml:space="preserve"> </w:t>
      </w:r>
      <w:r>
        <w:rPr>
          <w:bCs/>
          <w:b/>
        </w:rPr>
        <w:t xml:space="preserve">objeto de investigação</w:t>
      </w:r>
      <w:r>
        <w:t xml:space="preserve">: onde aquele trabalho examina a alocação de</w:t>
      </w:r>
      <w:r>
        <w:t xml:space="preserve"> </w:t>
      </w:r>
      <w:r>
        <w:rPr>
          <w:iCs/>
          <w:i/>
        </w:rPr>
        <w:t xml:space="preserve">compute</w:t>
      </w:r>
      <w:r>
        <w:t xml:space="preserve"> </w:t>
      </w:r>
      <w:r>
        <w:t xml:space="preserve">entre parâmetros e dados em GPU, este examina o papel da complexidade estatística do corpus em regime de capacidade muito menor, com instrumentação própria — os proxies de entropia da Seção 3.4, a ablação da Seção 3.5, a suíte de invariâncias da Seção 3.7 e o</w:t>
      </w:r>
      <w:r>
        <w:t xml:space="preserve"> </w:t>
      </w:r>
      <w:r>
        <w:rPr>
          <w:iCs/>
          <w:i/>
        </w:rPr>
        <w:t xml:space="preserve">benchmark</w:t>
      </w:r>
      <w:r>
        <w:t xml:space="preserve"> </w:t>
      </w:r>
      <w:r>
        <w:t xml:space="preserve">em</w:t>
      </w:r>
      <w:r>
        <w:t xml:space="preserve"> </w:t>
      </w:r>
      <w:r>
        <w:rPr>
          <w:iCs/>
          <w:i/>
        </w:rPr>
        <w:t xml:space="preserve">bits</w:t>
      </w:r>
      <w:r>
        <w:t xml:space="preserve"> </w:t>
      </w:r>
      <w:r>
        <w:t xml:space="preserve">por</w:t>
      </w:r>
      <w:r>
        <w:t xml:space="preserve"> </w:t>
      </w:r>
      <w:r>
        <w:rPr>
          <w:iCs/>
          <w:i/>
        </w:rPr>
        <w:t xml:space="preserve">byte</w:t>
      </w:r>
      <w:r>
        <w:t xml:space="preserve"> </w:t>
      </w:r>
      <w:r>
        <w:t xml:space="preserve">da Seção 3.8. Todos os resultados numéricos reportados nas Seções 4 e 5 foram medidos neste projeto, salvo onde explicitamente atribuídos.</w:t>
      </w:r>
    </w:p>
    <w:p>
      <w:pPr>
        <w:pStyle w:val="BodyText"/>
      </w:pPr>
      <w:r>
        <w:t xml:space="preserve">O escopo restringe-se ao pré-treino: não há ajuste fino supervisionado, alinhamento, quantização nem arquiteturas alternativas. Todo o treino reportado rodou em CPU, o que fixa o</w:t>
      </w:r>
      <w:r>
        <w:t xml:space="preserve"> </w:t>
      </w:r>
      <w:r>
        <w:rPr>
          <w:iCs/>
          <w:i/>
        </w:rPr>
        <w:t xml:space="preserve">preset</w:t>
      </w:r>
      <w:r>
        <w:t xml:space="preserve"> </w:t>
      </w:r>
      <w:r>
        <w:t xml:space="preserve">menor e é, deliberadamente, a condição de contorno que torna a pergunta sobre entropia relevante.</w:t>
      </w:r>
    </w:p>
    <w:bookmarkEnd w:id="21"/>
    <w:bookmarkStart w:id="41" w:name="fundamentação-teórica"/>
    <w:p>
      <w:pPr>
        <w:pStyle w:val="Heading1"/>
      </w:pPr>
      <w:r>
        <w:t xml:space="preserve">2 Fundamentação teórica</w:t>
      </w:r>
    </w:p>
    <w:p>
      <w:pPr>
        <w:pStyle w:val="FirstParagraph"/>
      </w:pPr>
      <w:r>
        <w:t xml:space="preserve">Esta seção organiza a arquitetura por</w:t>
      </w:r>
      <w:r>
        <w:t xml:space="preserve"> </w:t>
      </w:r>
      <w:r>
        <w:rPr>
          <w:bCs/>
          <w:b/>
        </w:rPr>
        <w:t xml:space="preserve">problema resolvido</w:t>
      </w:r>
      <w:r>
        <w:t xml:space="preserve">, e não componente a componente. A razão é que os quatro elementos que distinguem o padrão LLaMA do GPT-2 não formam uma lista arbitrária: cada um responde a uma pressão de projeto distinta — estabilidade de sinal em profundidade, capacidade por parâmetro, representação de posição e custo de inferência. Ler a arquitetura por essas pressões explica não apenas o que cada peça faz, mas por que a alternativa foi abandonada. A Seção 2.8 fecha com a formalização que sustenta a hipótese experimental do trabalho.</w:t>
      </w:r>
    </w:p>
    <w:bookmarkStart w:id="23" w:name="Xf5aba86bd3f66d524174fc6e110273514ee8a6e"/>
    <w:p>
      <w:pPr>
        <w:pStyle w:val="Heading2"/>
      </w:pPr>
      <w:r>
        <w:t xml:space="preserve">2.1 O que o modelo calcula: fatoração autoregressiva</w:t>
      </w:r>
    </w:p>
    <w:p>
      <w:pPr>
        <w:pStyle w:val="FirstParagraph"/>
      </w:pPr>
      <w:r>
        <w:t xml:space="preserve">Modelar linguagem é atribuir probabilidade a sequências. A regra da cadeia fatora a probabilidade conjunta de uma sequência de</w:t>
      </w:r>
      <w:r>
        <w:t xml:space="preserve"> </w:t>
      </w:r>
      <w:r>
        <w:rPr>
          <w:iCs/>
          <w:i/>
        </w:rPr>
        <w:t xml:space="preserve">tokens</w:t>
      </w:r>
      <w:r>
        <w:t xml:space="preserve"> </w:t>
      </w:r>
      <m:oMath>
        <m:sSub>
          <m:e>
            <m:r>
              <m:t>x</m:t>
            </m:r>
          </m:e>
          <m:sub>
            <m:r>
              <m:t>1</m:t>
            </m:r>
          </m:sub>
        </m:sSub>
        <m:r>
          <m:rPr>
            <m:sty m:val="p"/>
          </m:rPr>
          <m:t>,</m:t>
        </m:r>
        <m:r>
          <m:rPr>
            <m:sty m:val="p"/>
          </m:rPr>
          <m:t>…</m:t>
        </m:r>
        <m:r>
          <m:rPr>
            <m:sty m:val="p"/>
          </m:rPr>
          <m:t>,</m:t>
        </m:r>
        <m:sSub>
          <m:e>
            <m:r>
              <m:t>x</m:t>
            </m:r>
          </m:e>
          <m:sub>
            <m:r>
              <m:t>T</m:t>
            </m:r>
          </m:sub>
        </m:sSub>
      </m:oMath>
      <w:r>
        <w:t xml:space="preserve"> </w:t>
      </w:r>
      <w:r>
        <w:t xml:space="preserve">em um produto de condicionais sobre o prefixo:</w:t>
      </w:r>
    </w:p>
    <w:p>
      <w:pPr>
        <w:pStyle w:val="BodyText"/>
      </w:pPr>
      <m:oMathPara>
        <m:oMathParaPr>
          <m:jc m:val="center"/>
        </m:oMathParaPr>
        <m:oMath>
          <m:r>
            <m:t>P</m:t>
          </m:r>
          <m:r>
            <m:rPr>
              <m:sty m:val="p"/>
            </m:rPr>
            <m:t>(</m:t>
          </m:r>
          <m:sSub>
            <m:e>
              <m:r>
                <m:t>x</m:t>
              </m:r>
            </m:e>
            <m:sub>
              <m:r>
                <m:t>1</m:t>
              </m:r>
            </m:sub>
          </m:sSub>
          <m:r>
            <m:rPr>
              <m:sty m:val="p"/>
            </m:rPr>
            <m:t>,</m:t>
          </m:r>
          <m:r>
            <m:rPr>
              <m:sty m:val="p"/>
            </m:rPr>
            <m:t>…</m:t>
          </m:r>
          <m:r>
            <m:rPr>
              <m:sty m:val="p"/>
            </m:rPr>
            <m:t>,</m:t>
          </m:r>
          <m:sSub>
            <m:e>
              <m:r>
                <m:t>x</m:t>
              </m:r>
            </m:e>
            <m:sub>
              <m:r>
                <m:t>T</m:t>
              </m:r>
            </m:sub>
          </m:sSub>
          <m:r>
            <m:rPr>
              <m:sty m:val="p"/>
            </m:rPr>
            <m:t>)</m:t>
          </m:r>
          <m:r>
            <m:rPr>
              <m:sty m:val="p"/>
            </m:rPr>
            <m:t>=</m:t>
          </m:r>
          <m:nary>
            <m:naryPr>
              <m:chr m:val="∏"/>
              <m:limLoc m:val="undOvr"/>
              <m:subHide m:val="0"/>
              <m:supHide m:val="0"/>
            </m:naryPr>
            <m:sub>
              <m:r>
                <m:t>t</m:t>
              </m:r>
              <m:r>
                <m:rPr>
                  <m:sty m:val="p"/>
                </m:rPr>
                <m:t>=</m:t>
              </m:r>
              <m:r>
                <m:t>1</m:t>
              </m:r>
            </m:sub>
            <m:sup>
              <m:r>
                <m:t>T</m:t>
              </m:r>
            </m:sup>
            <m:e>
              <m:r>
                <m:t>P</m:t>
              </m:r>
            </m:e>
          </m:nary>
          <m:r>
            <m:rPr>
              <m:sty m:val="p"/>
            </m:rPr>
            <m:t>(</m:t>
          </m:r>
          <m:sSub>
            <m:e>
              <m:r>
                <m:t>x</m:t>
              </m:r>
            </m:e>
            <m:sub>
              <m:r>
                <m:t>t</m:t>
              </m:r>
            </m:sub>
          </m:sSub>
          <m:r>
            <m:rPr>
              <m:sty m:val="p"/>
            </m:rPr>
            <m:t>∣</m:t>
          </m:r>
          <m:sSub>
            <m:e>
              <m:r>
                <m:t>x</m:t>
              </m:r>
            </m:e>
            <m:sub>
              <m:r>
                <m:rPr>
                  <m:sty m:val="p"/>
                </m:rPr>
                <m:t>&lt;</m:t>
              </m:r>
              <m:r>
                <m:t>t</m:t>
              </m:r>
            </m:sub>
          </m:sSub>
          <m:r>
            <m:rPr>
              <m:sty m:val="p"/>
            </m:rPr>
            <m:t>)</m:t>
          </m:r>
          <m:r>
            <m:rPr>
              <m:sty m:val="p"/>
            </m:rPr>
            <m:t>.</m:t>
          </m:r>
        </m:oMath>
      </m:oMathPara>
    </w:p>
    <w:p>
      <w:pPr>
        <w:pStyle w:val="FirstParagraph"/>
      </w:pPr>
      <w:r>
        <w:t xml:space="preserve">Essa fatoração é exata e não impõe restrição alguma; o que ela faz é converter um problema intratável — estimar uma distribuição sobre todas as sequências possíveis — em</w:t>
      </w:r>
      <w:r>
        <w:t xml:space="preserve"> </w:t>
      </w:r>
      <m:oMath>
        <m:r>
          <m:t>T</m:t>
        </m:r>
      </m:oMath>
      <w:r>
        <w:t xml:space="preserve"> </w:t>
      </w:r>
      <w:r>
        <w:t xml:space="preserve">problemas de classificação sobre o vocabulário. Um modelo autoregressivo é, então, um estimador paramétrico</w:t>
      </w:r>
      <w:r>
        <w:t xml:space="preserve"> </w:t>
      </w:r>
      <m:oMath>
        <m:sSub>
          <m:e>
            <m:r>
              <m:t>q</m:t>
            </m:r>
          </m:e>
          <m:sub>
            <m:r>
              <m:t>θ</m:t>
            </m:r>
          </m:sub>
        </m:sSub>
        <m:r>
          <m:rPr>
            <m:sty m:val="p"/>
          </m:rPr>
          <m:t>(</m:t>
        </m:r>
        <m:sSub>
          <m:e>
            <m:r>
              <m:t>x</m:t>
            </m:r>
          </m:e>
          <m:sub>
            <m:r>
              <m:t>t</m:t>
            </m:r>
          </m:sub>
        </m:sSub>
        <m:r>
          <m:rPr>
            <m:sty m:val="p"/>
          </m:rPr>
          <m:t>∣</m:t>
        </m:r>
        <m:sSub>
          <m:e>
            <m:r>
              <m:t>x</m:t>
            </m:r>
          </m:e>
          <m:sub>
            <m:r>
              <m:rPr>
                <m:sty m:val="p"/>
              </m:rPr>
              <m:t>&lt;</m:t>
            </m:r>
            <m:r>
              <m:t>t</m:t>
            </m:r>
          </m:sub>
        </m:sSub>
        <m:r>
          <m:rPr>
            <m:sty m:val="p"/>
          </m:rPr>
          <m:t>)</m:t>
        </m:r>
      </m:oMath>
      <w:r>
        <w:t xml:space="preserve"> </w:t>
      </w:r>
      <w:r>
        <w:t xml:space="preserve">de um único condicional, aplicado repetidamente.</w:t>
      </w:r>
    </w:p>
    <w:p>
      <w:pPr>
        <w:pStyle w:val="BodyText"/>
      </w:pPr>
      <w:r>
        <w:t xml:space="preserve">A consequência prática de escolher essa fatoração é que o objetivo de treino fica determinado. Maximizar a verossimilhança do corpus sob o modelo equivale a minimizar a entropia cruzada média por posição,</w:t>
      </w:r>
    </w:p>
    <w:p>
      <w:pPr>
        <w:pStyle w:val="BodyText"/>
      </w:pPr>
      <m:oMathPara>
        <m:oMathParaPr>
          <m:jc m:val="center"/>
        </m:oMathParaPr>
        <m:oMath>
          <m:r>
            <m:rPr>
              <m:sty m:val="p"/>
              <m:scr m:val="script"/>
            </m:rPr>
            <m:t>L</m:t>
          </m:r>
          <m:r>
            <m:rPr>
              <m:sty m:val="p"/>
            </m:rPr>
            <m:t>(</m:t>
          </m:r>
          <m:r>
            <m:t>θ</m:t>
          </m:r>
          <m:r>
            <m:rPr>
              <m:sty m:val="p"/>
            </m:rPr>
            <m:t>)</m:t>
          </m:r>
          <m:r>
            <m:rPr>
              <m:sty m:val="p"/>
            </m:rPr>
            <m:t>=</m:t>
          </m:r>
          <m:r>
            <m:rPr>
              <m:sty m:val="p"/>
            </m:rPr>
            <m:t>−</m:t>
          </m:r>
          <m:f>
            <m:fPr>
              <m:type m:val="bar"/>
            </m:fPr>
            <m:num>
              <m:r>
                <m:t>1</m:t>
              </m:r>
            </m:num>
            <m:den>
              <m:r>
                <m:t>B</m:t>
              </m:r>
              <m:r>
                <m:t>T</m:t>
              </m:r>
            </m:den>
          </m:f>
          <m:nary>
            <m:naryPr>
              <m:chr m:val="∑"/>
              <m:limLoc m:val="undOvr"/>
              <m:subHide m:val="0"/>
              <m:supHide m:val="0"/>
            </m:naryPr>
            <m:sub>
              <m:r>
                <m:t>b</m:t>
              </m:r>
              <m:r>
                <m:rPr>
                  <m:sty m:val="p"/>
                </m:rPr>
                <m:t>=</m:t>
              </m:r>
              <m:r>
                <m:t>1</m:t>
              </m:r>
            </m:sub>
            <m:sup>
              <m:r>
                <m:t>B</m:t>
              </m:r>
            </m:sup>
            <m:e>
              <m:nary>
                <m:naryPr>
                  <m:chr m:val="∑"/>
                  <m:limLoc m:val="undOvr"/>
                  <m:subHide m:val="0"/>
                  <m:supHide m:val="0"/>
                </m:naryPr>
                <m:sub>
                  <m:r>
                    <m:t>t</m:t>
                  </m:r>
                  <m:r>
                    <m:rPr>
                      <m:sty m:val="p"/>
                    </m:rPr>
                    <m:t>=</m:t>
                  </m:r>
                  <m:r>
                    <m:t>1</m:t>
                  </m:r>
                </m:sub>
                <m:sup>
                  <m:r>
                    <m:t>T</m:t>
                  </m:r>
                </m:sup>
                <m:e>
                  <m:r>
                    <m:rPr>
                      <m:nor/>
                      <m:sty m:val="p"/>
                    </m:rPr>
                    <m:t>log</m:t>
                  </m:r>
                </m:e>
              </m:nary>
            </m:e>
          </m:nary>
          <m:sSub>
            <m:e>
              <m:r>
                <m:t>q</m:t>
              </m:r>
            </m:e>
            <m:sub>
              <m:r>
                <m:t>θ</m:t>
              </m:r>
            </m:sub>
          </m:sSub>
          <m:d>
            <m:dPr>
              <m:begChr m:val="("/>
              <m:endChr m:val=")"/>
              <m:grow/>
            </m:dPr>
            <m:e>
              <m:sSubSup>
                <m:e>
                  <m:r>
                    <m:t>x</m:t>
                  </m:r>
                </m:e>
                <m:sub>
                  <m:r>
                    <m:t>t</m:t>
                  </m:r>
                </m:sub>
                <m:sup>
                  <m:r>
                    <m:rPr>
                      <m:sty m:val="p"/>
                    </m:rPr>
                    <m:t>(</m:t>
                  </m:r>
                  <m:r>
                    <m:t>b</m:t>
                  </m:r>
                  <m:r>
                    <m:rPr>
                      <m:sty m:val="p"/>
                    </m:rPr>
                    <m:t>)</m:t>
                  </m:r>
                </m:sup>
              </m:sSubSup>
              <m:r>
                <m:rPr>
                  <m:sty m:val="p"/>
                </m:rPr>
                <m:t>∣</m:t>
              </m:r>
              <m:sSubSup>
                <m:e>
                  <m:r>
                    <m:t>x</m:t>
                  </m:r>
                </m:e>
                <m:sub>
                  <m:r>
                    <m:rPr>
                      <m:sty m:val="p"/>
                    </m:rPr>
                    <m:t>&lt;</m:t>
                  </m:r>
                  <m:r>
                    <m:t>t</m:t>
                  </m:r>
                </m:sub>
                <m:sup>
                  <m:r>
                    <m:rPr>
                      <m:sty m:val="p"/>
                    </m:rPr>
                    <m:t>(</m:t>
                  </m:r>
                  <m:r>
                    <m:t>b</m:t>
                  </m:r>
                  <m:r>
                    <m:rPr>
                      <m:sty m:val="p"/>
                    </m:rPr>
                    <m:t>)</m:t>
                  </m:r>
                </m:sup>
              </m:sSubSup>
            </m:e>
          </m:d>
          <m:r>
            <m:rPr>
              <m:sty m:val="p"/>
            </m:rPr>
            <m:t>,</m:t>
          </m:r>
        </m:oMath>
      </m:oMathPara>
    </w:p>
    <w:p>
      <w:pPr>
        <w:pStyle w:val="FirstParagraph"/>
      </w:pPr>
      <w:r>
        <w:t xml:space="preserve">e a máscara causal (Seção 2.3) garante que todas as</w:t>
      </w:r>
      <w:r>
        <w:t xml:space="preserve"> </w:t>
      </w:r>
      <m:oMath>
        <m:r>
          <m:t>T</m:t>
        </m:r>
      </m:oMath>
      <w:r>
        <w:t xml:space="preserve"> </w:t>
      </w:r>
      <w:r>
        <w:t xml:space="preserve">posições de uma sequência contribuam simultaneamente. É por isso que uma janela de</w:t>
      </w:r>
      <w:r>
        <w:t xml:space="preserve"> </w:t>
      </w:r>
      <m:oMath>
        <m:r>
          <m:t>T</m:t>
        </m:r>
      </m:oMath>
      <w:r>
        <w:t xml:space="preserve"> </w:t>
      </w:r>
      <w:r>
        <w:rPr>
          <w:iCs/>
          <w:i/>
        </w:rPr>
        <w:t xml:space="preserve">tokens</w:t>
      </w:r>
      <w:r>
        <w:t xml:space="preserve"> </w:t>
      </w:r>
      <w:r>
        <w:t xml:space="preserve">rende</w:t>
      </w:r>
      <w:r>
        <w:t xml:space="preserve"> </w:t>
      </w:r>
      <m:oMath>
        <m:r>
          <m:t>T</m:t>
        </m:r>
      </m:oMath>
      <w:r>
        <w:t xml:space="preserve"> </w:t>
      </w:r>
      <w:r>
        <w:t xml:space="preserve">exemplos de treino, e não um: o ganho de eficiência do pré-treino autoregressivo vem inteiramente dessa propriedade.</w:t>
      </w:r>
    </w:p>
    <w:p>
      <w:pPr>
        <w:pStyle w:val="BodyText"/>
      </w:pPr>
      <w:r>
        <w:t xml:space="preserve">Na geração, a rede emite</w:t>
      </w:r>
      <w:r>
        <w:t xml:space="preserve"> </w:t>
      </w:r>
      <m:oMath>
        <m:r>
          <m:rPr>
            <m:sty m:val="b"/>
          </m:rPr>
          <m:t>z</m:t>
        </m:r>
      </m:oMath>
      <w:r>
        <w:t xml:space="preserve">, um vetor de</w:t>
      </w:r>
      <w:r>
        <w:t xml:space="preserve"> </w:t>
      </w:r>
      <w:r>
        <w:rPr>
          <w:iCs/>
          <w:i/>
        </w:rPr>
        <w:t xml:space="preserve">logits</w:t>
      </w:r>
      <w:r>
        <w:t xml:space="preserve"> </w:t>
      </w:r>
      <w:r>
        <w:t xml:space="preserve">por posição, convertido em distribuição por um</w:t>
      </w:r>
      <w:r>
        <w:t xml:space="preserve"> </w:t>
      </w:r>
      <w:r>
        <w:rPr>
          <w:iCs/>
          <w:i/>
        </w:rPr>
        <w:t xml:space="preserve">softmax</w:t>
      </w:r>
      <w:r>
        <w:t xml:space="preserve"> </w:t>
      </w:r>
      <w:r>
        <w:t xml:space="preserve">com temperatura</w:t>
      </w:r>
      <w:r>
        <w:t xml:space="preserve"> </w:t>
      </w:r>
      <m:oMath>
        <m:r>
          <m:t>τ</m:t>
        </m:r>
      </m:oMath>
      <w:r>
        <w:t xml:space="preserve">:</w:t>
      </w:r>
    </w:p>
    <w:p>
      <w:pPr>
        <w:pStyle w:val="BodyText"/>
      </w:pPr>
      <m:oMathPara>
        <m:oMathParaPr>
          <m:jc m:val="center"/>
        </m:oMathParaPr>
        <m:oMath>
          <m:sSub>
            <m:e>
              <m:r>
                <m:t>p</m:t>
              </m:r>
            </m:e>
            <m:sub>
              <m:r>
                <m:t>i</m:t>
              </m:r>
            </m:sub>
          </m:sSub>
          <m:r>
            <m:rPr>
              <m:sty m:val="p"/>
            </m:rPr>
            <m:t>=</m:t>
          </m:r>
          <m:f>
            <m:fPr>
              <m:type m:val="bar"/>
            </m:fPr>
            <m:num>
              <m:r>
                <m:rPr>
                  <m:nor/>
                  <m:sty m:val="p"/>
                </m:rPr>
                <m:t>exp</m:t>
              </m:r>
              <m:r>
                <m:rPr>
                  <m:sty m:val="p"/>
                </m:rPr>
                <m:t>(</m:t>
              </m:r>
              <m:sSub>
                <m:e>
                  <m:r>
                    <m:t>z</m:t>
                  </m:r>
                </m:e>
                <m:sub>
                  <m:r>
                    <m:t>i</m:t>
                  </m:r>
                </m:sub>
              </m:sSub>
              <m:r>
                <m:rPr>
                  <m:sty m:val="p"/>
                </m:rPr>
                <m:t>/</m:t>
              </m:r>
              <m:r>
                <m:t>τ</m:t>
              </m:r>
              <m:r>
                <m:rPr>
                  <m:sty m:val="p"/>
                </m:rPr>
                <m:t>)</m:t>
              </m:r>
            </m:num>
            <m:den>
              <m:nary>
                <m:naryPr>
                  <m:chr m:val="∑"/>
                  <m:limLoc m:val="undOvr"/>
                  <m:subHide m:val="0"/>
                  <m:supHide m:val="1"/>
                </m:naryPr>
                <m:sub>
                  <m:r>
                    <m:t>j</m:t>
                  </m:r>
                </m:sub>
                <m:sup>
                  <m:r>
                    <m:t>​</m:t>
                  </m:r>
                </m:sup>
                <m:e>
                  <m:r>
                    <m:rPr>
                      <m:nor/>
                      <m:sty m:val="p"/>
                    </m:rPr>
                    <m:t>exp</m:t>
                  </m:r>
                </m:e>
              </m:nary>
              <m:r>
                <m:rPr>
                  <m:sty m:val="p"/>
                </m:rPr>
                <m:t>(</m:t>
              </m:r>
              <m:sSub>
                <m:e>
                  <m:r>
                    <m:t>z</m:t>
                  </m:r>
                </m:e>
                <m:sub>
                  <m:r>
                    <m:t>j</m:t>
                  </m:r>
                </m:sub>
              </m:sSub>
              <m:r>
                <m:rPr>
                  <m:sty m:val="p"/>
                </m:rPr>
                <m:t>/</m:t>
              </m:r>
              <m:r>
                <m:t>τ</m:t>
              </m:r>
              <m:r>
                <m:rPr>
                  <m:sty m:val="p"/>
                </m:rPr>
                <m:t>)</m:t>
              </m:r>
            </m:den>
          </m:f>
          <m:r>
            <m:rPr>
              <m:sty m:val="p"/>
            </m:rPr>
            <m:t>.</m:t>
          </m:r>
        </m:oMath>
      </m:oMathPara>
    </w:p>
    <w:p>
      <w:pPr>
        <w:pStyle w:val="FirstParagraph"/>
      </w:pPr>
      <w:r>
        <w:t xml:space="preserve">A temperatura não altera a ordenação dos</w:t>
      </w:r>
      <w:r>
        <w:t xml:space="preserve"> </w:t>
      </w:r>
      <w:r>
        <w:rPr>
          <w:iCs/>
          <w:i/>
        </w:rPr>
        <w:t xml:space="preserve">logits</w:t>
      </w:r>
      <w:r>
        <w:t xml:space="preserve">, apenas a concentração da massa. Valores baixos aproximam a amostragem do</w:t>
      </w:r>
      <w:r>
        <w:t xml:space="preserve"> </w:t>
      </w:r>
      <m:oMath>
        <m:r>
          <m:rPr>
            <m:nor/>
            <m:sty m:val="p"/>
          </m:rPr>
          <m:t>arg</m:t>
        </m:r>
        <m:r>
          <m:rPr>
            <m:nor/>
            <m:sty m:val="p"/>
          </m:rPr>
          <m:t>max</m:t>
        </m:r>
      </m:oMath>
      <w:r>
        <w:t xml:space="preserve">, produzindo texto determinístico e repetitivo; valores altos aproximam a distribuição da uniforme, aumentando diversidade e risco de incoerência (Figura 1). Esse parâmetro é relevante para este trabalho porque separa duas coisas frequentemente confundidas na avaliação: a qualidade do modelo probabilístico, que a entropia cruzada mede, e a qualidade do texto amostrado, que depende também da estratégia de decodificação.</w:t>
      </w:r>
    </w:p>
    <w:p>
      <w:pPr>
        <w:pStyle w:val="CaptionedFigure"/>
      </w:pPr>
      <w:r>
        <w:drawing>
          <wp:inline>
            <wp:extent cx="5334000" cy="1557586"/>
            <wp:effectExtent b="0" l="0" r="0" t="0"/>
            <wp:docPr descr="Figura 1" title="" id="1" name="Picture"/>
            <a:graphic>
              <a:graphicData uri="http://schemas.openxmlformats.org/drawingml/2006/picture">
                <pic:pic>
                  <pic:nvPicPr>
                    <pic:cNvPr descr="media/rId23.png" id="0" name="Picture"/>
                    <pic:cNvPicPr>
                      <a:picLocks noChangeArrowheads="1" noChangeAspect="1"/>
                    </pic:cNvPicPr>
                  </pic:nvPicPr>
                  <pic:blipFill>
                    <a:blip r:embed="rId22"/>
                    <a:stretch>
                      <a:fillRect/>
                    </a:stretch>
                  </pic:blipFill>
                  <pic:spPr bwMode="auto">
                    <a:xfrm>
                      <a:off x="0" y="0"/>
                      <a:ext cx="5334000" cy="1557586"/>
                    </a:xfrm>
                    <a:prstGeom prst="rect">
                      <a:avLst/>
                    </a:prstGeom>
                    <a:noFill/>
                    <a:ln w="9525">
                      <a:noFill/>
                      <a:headEnd/>
                      <a:tailEnd/>
                    </a:ln>
                  </pic:spPr>
                </pic:pic>
              </a:graphicData>
            </a:graphic>
          </wp:inline>
        </w:drawing>
      </w:r>
    </w:p>
    <w:p>
      <w:pPr>
        <w:pStyle w:val="ImageCaption"/>
      </w:pPr>
      <w:r>
        <w:t xml:space="preserve">Figura 1</w:t>
      </w:r>
    </w:p>
    <w:p>
      <w:pPr>
        <w:pStyle w:val="BodyText"/>
      </w:pPr>
      <w:r>
        <w:t xml:space="preserve">Figura 1 – A mesma distribuição de</w:t>
      </w:r>
      <w:r>
        <w:t xml:space="preserve"> </w:t>
      </w:r>
      <w:r>
        <w:rPr>
          <w:iCs/>
          <w:i/>
        </w:rPr>
        <w:t xml:space="preserve">logits</w:t>
      </w:r>
      <w:r>
        <w:t xml:space="preserve"> </w:t>
      </w:r>
      <w:r>
        <w:t xml:space="preserve">sob três temperaturas.</w:t>
      </w:r>
      <w:r>
        <w:t xml:space="preserve"> </w:t>
      </w:r>
      <m:oMath>
        <m:r>
          <m:t>τ</m:t>
        </m:r>
        <m:r>
          <m:rPr>
            <m:sty m:val="p"/>
          </m:rPr>
          <m:t>=</m:t>
        </m:r>
        <m:r>
          <m:t>0</m:t>
        </m:r>
        <m:r>
          <m:rPr>
            <m:sty m:val="p"/>
          </m:rPr>
          <m:t>,</m:t>
        </m:r>
        <m:r>
          <m:t>2</m:t>
        </m:r>
      </m:oMath>
      <w:r>
        <w:t xml:space="preserve"> </w:t>
      </w:r>
      <w:r>
        <w:t xml:space="preserve">concentra quase toda a massa no</w:t>
      </w:r>
      <w:r>
        <w:t xml:space="preserve"> </w:t>
      </w:r>
      <w:r>
        <w:rPr>
          <w:iCs/>
          <w:i/>
        </w:rPr>
        <w:t xml:space="preserve">token</w:t>
      </w:r>
      <w:r>
        <w:t xml:space="preserve"> </w:t>
      </w:r>
      <w:r>
        <w:t xml:space="preserve">mais provável;</w:t>
      </w:r>
      <w:r>
        <w:t xml:space="preserve"> </w:t>
      </w:r>
      <m:oMath>
        <m:r>
          <m:t>τ</m:t>
        </m:r>
        <m:r>
          <m:rPr>
            <m:sty m:val="p"/>
          </m:rPr>
          <m:t>=</m:t>
        </m:r>
        <m:r>
          <m:t>3</m:t>
        </m:r>
        <m:r>
          <m:rPr>
            <m:sty m:val="p"/>
          </m:rPr>
          <m:t>,</m:t>
        </m:r>
        <m:r>
          <m:t>0</m:t>
        </m:r>
      </m:oMath>
      <w:r>
        <w:t xml:space="preserve"> </w:t>
      </w:r>
      <w:r>
        <w:t xml:space="preserve">aproxima-se da uniforme. Fonte: elaborada pelo autor a partir dos</w:t>
      </w:r>
      <w:r>
        <w:t xml:space="preserve"> </w:t>
      </w:r>
      <w:r>
        <w:rPr>
          <w:iCs/>
          <w:i/>
        </w:rPr>
        <w:t xml:space="preserve">notebooks</w:t>
      </w:r>
      <w:r>
        <w:t xml:space="preserve"> </w:t>
      </w:r>
      <w:r>
        <w:t xml:space="preserve">do projeto (2026).</w:t>
      </w:r>
    </w:p>
    <w:bookmarkEnd w:id="23"/>
    <w:bookmarkStart w:id="26" w:name="X1ed8be5cc69f24754d381b8a0ca61ab7a7c790d"/>
    <w:p>
      <w:pPr>
        <w:pStyle w:val="Heading2"/>
      </w:pPr>
      <w:r>
        <w:t xml:space="preserve">2.2 Do</w:t>
      </w:r>
      <w:r>
        <w:t xml:space="preserve"> </w:t>
      </w:r>
      <w:r>
        <w:rPr>
          <w:iCs/>
          <w:i/>
        </w:rPr>
        <w:t xml:space="preserve">byte</w:t>
      </w:r>
      <w:r>
        <w:t xml:space="preserve"> </w:t>
      </w:r>
      <w:r>
        <w:t xml:space="preserve">ao vetor: tokenização e o custo do vocabulário</w:t>
      </w:r>
    </w:p>
    <w:p>
      <w:pPr>
        <w:pStyle w:val="FirstParagraph"/>
      </w:pPr>
      <w:r>
        <w:t xml:space="preserve">O condicional da Seção 2.1 é definido sobre um alfabeto discreto, e escolher esse alfabeto é a primeira decisão de projeto. Operar sobre</w:t>
      </w:r>
      <w:r>
        <w:t xml:space="preserve"> </w:t>
      </w:r>
      <w:r>
        <w:rPr>
          <w:iCs/>
          <w:i/>
        </w:rPr>
        <w:t xml:space="preserve">bytes</w:t>
      </w:r>
      <w:r>
        <w:t xml:space="preserve"> </w:t>
      </w:r>
      <w:r>
        <w:t xml:space="preserve">elimina qualquer possibilidade de</w:t>
      </w:r>
      <w:r>
        <w:t xml:space="preserve"> </w:t>
      </w:r>
      <w:r>
        <w:rPr>
          <w:iCs/>
          <w:i/>
        </w:rPr>
        <w:t xml:space="preserve">token</w:t>
      </w:r>
      <w:r>
        <w:t xml:space="preserve"> </w:t>
      </w:r>
      <w:r>
        <w:t xml:space="preserve">desconhecido, mas produz sequências longas: como o custo da atenção é quadrático no comprimento do contexto, um alfabeto pequeno demais desperdiça janela. Operar sobre palavras encurta as sequências, mas reintroduz o problema de vocabulário aberto.</w:t>
      </w:r>
    </w:p>
    <w:p>
      <w:pPr>
        <w:pStyle w:val="BodyText"/>
      </w:pPr>
      <w:r>
        <w:t xml:space="preserve">O</w:t>
      </w:r>
      <w:r>
        <w:t xml:space="preserve"> </w:t>
      </w:r>
      <w:r>
        <w:rPr>
          <w:iCs/>
          <w:i/>
        </w:rPr>
        <w:t xml:space="preserve">Byte-Pair Encoding</w:t>
      </w:r>
      <w:r>
        <w:t xml:space="preserve"> </w:t>
      </w:r>
      <w:r>
        <w:t xml:space="preserve">em nível de</w:t>
      </w:r>
      <w:r>
        <w:t xml:space="preserve"> </w:t>
      </w:r>
      <w:r>
        <w:rPr>
          <w:iCs/>
          <w:i/>
        </w:rPr>
        <w:t xml:space="preserve">byte</w:t>
      </w:r>
      <w:r>
        <w:t xml:space="preserve"> </w:t>
      </w:r>
      <w:r>
        <w:t xml:space="preserve">(SENNRICH et al., 2016) resolve o dilema por compromisso: parte dos 256</w:t>
      </w:r>
      <w:r>
        <w:t xml:space="preserve"> </w:t>
      </w:r>
      <w:r>
        <w:rPr>
          <w:iCs/>
          <w:i/>
        </w:rPr>
        <w:t xml:space="preserve">bytes</w:t>
      </w:r>
      <w:r>
        <w:t xml:space="preserve"> </w:t>
      </w:r>
      <w:r>
        <w:t xml:space="preserve">— o que garante cobertura total — e funde iterativamente o par adjacente mais frequente, aprendendo unidades de subpalavra a partir da estatística do corpus. Duas consequências mensuráveis (Figura 2): a compressão, em</w:t>
      </w:r>
      <w:r>
        <w:t xml:space="preserve"> </w:t>
      </w:r>
      <w:r>
        <w:rPr>
          <w:iCs/>
          <w:i/>
        </w:rPr>
        <w:t xml:space="preserve">bytes</w:t>
      </w:r>
      <w:r>
        <w:t xml:space="preserve"> </w:t>
      </w:r>
      <w:r>
        <w:t xml:space="preserve">por</w:t>
      </w:r>
      <w:r>
        <w:t xml:space="preserve"> </w:t>
      </w:r>
      <w:r>
        <w:rPr>
          <w:iCs/>
          <w:i/>
        </w:rPr>
        <w:t xml:space="preserve">token</w:t>
      </w:r>
      <w:r>
        <w:t xml:space="preserve">, cresce com o número de fusões e satura; e a fragmentação torna-se desigual, com palavras frequentes ocupando um único</w:t>
      </w:r>
      <w:r>
        <w:t xml:space="preserve"> </w:t>
      </w:r>
      <w:r>
        <w:rPr>
          <w:iCs/>
          <w:i/>
        </w:rPr>
        <w:t xml:space="preserve">token</w:t>
      </w:r>
      <w:r>
        <w:t xml:space="preserve"> </w:t>
      </w:r>
      <w:r>
        <w:t xml:space="preserve">e termos raros dividindo-se em vários.</w:t>
      </w:r>
    </w:p>
    <w:p>
      <w:pPr>
        <w:pStyle w:val="CaptionedFigure"/>
      </w:pPr>
      <w:r>
        <w:drawing>
          <wp:inline>
            <wp:extent cx="5334000" cy="1910247"/>
            <wp:effectExtent b="0" l="0" r="0" t="0"/>
            <wp:docPr descr="Figura 2" title="" id="1" name="Picture"/>
            <a:graphic>
              <a:graphicData uri="http://schemas.openxmlformats.org/drawingml/2006/picture">
                <pic:pic>
                  <pic:nvPicPr>
                    <pic:cNvPr descr="media/rId25.png" id="0" name="Picture"/>
                    <pic:cNvPicPr>
                      <a:picLocks noChangeArrowheads="1" noChangeAspect="1"/>
                    </pic:cNvPicPr>
                  </pic:nvPicPr>
                  <pic:blipFill>
                    <a:blip r:embed="rId24"/>
                    <a:stretch>
                      <a:fillRect/>
                    </a:stretch>
                  </pic:blipFill>
                  <pic:spPr bwMode="auto">
                    <a:xfrm>
                      <a:off x="0" y="0"/>
                      <a:ext cx="5334000" cy="1910247"/>
                    </a:xfrm>
                    <a:prstGeom prst="rect">
                      <a:avLst/>
                    </a:prstGeom>
                    <a:noFill/>
                    <a:ln w="9525">
                      <a:noFill/>
                      <a:headEnd/>
                      <a:tailEnd/>
                    </a:ln>
                  </pic:spPr>
                </pic:pic>
              </a:graphicData>
            </a:graphic>
          </wp:inline>
        </w:drawing>
      </w:r>
    </w:p>
    <w:p>
      <w:pPr>
        <w:pStyle w:val="ImageCaption"/>
      </w:pPr>
      <w:r>
        <w:t xml:space="preserve">Figura 2</w:t>
      </w:r>
    </w:p>
    <w:p>
      <w:pPr>
        <w:pStyle w:val="BodyText"/>
      </w:pPr>
      <w:r>
        <w:t xml:space="preserve">Figura 2 – À esquerda, a razão de compressão (</w:t>
      </w:r>
      <w:r>
        <w:rPr>
          <w:iCs/>
          <w:i/>
        </w:rPr>
        <w:t xml:space="preserve">bytes</w:t>
      </w:r>
      <w:r>
        <w:t xml:space="preserve">/</w:t>
      </w:r>
      <w:r>
        <w:rPr>
          <w:iCs/>
          <w:i/>
        </w:rPr>
        <w:t xml:space="preserve">token</w:t>
      </w:r>
      <w:r>
        <w:t xml:space="preserve">) cresce e satura com o número de fusões BPE aplicadas. À direita, palavras frequentes ocupam um</w:t>
      </w:r>
      <w:r>
        <w:t xml:space="preserve"> </w:t>
      </w:r>
      <w:r>
        <w:rPr>
          <w:iCs/>
          <w:i/>
        </w:rPr>
        <w:t xml:space="preserve">token</w:t>
      </w:r>
      <w:r>
        <w:t xml:space="preserve">, enquanto termos raros se fragmentam em vários. Fonte: elaborada pelo autor a partir dos</w:t>
      </w:r>
      <w:r>
        <w:t xml:space="preserve"> </w:t>
      </w:r>
      <w:r>
        <w:rPr>
          <w:iCs/>
          <w:i/>
        </w:rPr>
        <w:t xml:space="preserve">notebooks</w:t>
      </w:r>
      <w:r>
        <w:t xml:space="preserve"> </w:t>
      </w:r>
      <w:r>
        <w:t xml:space="preserve">do projeto (2026).</w:t>
      </w:r>
    </w:p>
    <w:p>
      <w:pPr>
        <w:pStyle w:val="BodyText"/>
      </w:pPr>
      <w:r>
        <w:t xml:space="preserve">O tamanho do vocabulário</w:t>
      </w:r>
      <w:r>
        <w:t xml:space="preserve"> </w:t>
      </w:r>
      <m:oMath>
        <m:r>
          <m:t>V</m:t>
        </m:r>
      </m:oMath>
      <w:r>
        <w:t xml:space="preserve"> </w:t>
      </w:r>
      <w:r>
        <w:t xml:space="preserve">não é livre. A tabela de</w:t>
      </w:r>
      <w:r>
        <w:t xml:space="preserve"> </w:t>
      </w:r>
      <w:r>
        <w:rPr>
          <w:iCs/>
          <w:i/>
        </w:rPr>
        <w:t xml:space="preserve">embedding</w:t>
      </w:r>
      <w:r>
        <w:t xml:space="preserve"> </w:t>
      </w:r>
      <w:r>
        <w:t xml:space="preserve">tem</w:t>
      </w:r>
      <w:r>
        <w:t xml:space="preserve"> </w:t>
      </w:r>
      <m:oMath>
        <m:r>
          <m:t>V</m:t>
        </m:r>
        <m:r>
          <m:rPr>
            <m:sty m:val="p"/>
          </m:rPr>
          <m:t>⋅</m:t>
        </m:r>
        <m:r>
          <m:t>d</m:t>
        </m:r>
      </m:oMath>
      <w:r>
        <w:t xml:space="preserve"> </w:t>
      </w:r>
      <w:r>
        <w:t xml:space="preserve">parâmetros e, em modelos pequenos, essa parcela deixa de ser marginal: para</w:t>
      </w:r>
      <w:r>
        <w:t xml:space="preserve"> </w:t>
      </w:r>
      <m:oMath>
        <m:r>
          <m:t>d</m:t>
        </m:r>
        <m:r>
          <m:rPr>
            <m:sty m:val="p"/>
          </m:rPr>
          <m:t>=</m:t>
        </m:r>
        <m:r>
          <m:t>512</m:t>
        </m:r>
      </m:oMath>
      <w:r>
        <w:t xml:space="preserve">, um vocabulário de 50 mil</w:t>
      </w:r>
      <w:r>
        <w:t xml:space="preserve"> </w:t>
      </w:r>
      <w:r>
        <w:rPr>
          <w:iCs/>
          <w:i/>
        </w:rPr>
        <w:t xml:space="preserve">tokens</w:t>
      </w:r>
      <w:r>
        <w:t xml:space="preserve"> </w:t>
      </w:r>
      <w:r>
        <w:t xml:space="preserve">consumiria fração substancial do orçamento total (Figura 3). Há também um efeito estatístico: em corpus reduzido, um vocabulário grande produz muitos</w:t>
      </w:r>
      <w:r>
        <w:t xml:space="preserve"> </w:t>
      </w:r>
      <w:r>
        <w:rPr>
          <w:iCs/>
          <w:i/>
        </w:rPr>
        <w:t xml:space="preserve">tokens</w:t>
      </w:r>
      <w:r>
        <w:t xml:space="preserve"> </w:t>
      </w:r>
      <w:r>
        <w:t xml:space="preserve">raros, cujas</w:t>
      </w:r>
      <w:r>
        <w:t xml:space="preserve"> </w:t>
      </w:r>
      <w:r>
        <w:rPr>
          <w:iCs/>
          <w:i/>
        </w:rPr>
        <w:t xml:space="preserve">embeddings</w:t>
      </w:r>
      <w:r>
        <w:t xml:space="preserve"> </w:t>
      </w:r>
      <w:r>
        <w:t xml:space="preserve">recebem poucos gradientes e permanecem mal treinadas. Adotou-se</w:t>
      </w:r>
      <w:r>
        <w:t xml:space="preserve"> </w:t>
      </w:r>
      <m:oMath>
        <m:r>
          <m:t>V</m:t>
        </m:r>
        <m:r>
          <m:rPr>
            <m:sty m:val="p"/>
          </m:rPr>
          <m:t>=</m:t>
        </m:r>
        <m:r>
          <m:t>4096</m:t>
        </m:r>
      </m:oMath>
      <w:r>
        <w:t xml:space="preserve"> </w:t>
      </w:r>
      <w:r>
        <w:t xml:space="preserve">nos experimentos por essas duas razões conjugadas.</w:t>
      </w:r>
    </w:p>
    <w:p>
      <w:pPr>
        <w:pStyle w:val="CaptionedFigure"/>
      </w:pPr>
      <w:r>
        <w:drawing>
          <wp:inline>
            <wp:extent cx="5334000" cy="3525864"/>
            <wp:effectExtent b="0" l="0" r="0" t="0"/>
            <wp:docPr descr="Figura 3" title="" id="1" name="Picture"/>
            <a:graphic>
              <a:graphicData uri="http://schemas.openxmlformats.org/drawingml/2006/picture">
                <pic:pic>
                  <pic:nvPicPr>
                    <pic:cNvPr descr="media/rId26.png" id="0" name="Picture"/>
                    <pic:cNvPicPr>
                      <a:picLocks noChangeArrowheads="1" noChangeAspect="1"/>
                    </pic:cNvPicPr>
                  </pic:nvPicPr>
                  <pic:blipFill>
                    <a:blip r:embed="rId25"/>
                    <a:stretch>
                      <a:fillRect/>
                    </a:stretch>
                  </pic:blipFill>
                  <pic:spPr bwMode="auto">
                    <a:xfrm>
                      <a:off x="0" y="0"/>
                      <a:ext cx="5334000" cy="3525864"/>
                    </a:xfrm>
                    <a:prstGeom prst="rect">
                      <a:avLst/>
                    </a:prstGeom>
                    <a:noFill/>
                    <a:ln w="9525">
                      <a:noFill/>
                      <a:headEnd/>
                      <a:tailEnd/>
                    </a:ln>
                  </pic:spPr>
                </pic:pic>
              </a:graphicData>
            </a:graphic>
          </wp:inline>
        </w:drawing>
      </w:r>
    </w:p>
    <w:p>
      <w:pPr>
        <w:pStyle w:val="ImageCaption"/>
      </w:pPr>
      <w:r>
        <w:t xml:space="preserve">Figura 3</w:t>
      </w:r>
    </w:p>
    <w:p>
      <w:pPr>
        <w:pStyle w:val="BodyText"/>
      </w:pPr>
      <w:r>
        <w:t xml:space="preserve">Figura 3 – Custo da tabela de</w:t>
      </w:r>
      <w:r>
        <w:t xml:space="preserve"> </w:t>
      </w:r>
      <w:r>
        <w:rPr>
          <w:iCs/>
          <w:i/>
        </w:rPr>
        <w:t xml:space="preserve">embedding</w:t>
      </w:r>
      <w:r>
        <w:t xml:space="preserve"> </w:t>
      </w:r>
      <w:r>
        <w:t xml:space="preserve">(</w:t>
      </w:r>
      <m:oMath>
        <m:r>
          <m:t>V</m:t>
        </m:r>
        <m:r>
          <m:rPr>
            <m:sty m:val="p"/>
          </m:rPr>
          <m:t>⋅</m:t>
        </m:r>
        <m:r>
          <m:t>d</m:t>
        </m:r>
      </m:oMath>
      <w:r>
        <w:t xml:space="preserve">) como percentual dos parâmetros de um modelo de 43 M (</w:t>
      </w:r>
      <m:oMath>
        <m:r>
          <m:t>d</m:t>
        </m:r>
        <m:r>
          <m:rPr>
            <m:sty m:val="p"/>
          </m:rPr>
          <m:t>=</m:t>
        </m:r>
        <m:r>
          <m:t>512</m:t>
        </m:r>
      </m:oMath>
      <w:r>
        <w:t xml:space="preserve">), em função de</w:t>
      </w:r>
      <w:r>
        <w:t xml:space="preserve"> </w:t>
      </w:r>
      <m:oMath>
        <m:r>
          <m:t>V</m:t>
        </m:r>
      </m:oMath>
      <w:r>
        <w:t xml:space="preserve">. Vocabulários compactos mantêm o custo controlado. Fonte: elaborada pelo autor a partir dos</w:t>
      </w:r>
      <w:r>
        <w:t xml:space="preserve"> </w:t>
      </w:r>
      <w:r>
        <w:rPr>
          <w:iCs/>
          <w:i/>
        </w:rPr>
        <w:t xml:space="preserve">notebooks</w:t>
      </w:r>
      <w:r>
        <w:t xml:space="preserve"> </w:t>
      </w:r>
      <w:r>
        <w:t xml:space="preserve">do projeto (2026).</w:t>
      </w:r>
    </w:p>
    <w:p>
      <w:pPr>
        <w:pStyle w:val="BodyText"/>
      </w:pPr>
      <w:r>
        <w:t xml:space="preserve">Cada</w:t>
      </w:r>
      <w:r>
        <w:t xml:space="preserve"> </w:t>
      </w:r>
      <w:r>
        <w:rPr>
          <w:iCs/>
          <w:i/>
        </w:rPr>
        <w:t xml:space="preserve">token</w:t>
      </w:r>
      <w:r>
        <w:t xml:space="preserve"> </w:t>
      </w:r>
      <w:r>
        <w:t xml:space="preserve">é mapeado a um vetor</w:t>
      </w:r>
      <w:r>
        <w:t xml:space="preserve"> </w:t>
      </w:r>
      <m:oMath>
        <m:sSub>
          <m:e>
            <m:r>
              <m:rPr>
                <m:sty m:val="b"/>
              </m:rPr>
              <m:t>x</m:t>
            </m:r>
          </m:e>
          <m:sub>
            <m:r>
              <m:t>t</m:t>
            </m:r>
          </m:sub>
        </m:sSub>
        <m:r>
          <m:rPr>
            <m:sty m:val="p"/>
          </m:rPr>
          <m:t>∈</m:t>
        </m:r>
        <m:sSup>
          <m:e>
            <m:r>
              <m:rPr>
                <m:sty m:val="p"/>
                <m:scr m:val="double-struck"/>
              </m:rPr>
              <m:t>R</m:t>
            </m:r>
          </m:e>
          <m:sup>
            <m:r>
              <m:t>d</m:t>
            </m:r>
          </m:sup>
        </m:sSup>
      </m:oMath>
      <w:r>
        <w:t xml:space="preserve"> </w:t>
      </w:r>
      <w:r>
        <w:t xml:space="preserve">por consulta em tabela. Vale registrar o que essa etapa</w:t>
      </w:r>
      <w:r>
        <w:t xml:space="preserve"> </w:t>
      </w:r>
      <w:r>
        <w:rPr>
          <w:bCs/>
          <w:b/>
        </w:rPr>
        <w:t xml:space="preserve">não</w:t>
      </w:r>
      <w:r>
        <w:t xml:space="preserve"> </w:t>
      </w:r>
      <w:r>
        <w:t xml:space="preserve">faz: a</w:t>
      </w:r>
      <w:r>
        <w:t xml:space="preserve"> </w:t>
      </w:r>
      <w:r>
        <w:rPr>
          <w:iCs/>
          <w:i/>
        </w:rPr>
        <w:t xml:space="preserve">embedding</w:t>
      </w:r>
      <w:r>
        <w:t xml:space="preserve"> </w:t>
      </w:r>
      <w:r>
        <w:t xml:space="preserve">de um</w:t>
      </w:r>
      <w:r>
        <w:t xml:space="preserve"> </w:t>
      </w:r>
      <w:r>
        <w:rPr>
          <w:iCs/>
          <w:i/>
        </w:rPr>
        <w:t xml:space="preserve">token</w:t>
      </w:r>
      <w:r>
        <w:t xml:space="preserve"> </w:t>
      </w:r>
      <w:r>
        <w:t xml:space="preserve">é idêntica em todos os contextos em que ele aparece. Toda a especialização contextual é trabalho das camadas seguintes, e é isso que a próxima subseção descreve.</w:t>
      </w:r>
    </w:p>
    <w:bookmarkEnd w:id="26"/>
    <w:bookmarkStart w:id="28" w:name="X92f1f1c0f94fe20cd60e6a2af73d2dbc8a55031"/>
    <w:p>
      <w:pPr>
        <w:pStyle w:val="Heading2"/>
      </w:pPr>
      <w:r>
        <w:t xml:space="preserve">2.3 Atenção causal: condicionar a representação ao prefixo</w:t>
      </w:r>
    </w:p>
    <w:p>
      <w:pPr>
        <w:pStyle w:val="FirstParagraph"/>
      </w:pPr>
      <w:r>
        <w:t xml:space="preserve">O condicional</w:t>
      </w:r>
      <w:r>
        <w:t xml:space="preserve"> </w:t>
      </w:r>
      <m:oMath>
        <m:sSub>
          <m:e>
            <m:r>
              <m:t>q</m:t>
            </m:r>
          </m:e>
          <m:sub>
            <m:r>
              <m:t>θ</m:t>
            </m:r>
          </m:sub>
        </m:sSub>
        <m:r>
          <m:rPr>
            <m:sty m:val="p"/>
          </m:rPr>
          <m:t>(</m:t>
        </m:r>
        <m:sSub>
          <m:e>
            <m:r>
              <m:t>x</m:t>
            </m:r>
          </m:e>
          <m:sub>
            <m:r>
              <m:t>t</m:t>
            </m:r>
          </m:sub>
        </m:sSub>
        <m:r>
          <m:rPr>
            <m:sty m:val="p"/>
          </m:rPr>
          <m:t>∣</m:t>
        </m:r>
        <m:sSub>
          <m:e>
            <m:r>
              <m:t>x</m:t>
            </m:r>
          </m:e>
          <m:sub>
            <m:r>
              <m:rPr>
                <m:sty m:val="p"/>
              </m:rPr>
              <m:t>&lt;</m:t>
            </m:r>
            <m:r>
              <m:t>t</m:t>
            </m:r>
          </m:sub>
        </m:sSub>
        <m:r>
          <m:rPr>
            <m:sty m:val="p"/>
          </m:rPr>
          <m:t>)</m:t>
        </m:r>
      </m:oMath>
      <w:r>
        <w:t xml:space="preserve"> </w:t>
      </w:r>
      <w:r>
        <w:t xml:space="preserve">exige que a representação da posição</w:t>
      </w:r>
      <w:r>
        <w:t xml:space="preserve"> </w:t>
      </w:r>
      <m:oMath>
        <m:r>
          <m:t>t</m:t>
        </m:r>
      </m:oMath>
      <w:r>
        <w:t xml:space="preserve"> </w:t>
      </w:r>
      <w:r>
        <w:t xml:space="preserve">dependa de todo o prefixo. O mecanismo que realiza essa dependência é uma média ponderada, aprendida, sobre as posições:</w:t>
      </w:r>
    </w:p>
    <w:p>
      <w:pPr>
        <w:pStyle w:val="BodyText"/>
      </w:pPr>
      <m:oMathPara>
        <m:oMathParaPr>
          <m:jc m:val="center"/>
        </m:oMathParaPr>
        <m:oMath>
          <m:sSub>
            <m:e>
              <m:r>
                <m:rPr>
                  <m:sty m:val="b"/>
                </m:rPr>
                <m:t>y</m:t>
              </m:r>
            </m:e>
            <m:sub>
              <m:r>
                <m:t>t</m:t>
              </m:r>
            </m:sub>
          </m:sSub>
          <m:r>
            <m:rPr>
              <m:sty m:val="p"/>
            </m:rPr>
            <m:t>=</m:t>
          </m:r>
          <m:nary>
            <m:naryPr>
              <m:chr m:val="∑"/>
              <m:limLoc m:val="undOvr"/>
              <m:subHide m:val="0"/>
              <m:supHide m:val="1"/>
            </m:naryPr>
            <m:sub>
              <m:r>
                <m:t>t</m:t>
              </m:r>
              <m:r>
                <m:rPr>
                  <m:sty m:val="p"/>
                </m:rPr>
                <m:t>′</m:t>
              </m:r>
            </m:sub>
            <m:sup>
              <m:r>
                <m:t>​</m:t>
              </m:r>
            </m:sup>
            <m:e>
              <m:sSub>
                <m:e>
                  <m:r>
                    <m:t>A</m:t>
                  </m:r>
                </m:e>
                <m:sub>
                  <m:r>
                    <m:t>t</m:t>
                  </m:r>
                  <m:r>
                    <m:rPr>
                      <m:sty m:val="p"/>
                    </m:rPr>
                    <m:t>,</m:t>
                  </m:r>
                  <m:r>
                    <m:t>t</m:t>
                  </m:r>
                  <m:r>
                    <m:rPr>
                      <m:sty m:val="p"/>
                    </m:rPr>
                    <m:t>′</m:t>
                  </m:r>
                </m:sub>
              </m:sSub>
            </m:e>
          </m:nary>
          <m:r>
            <m:t> </m:t>
          </m:r>
          <m:sSub>
            <m:e>
              <m:r>
                <m:rPr>
                  <m:sty m:val="b"/>
                </m:rPr>
                <m:t>x</m:t>
              </m:r>
            </m:e>
            <m:sub>
              <m:r>
                <m:t>t</m:t>
              </m:r>
              <m:r>
                <m:rPr>
                  <m:sty m:val="p"/>
                </m:rPr>
                <m:t>′</m:t>
              </m:r>
            </m:sub>
          </m:sSub>
          <m:r>
            <m:rPr>
              <m:sty m:val="p"/>
            </m:rPr>
            <m:t>,</m:t>
          </m:r>
          <m:r>
            <m:t>  </m:t>
          </m:r>
          <m:nary>
            <m:naryPr>
              <m:chr m:val="∑"/>
              <m:limLoc m:val="undOvr"/>
              <m:subHide m:val="0"/>
              <m:supHide m:val="1"/>
            </m:naryPr>
            <m:sub>
              <m:r>
                <m:t>t</m:t>
              </m:r>
              <m:r>
                <m:rPr>
                  <m:sty m:val="p"/>
                </m:rPr>
                <m:t>′</m:t>
              </m:r>
            </m:sub>
            <m:sup>
              <m:r>
                <m:t>​</m:t>
              </m:r>
            </m:sup>
            <m:e>
              <m:sSub>
                <m:e>
                  <m:r>
                    <m:t>A</m:t>
                  </m:r>
                </m:e>
                <m:sub>
                  <m:r>
                    <m:t>t</m:t>
                  </m:r>
                  <m:r>
                    <m:rPr>
                      <m:sty m:val="p"/>
                    </m:rPr>
                    <m:t>,</m:t>
                  </m:r>
                  <m:r>
                    <m:t>t</m:t>
                  </m:r>
                  <m:r>
                    <m:rPr>
                      <m:sty m:val="p"/>
                    </m:rPr>
                    <m:t>′</m:t>
                  </m:r>
                </m:sub>
              </m:sSub>
            </m:e>
          </m:nary>
          <m:r>
            <m:rPr>
              <m:sty m:val="p"/>
            </m:rPr>
            <m:t>=</m:t>
          </m:r>
          <m:r>
            <m:t>1</m:t>
          </m:r>
          <m:r>
            <m:rPr>
              <m:sty m:val="p"/>
            </m:rPr>
            <m:t>,</m:t>
          </m:r>
        </m:oMath>
      </m:oMathPara>
    </w:p>
    <w:p>
      <w:pPr>
        <w:pStyle w:val="FirstParagraph"/>
      </w:pPr>
      <w:r>
        <w:t xml:space="preserve">ou, em forma matricial,</w:t>
      </w:r>
      <w:r>
        <w:t xml:space="preserve"> </w:t>
      </w:r>
      <m:oMath>
        <m:r>
          <m:t>Y</m:t>
        </m:r>
        <m:r>
          <m:rPr>
            <m:sty m:val="p"/>
          </m:rPr>
          <m:t>=</m:t>
        </m:r>
        <m:r>
          <m:t>A</m:t>
        </m:r>
        <m:r>
          <m:t>X</m:t>
        </m:r>
      </m:oMath>
      <w:r>
        <w:t xml:space="preserve">. A questão de projeto é inteiramente sobre a origem de</w:t>
      </w:r>
      <w:r>
        <w:t xml:space="preserve"> </w:t>
      </w:r>
      <m:oMath>
        <m:r>
          <m:t>A</m:t>
        </m:r>
      </m:oMath>
      <w:r>
        <w:t xml:space="preserve">: os pesos precisam depender do conteúdo, para que a mesma arquitetura descubra relações diferentes em textos diferentes.</w:t>
      </w:r>
    </w:p>
    <w:p>
      <w:pPr>
        <w:pStyle w:val="BodyText"/>
      </w:pPr>
      <w:r>
        <w:t xml:space="preserve">A solução é derivar</w:t>
      </w:r>
      <w:r>
        <w:t xml:space="preserve"> </w:t>
      </w:r>
      <m:oMath>
        <m:r>
          <m:t>A</m:t>
        </m:r>
      </m:oMath>
      <w:r>
        <w:t xml:space="preserve"> </w:t>
      </w:r>
      <w:r>
        <w:t xml:space="preserve">da própria sequência por meio de duas projeções aprendidas,</w:t>
      </w:r>
      <w:r>
        <w:t xml:space="preserve"> </w:t>
      </w:r>
      <m:oMath>
        <m:sSub>
          <m:e>
            <m:r>
              <m:rPr>
                <m:sty m:val="b"/>
              </m:rPr>
              <m:t>q</m:t>
            </m:r>
          </m:e>
          <m:sub>
            <m:r>
              <m:t>t</m:t>
            </m:r>
          </m:sub>
        </m:sSub>
        <m:r>
          <m:rPr>
            <m:sty m:val="p"/>
          </m:rPr>
          <m:t>=</m:t>
        </m:r>
        <m:sSub>
          <m:e>
            <m:r>
              <m:rPr>
                <m:sty m:val="b"/>
              </m:rPr>
              <m:t>x</m:t>
            </m:r>
          </m:e>
          <m:sub>
            <m:r>
              <m:t>t</m:t>
            </m:r>
          </m:sub>
        </m:sSub>
        <m:sSub>
          <m:e>
            <m:r>
              <m:t>W</m:t>
            </m:r>
          </m:e>
          <m:sub>
            <m:r>
              <m:t>Q</m:t>
            </m:r>
          </m:sub>
        </m:sSub>
      </m:oMath>
      <w:r>
        <w:t xml:space="preserve"> </w:t>
      </w:r>
      <w:r>
        <w:t xml:space="preserve">e</w:t>
      </w:r>
      <w:r>
        <w:t xml:space="preserve"> </w:t>
      </w:r>
      <m:oMath>
        <m:sSub>
          <m:e>
            <m:r>
              <m:rPr>
                <m:sty m:val="b"/>
              </m:rPr>
              <m:t>k</m:t>
            </m:r>
          </m:e>
          <m:sub>
            <m:r>
              <m:t>t</m:t>
            </m:r>
          </m:sub>
        </m:sSub>
        <m:r>
          <m:rPr>
            <m:sty m:val="p"/>
          </m:rPr>
          <m:t>=</m:t>
        </m:r>
        <m:sSub>
          <m:e>
            <m:r>
              <m:rPr>
                <m:sty m:val="b"/>
              </m:rPr>
              <m:t>x</m:t>
            </m:r>
          </m:e>
          <m:sub>
            <m:r>
              <m:t>t</m:t>
            </m:r>
          </m:sub>
        </m:sSub>
        <m:sSub>
          <m:e>
            <m:r>
              <m:t>W</m:t>
            </m:r>
          </m:e>
          <m:sub>
            <m:r>
              <m:t>K</m:t>
            </m:r>
          </m:sub>
        </m:sSub>
      </m:oMath>
      <w:r>
        <w:t xml:space="preserve">, e medir compatibilidade por produto interno normalizado:</w:t>
      </w:r>
    </w:p>
    <w:p>
      <w:pPr>
        <w:pStyle w:val="BodyText"/>
      </w:pPr>
      <m:oMathPara>
        <m:oMathParaPr>
          <m:jc m:val="center"/>
        </m:oMathParaPr>
        <m:oMath>
          <m:sSub>
            <m:e>
              <m:r>
                <m:t>A</m:t>
              </m:r>
            </m:e>
            <m:sub>
              <m:r>
                <m:t>t</m:t>
              </m:r>
              <m:r>
                <m:rPr>
                  <m:sty m:val="p"/>
                </m:rPr>
                <m:t>,</m:t>
              </m:r>
              <m:r>
                <m:t>t</m:t>
              </m:r>
              <m:r>
                <m:rPr>
                  <m:sty m:val="p"/>
                </m:rPr>
                <m:t>′</m:t>
              </m:r>
            </m:sub>
          </m:sSub>
          <m:r>
            <m:rPr>
              <m:sty m:val="p"/>
            </m:rPr>
            <m:t>=</m:t>
          </m:r>
          <m:sSub>
            <m:e>
              <m:r>
                <m:rPr>
                  <m:nor/>
                  <m:sty m:val="p"/>
                </m:rPr>
                <m:t>softmax</m:t>
              </m:r>
            </m:e>
            <m:sub>
              <m:r>
                <m:t>t</m:t>
              </m:r>
              <m:r>
                <m:rPr>
                  <m:sty m:val="p"/>
                </m:rPr>
                <m:t>′</m:t>
              </m:r>
            </m:sub>
          </m:sSub>
          <m:d>
            <m:dPr>
              <m:begChr m:val="("/>
              <m:endChr m:val=")"/>
              <m:grow/>
            </m:dPr>
            <m:e>
              <m:f>
                <m:fPr>
                  <m:type m:val="bar"/>
                </m:fPr>
                <m:num>
                  <m:sSub>
                    <m:e>
                      <m:r>
                        <m:rPr>
                          <m:sty m:val="b"/>
                        </m:rPr>
                        <m:t>q</m:t>
                      </m:r>
                    </m:e>
                    <m:sub>
                      <m:r>
                        <m:t>t</m:t>
                      </m:r>
                    </m:sub>
                  </m:sSub>
                  <m:r>
                    <m:rPr>
                      <m:sty m:val="p"/>
                    </m:rPr>
                    <m:t>⋅</m:t>
                  </m:r>
                  <m:sSub>
                    <m:e>
                      <m:r>
                        <m:rPr>
                          <m:sty m:val="b"/>
                        </m:rPr>
                        <m:t>k</m:t>
                      </m:r>
                    </m:e>
                    <m:sub>
                      <m:r>
                        <m:t>t</m:t>
                      </m:r>
                      <m:r>
                        <m:rPr>
                          <m:sty m:val="p"/>
                        </m:rPr>
                        <m:t>′</m:t>
                      </m:r>
                    </m:sub>
                  </m:sSub>
                </m:num>
                <m:den>
                  <m:rad>
                    <m:radPr>
                      <m:degHide m:val="1"/>
                    </m:radPr>
                    <m:deg/>
                    <m:e>
                      <m:sSub>
                        <m:e>
                          <m:r>
                            <m:t>d</m:t>
                          </m:r>
                        </m:e>
                        <m:sub>
                          <m:r>
                            <m:t>h</m:t>
                          </m:r>
                        </m:sub>
                      </m:sSub>
                    </m:e>
                  </m:rad>
                </m:den>
              </m:f>
            </m:e>
          </m:d>
          <m:r>
            <m:rPr>
              <m:sty m:val="p"/>
            </m:rPr>
            <m:t>.</m:t>
          </m:r>
        </m:oMath>
      </m:oMathPara>
    </w:p>
    <w:p>
      <w:pPr>
        <w:pStyle w:val="FirstParagraph"/>
      </w:pPr>
      <w:r>
        <w:t xml:space="preserve">Duas escolhas nessa fórmula merecem justificativa. A primeira é o uso de</w:t>
      </w:r>
      <w:r>
        <w:t xml:space="preserve"> </w:t>
      </w:r>
      <w:r>
        <w:rPr>
          <w:bCs/>
          <w:b/>
        </w:rPr>
        <w:t xml:space="preserve">duas</w:t>
      </w:r>
      <w:r>
        <w:t xml:space="preserve"> </w:t>
      </w:r>
      <w:r>
        <w:t xml:space="preserve">projeções distintas em vez do produto interno direto entre</w:t>
      </w:r>
      <w:r>
        <w:t xml:space="preserve"> </w:t>
      </w:r>
      <w:r>
        <w:rPr>
          <w:iCs/>
          <w:i/>
        </w:rPr>
        <w:t xml:space="preserve">embeddings</w:t>
      </w:r>
      <w:r>
        <w:t xml:space="preserve">: com uma só, a matriz de compatibilidade seria simétrica, e a relação</w:t>
      </w:r>
      <w:r>
        <w:t xml:space="preserve"> </w:t>
      </w:r>
      <w:r>
        <w:t xml:space="preserve">“</w:t>
      </w:r>
      <w:r>
        <w:t xml:space="preserve">A é relevante para B</w:t>
      </w:r>
      <w:r>
        <w:t xml:space="preserve">”</w:t>
      </w:r>
      <w:r>
        <w:t xml:space="preserve"> </w:t>
      </w:r>
      <w:r>
        <w:t xml:space="preserve">ficaria indistinguível de</w:t>
      </w:r>
      <w:r>
        <w:t xml:space="preserve"> </w:t>
      </w:r>
      <w:r>
        <w:t xml:space="preserve">“</w:t>
      </w:r>
      <w:r>
        <w:t xml:space="preserve">B é relevante para A</w:t>
      </w:r>
      <w:r>
        <w:t xml:space="preserve">”</w:t>
      </w:r>
      <w:r>
        <w:t xml:space="preserve"> </w:t>
      </w:r>
      <w:r>
        <w:t xml:space="preserve">— uma restrição indesejável, já que a dependência sintática é tipicamente assimétrica. A segunda é o fator</w:t>
      </w:r>
      <w:r>
        <w:t xml:space="preserve"> </w:t>
      </w:r>
      <m:oMath>
        <m:r>
          <m:t>1</m:t>
        </m:r>
        <m:r>
          <m:rPr>
            <m:sty m:val="p"/>
          </m:rPr>
          <m:t>/</m:t>
        </m:r>
        <m:rad>
          <m:radPr>
            <m:degHide m:val="1"/>
          </m:radPr>
          <m:deg/>
          <m:e>
            <m:sSub>
              <m:e>
                <m:r>
                  <m:t>d</m:t>
                </m:r>
              </m:e>
              <m:sub>
                <m:r>
                  <m:t>h</m:t>
                </m:r>
              </m:sub>
            </m:sSub>
          </m:e>
        </m:rad>
      </m:oMath>
      <w:r>
        <w:t xml:space="preserve">: o produto interno de dois vetores de dimensão</w:t>
      </w:r>
      <w:r>
        <w:t xml:space="preserve"> </w:t>
      </w:r>
      <m:oMath>
        <m:sSub>
          <m:e>
            <m:r>
              <m:t>d</m:t>
            </m:r>
          </m:e>
          <m:sub>
            <m:r>
              <m:t>h</m:t>
            </m:r>
          </m:sub>
        </m:sSub>
      </m:oMath>
      <w:r>
        <w:t xml:space="preserve"> </w:t>
      </w:r>
      <w:r>
        <w:t xml:space="preserve">com componentes de variância unitária tem variância</w:t>
      </w:r>
      <w:r>
        <w:t xml:space="preserve"> </w:t>
      </w:r>
      <m:oMath>
        <m:sSub>
          <m:e>
            <m:r>
              <m:t>d</m:t>
            </m:r>
          </m:e>
          <m:sub>
            <m:r>
              <m:t>h</m:t>
            </m:r>
          </m:sub>
        </m:sSub>
      </m:oMath>
      <w:r>
        <w:t xml:space="preserve">, e alimentar o</w:t>
      </w:r>
      <w:r>
        <w:t xml:space="preserve"> </w:t>
      </w:r>
      <w:r>
        <w:rPr>
          <w:iCs/>
          <w:i/>
        </w:rPr>
        <w:t xml:space="preserve">softmax</w:t>
      </w:r>
      <w:r>
        <w:t xml:space="preserve"> </w:t>
      </w:r>
      <w:r>
        <w:t xml:space="preserve">com valores dessa magnitude o saturaria, produzindo gradientes desprezíveis. A normalização mantém a variância em ordem unitária na inicialização.</w:t>
      </w:r>
    </w:p>
    <w:p>
      <w:pPr>
        <w:pStyle w:val="BodyText"/>
      </w:pPr>
      <w:r>
        <w:t xml:space="preserve">Uma terceira projeção,</w:t>
      </w:r>
      <w:r>
        <w:t xml:space="preserve"> </w:t>
      </w:r>
      <m:oMath>
        <m:sSub>
          <m:e>
            <m:r>
              <m:rPr>
                <m:sty m:val="b"/>
              </m:rPr>
              <m:t>v</m:t>
            </m:r>
          </m:e>
          <m:sub>
            <m:r>
              <m:t>t</m:t>
            </m:r>
            <m:r>
              <m:rPr>
                <m:sty m:val="p"/>
              </m:rPr>
              <m:t>′</m:t>
            </m:r>
          </m:sub>
        </m:sSub>
        <m:r>
          <m:rPr>
            <m:sty m:val="p"/>
          </m:rPr>
          <m:t>=</m:t>
        </m:r>
        <m:sSub>
          <m:e>
            <m:r>
              <m:rPr>
                <m:sty m:val="b"/>
              </m:rPr>
              <m:t>x</m:t>
            </m:r>
          </m:e>
          <m:sub>
            <m:r>
              <m:t>t</m:t>
            </m:r>
            <m:r>
              <m:rPr>
                <m:sty m:val="p"/>
              </m:rPr>
              <m:t>′</m:t>
            </m:r>
          </m:sub>
        </m:sSub>
        <m:sSub>
          <m:e>
            <m:r>
              <m:t>W</m:t>
            </m:r>
          </m:e>
          <m:sub>
            <m:r>
              <m:t>V</m:t>
            </m:r>
          </m:sub>
        </m:sSub>
      </m:oMath>
      <w:r>
        <w:t xml:space="preserve">, determina</w:t>
      </w:r>
      <w:r>
        <w:t xml:space="preserve"> </w:t>
      </w:r>
      <w:r>
        <w:rPr>
          <w:iCs/>
          <w:i/>
        </w:rPr>
        <w:t xml:space="preserve">o que</w:t>
      </w:r>
      <w:r>
        <w:t xml:space="preserve"> </w:t>
      </w:r>
      <w:r>
        <w:t xml:space="preserve">é transportado quando uma posição é considerada relevante, separando a decisão de</w:t>
      </w:r>
      <w:r>
        <w:t xml:space="preserve"> </w:t>
      </w:r>
      <w:r>
        <w:t xml:space="preserve">“</w:t>
      </w:r>
      <w:r>
        <w:t xml:space="preserve">onde olhar</w:t>
      </w:r>
      <w:r>
        <w:t xml:space="preserve">”</w:t>
      </w:r>
      <w:r>
        <w:t xml:space="preserve"> </w:t>
      </w:r>
      <w:r>
        <w:t xml:space="preserve">da de</w:t>
      </w:r>
      <w:r>
        <w:t xml:space="preserve"> </w:t>
      </w:r>
      <w:r>
        <w:t xml:space="preserve">“</w:t>
      </w:r>
      <w:r>
        <w:t xml:space="preserve">o que trazer</w:t>
      </w:r>
      <w:r>
        <w:t xml:space="preserve">”</w:t>
      </w:r>
      <w:r>
        <w:t xml:space="preserve">. A atualização resultante é</w:t>
      </w:r>
      <w:r>
        <w:t xml:space="preserve"> </w:t>
      </w:r>
      <m:oMath>
        <m:r>
          <m:t>Δ</m:t>
        </m:r>
        <m:sSub>
          <m:e>
            <m:r>
              <m:rPr>
                <m:sty m:val="b"/>
              </m:rPr>
              <m:t>x</m:t>
            </m:r>
          </m:e>
          <m:sub>
            <m:r>
              <m:t>t</m:t>
            </m:r>
          </m:sub>
        </m:sSub>
        <m:r>
          <m:rPr>
            <m:sty m:val="p"/>
          </m:rPr>
          <m:t>=</m:t>
        </m:r>
        <m:nary>
          <m:naryPr>
            <m:chr m:val="∑"/>
            <m:limLoc m:val="undOvr"/>
            <m:subHide m:val="0"/>
            <m:supHide m:val="1"/>
          </m:naryPr>
          <m:sub>
            <m:r>
              <m:t>t</m:t>
            </m:r>
            <m:r>
              <m:rPr>
                <m:sty m:val="p"/>
              </m:rPr>
              <m:t>′</m:t>
            </m:r>
          </m:sub>
          <m:sup>
            <m:r>
              <m:t>​</m:t>
            </m:r>
          </m:sup>
          <m:e>
            <m:sSub>
              <m:e>
                <m:r>
                  <m:t>A</m:t>
                </m:r>
              </m:e>
              <m:sub>
                <m:r>
                  <m:t>t</m:t>
                </m:r>
                <m:r>
                  <m:rPr>
                    <m:sty m:val="p"/>
                  </m:rPr>
                  <m:t>,</m:t>
                </m:r>
                <m:r>
                  <m:t>t</m:t>
                </m:r>
                <m:r>
                  <m:rPr>
                    <m:sty m:val="p"/>
                  </m:rPr>
                  <m:t>′</m:t>
                </m:r>
              </m:sub>
            </m:sSub>
          </m:e>
        </m:nary>
        <m:sSub>
          <m:e>
            <m:r>
              <m:rPr>
                <m:sty m:val="b"/>
              </m:rPr>
              <m:t>v</m:t>
            </m:r>
          </m:e>
          <m:sub>
            <m:r>
              <m:t>t</m:t>
            </m:r>
            <m:r>
              <m:rPr>
                <m:sty m:val="p"/>
              </m:rPr>
              <m:t>′</m:t>
            </m:r>
          </m:sub>
        </m:sSub>
      </m:oMath>
      <w:r>
        <w:t xml:space="preserve">.</w:t>
      </w:r>
    </w:p>
    <w:p>
      <w:pPr>
        <w:pStyle w:val="BodyText"/>
      </w:pPr>
      <w:r>
        <w:t xml:space="preserve">A fatoração autoregressiva impõe uma restrição a</w:t>
      </w:r>
      <w:r>
        <w:t xml:space="preserve"> </w:t>
      </w:r>
      <m:oMath>
        <m:r>
          <m:t>A</m:t>
        </m:r>
      </m:oMath>
      <w:r>
        <w:t xml:space="preserve">: a posição</w:t>
      </w:r>
      <w:r>
        <w:t xml:space="preserve"> </w:t>
      </w:r>
      <m:oMath>
        <m:r>
          <m:t>t</m:t>
        </m:r>
      </m:oMath>
      <w:r>
        <w:t xml:space="preserve"> </w:t>
      </w:r>
      <w:r>
        <w:t xml:space="preserve">não pode consultar</w:t>
      </w:r>
      <w:r>
        <w:t xml:space="preserve"> </w:t>
      </w:r>
      <m:oMath>
        <m:r>
          <m:t>t</m:t>
        </m:r>
        <m:r>
          <m:rPr>
            <m:sty m:val="p"/>
          </m:rPr>
          <m:t>′</m:t>
        </m:r>
        <m:r>
          <m:rPr>
            <m:sty m:val="p"/>
          </m:rPr>
          <m:t>&gt;</m:t>
        </m:r>
        <m:r>
          <m:t>t</m:t>
        </m:r>
      </m:oMath>
      <w:r>
        <w:t xml:space="preserve">, ou o alvo estaria disponível na entrada e a perda de treino deixaria de estimar generalização. Zerar as entradas proibidas depois do</w:t>
      </w:r>
      <w:r>
        <w:t xml:space="preserve"> </w:t>
      </w:r>
      <w:r>
        <w:rPr>
          <w:iCs/>
          <w:i/>
        </w:rPr>
        <w:t xml:space="preserve">softmax</w:t>
      </w:r>
      <w:r>
        <w:t xml:space="preserve"> </w:t>
      </w:r>
      <w:r>
        <w:t xml:space="preserve">não serve, porque quebraria a normalização das linhas. A implementação correta soma</w:t>
      </w:r>
      <w:r>
        <w:t xml:space="preserve"> </w:t>
      </w:r>
      <m:oMath>
        <m:r>
          <m:rPr>
            <m:sty m:val="p"/>
          </m:rPr>
          <m:t>−</m:t>
        </m:r>
        <m:r>
          <m:rPr>
            <m:sty m:val="p"/>
          </m:rPr>
          <m:t>∞</m:t>
        </m:r>
      </m:oMath>
      <w:r>
        <w:t xml:space="preserve"> </w:t>
      </w:r>
      <w:r>
        <w:t xml:space="preserve">às entradas proibidas</w:t>
      </w:r>
      <w:r>
        <w:t xml:space="preserve"> </w:t>
      </w:r>
      <w:r>
        <w:rPr>
          <w:bCs/>
          <w:b/>
        </w:rPr>
        <w:t xml:space="preserve">antes</w:t>
      </w:r>
      <w:r>
        <w:t xml:space="preserve"> </w:t>
      </w:r>
      <w:r>
        <w:t xml:space="preserve">do</w:t>
      </w:r>
      <w:r>
        <w:t xml:space="preserve"> </w:t>
      </w:r>
      <w:r>
        <w:rPr>
          <w:iCs/>
          <w:i/>
        </w:rPr>
        <w:t xml:space="preserve">softmax</w:t>
      </w:r>
      <w:r>
        <w:t xml:space="preserve">: como</w:t>
      </w:r>
      <w:r>
        <w:t xml:space="preserve"> </w:t>
      </w:r>
      <m:oMath>
        <m:sSup>
          <m:e>
            <m:r>
              <m:t>e</m:t>
            </m:r>
          </m:e>
          <m:sup>
            <m:r>
              <m:rPr>
                <m:sty m:val="p"/>
              </m:rPr>
              <m:t>−</m:t>
            </m:r>
            <m:r>
              <m:rPr>
                <m:sty m:val="p"/>
              </m:rPr>
              <m:t>∞</m:t>
            </m:r>
          </m:sup>
        </m:sSup>
        <m:r>
          <m:rPr>
            <m:sty m:val="p"/>
          </m:rPr>
          <m:t>=</m:t>
        </m:r>
        <m:r>
          <m:t>0</m:t>
        </m:r>
      </m:oMath>
      <w:r>
        <w:t xml:space="preserve">, elas se anulam e cada linha continua somando 1 sobre as posições permitidas (Figura 4).</w:t>
      </w:r>
    </w:p>
    <w:p>
      <w:pPr>
        <w:pStyle w:val="CaptionedFigure"/>
      </w:pPr>
      <w:r>
        <w:drawing>
          <wp:inline>
            <wp:extent cx="5334000" cy="2248929"/>
            <wp:effectExtent b="0" l="0" r="0" t="0"/>
            <wp:docPr descr="Figura 4" title="" id="1" name="Picture"/>
            <a:graphic>
              <a:graphicData uri="http://schemas.openxmlformats.org/drawingml/2006/picture">
                <pic:pic>
                  <pic:nvPicPr>
                    <pic:cNvPr descr="media/rId22.png" id="0" name="Picture"/>
                    <pic:cNvPicPr>
                      <a:picLocks noChangeArrowheads="1" noChangeAspect="1"/>
                    </pic:cNvPicPr>
                  </pic:nvPicPr>
                  <pic:blipFill>
                    <a:blip r:embed="rId27"/>
                    <a:stretch>
                      <a:fillRect/>
                    </a:stretch>
                  </pic:blipFill>
                  <pic:spPr bwMode="auto">
                    <a:xfrm>
                      <a:off x="0" y="0"/>
                      <a:ext cx="5334000" cy="2248929"/>
                    </a:xfrm>
                    <a:prstGeom prst="rect">
                      <a:avLst/>
                    </a:prstGeom>
                    <a:noFill/>
                    <a:ln w="9525">
                      <a:noFill/>
                      <a:headEnd/>
                      <a:tailEnd/>
                    </a:ln>
                  </pic:spPr>
                </pic:pic>
              </a:graphicData>
            </a:graphic>
          </wp:inline>
        </w:drawing>
      </w:r>
    </w:p>
    <w:p>
      <w:pPr>
        <w:pStyle w:val="ImageCaption"/>
      </w:pPr>
      <w:r>
        <w:t xml:space="preserve">Figura 4</w:t>
      </w:r>
    </w:p>
    <w:p>
      <w:pPr>
        <w:pStyle w:val="BodyText"/>
      </w:pPr>
      <w:r>
        <w:t xml:space="preserve">Figura 4 – Matriz de atenção</w:t>
      </w:r>
      <w:r>
        <w:t xml:space="preserve"> </w:t>
      </w:r>
      <m:oMath>
        <m:r>
          <m:t>A</m:t>
        </m:r>
      </m:oMath>
      <w:r>
        <w:t xml:space="preserve"> </w:t>
      </w:r>
      <w:r>
        <w:t xml:space="preserve">sem máscara (esquerda) e com máscara causal (direita). No caso causal, o triângulo superior é anulado: a</w:t>
      </w:r>
      <w:r>
        <w:t xml:space="preserve"> </w:t>
      </w:r>
      <w:r>
        <w:rPr>
          <w:iCs/>
          <w:i/>
        </w:rPr>
        <w:t xml:space="preserve">query</w:t>
      </w:r>
      <w:r>
        <w:t xml:space="preserve"> </w:t>
      </w:r>
      <m:oMath>
        <m:r>
          <m:t>t</m:t>
        </m:r>
      </m:oMath>
      <w:r>
        <w:t xml:space="preserve"> </w:t>
      </w:r>
      <w:r>
        <w:t xml:space="preserve">só enxerga</w:t>
      </w:r>
      <w:r>
        <w:t xml:space="preserve"> </w:t>
      </w:r>
      <w:r>
        <w:rPr>
          <w:iCs/>
          <w:i/>
        </w:rPr>
        <w:t xml:space="preserve">keys</w:t>
      </w:r>
      <w:r>
        <w:t xml:space="preserve"> </w:t>
      </w:r>
      <m:oMath>
        <m:r>
          <m:t>t</m:t>
        </m:r>
        <m:r>
          <m:rPr>
            <m:sty m:val="p"/>
          </m:rPr>
          <m:t>′</m:t>
        </m:r>
        <m:r>
          <m:rPr>
            <m:sty m:val="p"/>
          </m:rPr>
          <m:t>≤</m:t>
        </m:r>
        <m:r>
          <m:t>t</m:t>
        </m:r>
      </m:oMath>
      <w:r>
        <w:t xml:space="preserve">, e cada linha continua somando 1. Fonte: elaborada pelo autor a partir dos</w:t>
      </w:r>
      <w:r>
        <w:t xml:space="preserve"> </w:t>
      </w:r>
      <w:r>
        <w:rPr>
          <w:iCs/>
          <w:i/>
        </w:rPr>
        <w:t xml:space="preserve">notebooks</w:t>
      </w:r>
      <w:r>
        <w:t xml:space="preserve"> </w:t>
      </w:r>
      <w:r>
        <w:t xml:space="preserve">do projeto (2026).</w:t>
      </w:r>
    </w:p>
    <w:p>
      <w:pPr>
        <w:pStyle w:val="BodyText"/>
      </w:pPr>
      <w:r>
        <w:t xml:space="preserve">Uma única matriz</w:t>
      </w:r>
      <w:r>
        <w:t xml:space="preserve"> </w:t>
      </w:r>
      <m:oMath>
        <m:r>
          <m:t>A</m:t>
        </m:r>
      </m:oMath>
      <w:r>
        <w:t xml:space="preserve"> </w:t>
      </w:r>
      <w:r>
        <w:t xml:space="preserve">força o modelo a comprimir todos os tipos de relação em um só padrão de atenção. Executar</w:t>
      </w:r>
      <w:r>
        <w:t xml:space="preserve"> </w:t>
      </w:r>
      <m:oMath>
        <m:r>
          <m:t>H</m:t>
        </m:r>
      </m:oMath>
      <w:r>
        <w:t xml:space="preserve"> </w:t>
      </w:r>
      <w:r>
        <w:t xml:space="preserve">conjuntos independentes de projeções em paralelo, concatenando as saídas e projetando-as por</w:t>
      </w:r>
      <w:r>
        <w:t xml:space="preserve"> </w:t>
      </w:r>
      <m:oMath>
        <m:sSub>
          <m:e>
            <m:r>
              <m:t>W</m:t>
            </m:r>
          </m:e>
          <m:sub>
            <m:r>
              <m:t>O</m:t>
            </m:r>
          </m:sub>
        </m:sSub>
      </m:oMath>
      <w:r>
        <w:t xml:space="preserve">,</w:t>
      </w:r>
    </w:p>
    <w:p>
      <w:pPr>
        <w:pStyle w:val="BodyText"/>
      </w:pPr>
      <m:oMathPara>
        <m:oMathParaPr>
          <m:jc m:val="center"/>
        </m:oMathParaPr>
        <m:oMath>
          <m:r>
            <m:rPr>
              <m:nor/>
              <m:sty m:val="p"/>
            </m:rPr>
            <m:t>MHSA</m:t>
          </m:r>
          <m:r>
            <m:rPr>
              <m:sty m:val="p"/>
            </m:rPr>
            <m:t>(</m:t>
          </m:r>
          <m:r>
            <m:t>X</m:t>
          </m:r>
          <m:r>
            <m:rPr>
              <m:sty m:val="p"/>
            </m:rPr>
            <m:t>)</m:t>
          </m:r>
          <m:r>
            <m:rPr>
              <m:sty m:val="p"/>
            </m:rPr>
            <m:t>=</m:t>
          </m:r>
          <m:r>
            <m:rPr>
              <m:nor/>
              <m:sty m:val="p"/>
            </m:rPr>
            <m:t>Concat</m:t>
          </m:r>
          <m:r>
            <m:rPr>
              <m:sty m:val="p"/>
            </m:rPr>
            <m:t>(</m:t>
          </m:r>
          <m:sSub>
            <m:e>
              <m:r>
                <m:rPr>
                  <m:nor/>
                  <m:sty m:val="p"/>
                </m:rPr>
                <m:t>head</m:t>
              </m:r>
            </m:e>
            <m:sub>
              <m:r>
                <m:t>1</m:t>
              </m:r>
            </m:sub>
          </m:sSub>
          <m:r>
            <m:rPr>
              <m:sty m:val="p"/>
            </m:rPr>
            <m:t>,</m:t>
          </m:r>
          <m:r>
            <m:rPr>
              <m:sty m:val="p"/>
            </m:rPr>
            <m:t>…</m:t>
          </m:r>
          <m:r>
            <m:rPr>
              <m:sty m:val="p"/>
            </m:rPr>
            <m:t>,</m:t>
          </m:r>
          <m:sSub>
            <m:e>
              <m:r>
                <m:rPr>
                  <m:nor/>
                  <m:sty m:val="p"/>
                </m:rPr>
                <m:t>head</m:t>
              </m:r>
            </m:e>
            <m:sub>
              <m:r>
                <m:t>H</m:t>
              </m:r>
            </m:sub>
          </m:sSub>
          <m:r>
            <m:rPr>
              <m:sty m:val="p"/>
            </m:rPr>
            <m:t>)</m:t>
          </m:r>
          <m:r>
            <m:t> </m:t>
          </m:r>
          <m:sSub>
            <m:e>
              <m:r>
                <m:t>W</m:t>
              </m:r>
            </m:e>
            <m:sub>
              <m:r>
                <m:t>O</m:t>
              </m:r>
            </m:sub>
          </m:sSub>
          <m:r>
            <m:rPr>
              <m:sty m:val="p"/>
            </m:rPr>
            <m:t>,</m:t>
          </m:r>
        </m:oMath>
      </m:oMathPara>
    </w:p>
    <w:p>
      <w:pPr>
        <w:pStyle w:val="FirstParagraph"/>
      </w:pPr>
      <w:r>
        <w:t xml:space="preserve">remove essa restrição sem alterar a contagem de parâmetros, desde que</w:t>
      </w:r>
      <w:r>
        <w:t xml:space="preserve"> </w:t>
      </w:r>
      <m:oMath>
        <m:sSub>
          <m:e>
            <m:r>
              <m:t>d</m:t>
            </m:r>
          </m:e>
          <m:sub>
            <m:r>
              <m:t>h</m:t>
            </m:r>
          </m:sub>
        </m:sSub>
        <m:r>
          <m:rPr>
            <m:sty m:val="p"/>
          </m:rPr>
          <m:t>=</m:t>
        </m:r>
        <m:r>
          <m:t>d</m:t>
        </m:r>
        <m:r>
          <m:rPr>
            <m:sty m:val="p"/>
          </m:rPr>
          <m:t>/</m:t>
        </m:r>
        <m:r>
          <m:t>H</m:t>
        </m:r>
      </m:oMath>
      <w:r>
        <w:t xml:space="preserve">. O custo relevante é de memória:</w:t>
      </w:r>
      <w:r>
        <w:t xml:space="preserve"> </w:t>
      </w:r>
      <m:oMath>
        <m:r>
          <m:t>A</m:t>
        </m:r>
      </m:oMath>
      <w:r>
        <w:t xml:space="preserve"> </w:t>
      </w:r>
      <w:r>
        <w:t xml:space="preserve">tem tamanho</w:t>
      </w:r>
      <w:r>
        <w:t xml:space="preserve"> </w:t>
      </w:r>
      <m:oMath>
        <m:r>
          <m:t>T</m:t>
        </m:r>
        <m:r>
          <m:rPr>
            <m:sty m:val="p"/>
          </m:rPr>
          <m:t>×</m:t>
        </m:r>
        <m:r>
          <m:t>T</m:t>
        </m:r>
      </m:oMath>
      <w:r>
        <w:t xml:space="preserve"> </w:t>
      </w:r>
      <w:r>
        <w:t xml:space="preserve">por cabeça, e materializá-la é o gargalo que limita a janela de contexto.</w:t>
      </w:r>
    </w:p>
    <w:bookmarkEnd w:id="28"/>
    <w:bookmarkStart w:id="33" w:name="Xa77bfffb874155588ee7e45691dde6a0a78ae06"/>
    <w:p>
      <w:pPr>
        <w:pStyle w:val="Heading2"/>
      </w:pPr>
      <w:r>
        <w:t xml:space="preserve">2.4 Propagar sinal em profundidade: residual, escala de inicialização e RMSNorm</w:t>
      </w:r>
    </w:p>
    <w:p>
      <w:pPr>
        <w:pStyle w:val="FirstParagraph"/>
      </w:pPr>
      <w:r>
        <w:t xml:space="preserve">Empilhar</w:t>
      </w:r>
      <w:r>
        <w:t xml:space="preserve"> </w:t>
      </w:r>
      <m:oMath>
        <m:r>
          <m:t>L</m:t>
        </m:r>
      </m:oMath>
      <w:r>
        <w:t xml:space="preserve"> </w:t>
      </w:r>
      <w:r>
        <w:t xml:space="preserve">blocos cria um problema de otimização independente do que cada bloco calcula: o gradiente precisa atravessar</w:t>
      </w:r>
      <w:r>
        <w:t xml:space="preserve"> </w:t>
      </w:r>
      <m:oMath>
        <m:r>
          <m:t>L</m:t>
        </m:r>
      </m:oMath>
      <w:r>
        <w:t xml:space="preserve"> </w:t>
      </w:r>
      <w:r>
        <w:t xml:space="preserve">transformações para chegar às primeiras camadas. Três decisões atacam esse problema em conjunto, e é por isso que faz sentido tratá-las juntas.</w:t>
      </w:r>
    </w:p>
    <w:p>
      <w:pPr>
        <w:pStyle w:val="BodyText"/>
      </w:pPr>
      <w:r>
        <w:rPr>
          <w:bCs/>
          <w:b/>
        </w:rPr>
        <w:t xml:space="preserve">A conexão residual</w:t>
      </w:r>
      <w:r>
        <w:t xml:space="preserve"> </w:t>
      </w:r>
      <w:r>
        <w:t xml:space="preserve">transforma cada estágio em uma correção,</w:t>
      </w:r>
      <w:r>
        <w:t xml:space="preserve"> </w:t>
      </w:r>
      <m:oMath>
        <m:r>
          <m:t>h</m:t>
        </m:r>
        <m:r>
          <m:rPr>
            <m:sty m:val="p"/>
          </m:rPr>
          <m:t>←</m:t>
        </m:r>
        <m:r>
          <m:t>h</m:t>
        </m:r>
        <m:r>
          <m:rPr>
            <m:sty m:val="p"/>
          </m:rPr>
          <m:t>+</m:t>
        </m:r>
        <m:r>
          <m:t>f</m:t>
        </m:r>
        <m:r>
          <m:rPr>
            <m:sty m:val="p"/>
          </m:rPr>
          <m:t>(</m:t>
        </m:r>
        <m:r>
          <m:t>h</m:t>
        </m:r>
        <m:r>
          <m:rPr>
            <m:sty m:val="p"/>
          </m:rPr>
          <m:t>)</m:t>
        </m:r>
      </m:oMath>
      <w:r>
        <w:t xml:space="preserve">, em vez de uma substituição. Isso torna a identidade o comportamento padrão e dá ao gradiente um caminho aditivo direto até a entrada.</w:t>
      </w:r>
    </w:p>
    <w:p>
      <w:pPr>
        <w:pStyle w:val="BodyText"/>
      </w:pPr>
      <w:r>
        <w:rPr>
          <w:bCs/>
          <w:b/>
        </w:rPr>
        <w:t xml:space="preserve">A posição da normalização</w:t>
      </w:r>
      <w:r>
        <w:t xml:space="preserve"> </w:t>
      </w:r>
      <w:r>
        <w:t xml:space="preserve">determina se esse caminho permanece limpo. Normalizar depois da soma (</w:t>
      </w:r>
      <w:r>
        <w:rPr>
          <w:iCs/>
          <w:i/>
        </w:rPr>
        <w:t xml:space="preserve">post-norm</w:t>
      </w:r>
      <w:r>
        <w:t xml:space="preserve">) insere uma operação no caminho residual a cada bloco; normalizar antes do estágio (</w:t>
      </w:r>
      <w:r>
        <w:rPr>
          <w:iCs/>
          <w:i/>
        </w:rPr>
        <w:t xml:space="preserve">pre-norm</w:t>
      </w:r>
      <w:r>
        <w:t xml:space="preserve">),</w:t>
      </w:r>
      <w:r>
        <w:t xml:space="preserve"> </w:t>
      </w:r>
      <m:oMath>
        <m:r>
          <m:t>h</m:t>
        </m:r>
        <m:r>
          <m:rPr>
            <m:sty m:val="p"/>
          </m:rPr>
          <m:t>←</m:t>
        </m:r>
        <m:r>
          <m:t>h</m:t>
        </m:r>
        <m:r>
          <m:rPr>
            <m:sty m:val="p"/>
          </m:rPr>
          <m:t>+</m:t>
        </m:r>
        <m:r>
          <m:t>f</m:t>
        </m:r>
        <m:r>
          <m:rPr>
            <m:sty m:val="p"/>
          </m:rPr>
          <m:t>(</m:t>
        </m:r>
        <m:r>
          <m:rPr>
            <m:nor/>
            <m:sty m:val="p"/>
          </m:rPr>
          <m:t>Norm</m:t>
        </m:r>
        <m:r>
          <m:rPr>
            <m:sty m:val="p"/>
          </m:rPr>
          <m:t>(</m:t>
        </m:r>
        <m:r>
          <m:t>h</m:t>
        </m:r>
        <m:r>
          <m:rPr>
            <m:sty m:val="p"/>
          </m:rPr>
          <m:t>)</m:t>
        </m:r>
        <m:r>
          <m:rPr>
            <m:sty m:val="p"/>
          </m:rPr>
          <m:t>)</m:t>
        </m:r>
      </m:oMath>
      <w:r>
        <w:t xml:space="preserve">, mantém a soma intacta. A diferença é mensurável: a Figura 5 mostra a norma do gradiente que sobrevive até a entrada em função de</w:t>
      </w:r>
      <w:r>
        <w:t xml:space="preserve"> </w:t>
      </w:r>
      <m:oMath>
        <m:r>
          <m:t>L</m:t>
        </m:r>
      </m:oMath>
      <w:r>
        <w:t xml:space="preserve">, com o</w:t>
      </w:r>
      <w:r>
        <w:t xml:space="preserve"> </w:t>
      </w:r>
      <w:r>
        <w:rPr>
          <w:iCs/>
          <w:i/>
        </w:rPr>
        <w:t xml:space="preserve">pre-norm</w:t>
      </w:r>
      <w:r>
        <w:t xml:space="preserve"> </w:t>
      </w:r>
      <w:r>
        <w:t xml:space="preserve">mantendo-se em ordem unitária enquanto o</w:t>
      </w:r>
      <w:r>
        <w:t xml:space="preserve"> </w:t>
      </w:r>
      <w:r>
        <w:rPr>
          <w:iCs/>
          <w:i/>
        </w:rPr>
        <w:t xml:space="preserve">post-norm</w:t>
      </w:r>
      <w:r>
        <w:t xml:space="preserve"> </w:t>
      </w:r>
      <w:r>
        <w:t xml:space="preserve">decai ordens de magnitude.</w:t>
      </w:r>
    </w:p>
    <w:p>
      <w:pPr>
        <w:pStyle w:val="CaptionedFigure"/>
      </w:pPr>
      <w:r>
        <w:drawing>
          <wp:inline>
            <wp:extent cx="5334000" cy="3525864"/>
            <wp:effectExtent b="0" l="0" r="0" t="0"/>
            <wp:docPr descr="Figura 5" title="" id="1" name="Picture"/>
            <a:graphic>
              <a:graphicData uri="http://schemas.openxmlformats.org/drawingml/2006/picture">
                <pic:pic>
                  <pic:nvPicPr>
                    <pic:cNvPr descr="media/rId28.png" id="0" name="Picture"/>
                    <pic:cNvPicPr>
                      <a:picLocks noChangeArrowheads="1" noChangeAspect="1"/>
                    </pic:cNvPicPr>
                  </pic:nvPicPr>
                  <pic:blipFill>
                    <a:blip r:embed="rId29"/>
                    <a:stretch>
                      <a:fillRect/>
                    </a:stretch>
                  </pic:blipFill>
                  <pic:spPr bwMode="auto">
                    <a:xfrm>
                      <a:off x="0" y="0"/>
                      <a:ext cx="5334000" cy="3525864"/>
                    </a:xfrm>
                    <a:prstGeom prst="rect">
                      <a:avLst/>
                    </a:prstGeom>
                    <a:noFill/>
                    <a:ln w="9525">
                      <a:noFill/>
                      <a:headEnd/>
                      <a:tailEnd/>
                    </a:ln>
                  </pic:spPr>
                </pic:pic>
              </a:graphicData>
            </a:graphic>
          </wp:inline>
        </w:drawing>
      </w:r>
    </w:p>
    <w:p>
      <w:pPr>
        <w:pStyle w:val="ImageCaption"/>
      </w:pPr>
      <w:r>
        <w:t xml:space="preserve">Figura 5</w:t>
      </w:r>
    </w:p>
    <w:p>
      <w:pPr>
        <w:pStyle w:val="BodyText"/>
      </w:pPr>
      <w:r>
        <w:t xml:space="preserve">Figura 5 – Norma do gradiente que sobrevive até a entrada, em função da profundidade</w:t>
      </w:r>
      <w:r>
        <w:t xml:space="preserve"> </w:t>
      </w:r>
      <m:oMath>
        <m:r>
          <m:t>L</m:t>
        </m:r>
      </m:oMath>
      <w:r>
        <w:t xml:space="preserve"> </w:t>
      </w:r>
      <w:r>
        <w:t xml:space="preserve">(eixo vertical em escala logarítmica). O</w:t>
      </w:r>
      <w:r>
        <w:t xml:space="preserve"> </w:t>
      </w:r>
      <w:r>
        <w:rPr>
          <w:iCs/>
          <w:i/>
        </w:rPr>
        <w:t xml:space="preserve">pre-norm</w:t>
      </w:r>
      <w:r>
        <w:t xml:space="preserve"> </w:t>
      </w:r>
      <w:r>
        <w:t xml:space="preserve">mantém-se próximo de</w:t>
      </w:r>
      <w:r>
        <w:t xml:space="preserve"> </w:t>
      </w:r>
      <m:oMath>
        <m:r>
          <m:t>O</m:t>
        </m:r>
        <m:r>
          <m:rPr>
            <m:sty m:val="p"/>
          </m:rPr>
          <m:t>(</m:t>
        </m:r>
        <m:r>
          <m:t>1</m:t>
        </m:r>
        <m:r>
          <m:rPr>
            <m:sty m:val="p"/>
          </m:rPr>
          <m:t>)</m:t>
        </m:r>
      </m:oMath>
      <w:r>
        <w:t xml:space="preserve">; o</w:t>
      </w:r>
      <w:r>
        <w:t xml:space="preserve"> </w:t>
      </w:r>
      <w:r>
        <w:rPr>
          <w:iCs/>
          <w:i/>
        </w:rPr>
        <w:t xml:space="preserve">post-norm</w:t>
      </w:r>
      <w:r>
        <w:t xml:space="preserve"> </w:t>
      </w:r>
      <w:r>
        <w:t xml:space="preserve">decai ordens de grandeza — o</w:t>
      </w:r>
      <w:r>
        <w:t xml:space="preserve"> </w:t>
      </w:r>
      <w:r>
        <w:rPr>
          <w:iCs/>
          <w:i/>
        </w:rPr>
        <w:t xml:space="preserve">vanishing gradient</w:t>
      </w:r>
      <w:r>
        <w:t xml:space="preserve">. Fonte: elaborada pelo autor a partir dos</w:t>
      </w:r>
      <w:r>
        <w:t xml:space="preserve"> </w:t>
      </w:r>
      <w:r>
        <w:rPr>
          <w:iCs/>
          <w:i/>
        </w:rPr>
        <w:t xml:space="preserve">notebooks</w:t>
      </w:r>
      <w:r>
        <w:t xml:space="preserve"> </w:t>
      </w:r>
      <w:r>
        <w:t xml:space="preserve">do projeto (2026).</w:t>
      </w:r>
    </w:p>
    <w:p>
      <w:pPr>
        <w:pStyle w:val="BodyText"/>
      </w:pPr>
      <w:r>
        <w:rPr>
          <w:bCs/>
          <w:b/>
        </w:rPr>
        <w:t xml:space="preserve">A escala de inicialização</w:t>
      </w:r>
      <w:r>
        <w:t xml:space="preserve"> </w:t>
      </w:r>
      <w:r>
        <w:t xml:space="preserve">resolve o efeito colateral do caminho aditivo. Se cada um dos</w:t>
      </w:r>
      <w:r>
        <w:t xml:space="preserve"> </w:t>
      </w:r>
      <m:oMath>
        <m:r>
          <m:t>2</m:t>
        </m:r>
        <m:r>
          <m:t>L</m:t>
        </m:r>
      </m:oMath>
      <w:r>
        <w:t xml:space="preserve"> </w:t>
      </w:r>
      <w:r>
        <w:t xml:space="preserve">ramos somados (atenção e MLP por bloco) contribui com variância</w:t>
      </w:r>
      <w:r>
        <w:t xml:space="preserve"> </w:t>
      </w:r>
      <m:oMath>
        <m:sSup>
          <m:e>
            <m:r>
              <m:t>σ</m:t>
            </m:r>
          </m:e>
          <m:sup>
            <m:r>
              <m:t>2</m:t>
            </m:r>
          </m:sup>
        </m:sSup>
      </m:oMath>
      <w:r>
        <w:t xml:space="preserve"> </w:t>
      </w:r>
      <w:r>
        <w:t xml:space="preserve">e as contribuições são aproximadamente independentes, a variância do estado residual cresce linearmente com o número de ramos e sua norma como</w:t>
      </w:r>
      <w:r>
        <w:t xml:space="preserve"> </w:t>
      </w:r>
      <m:oMath>
        <m:rad>
          <m:radPr>
            <m:degHide m:val="1"/>
          </m:radPr>
          <m:deg/>
          <m:e>
            <m:r>
              <m:t>2</m:t>
            </m:r>
            <m:r>
              <m:t>L</m:t>
            </m:r>
          </m:e>
        </m:rad>
      </m:oMath>
      <w:r>
        <w:t xml:space="preserve">. Um modelo profundo começaria, portanto, com ativações de magnitude crescente com a profundidade. A correção é reduzir a escala apenas das projeções que escrevem no caminho residual:</w:t>
      </w:r>
    </w:p>
    <w:p>
      <w:pPr>
        <w:pStyle w:val="BodyText"/>
      </w:pPr>
      <m:oMathPara>
        <m:oMathParaPr>
          <m:jc m:val="center"/>
        </m:oMathParaPr>
        <m:oMath>
          <m:sSub>
            <m:e>
              <m:r>
                <m:t>W</m:t>
              </m:r>
            </m:e>
            <m:sub>
              <m:r>
                <m:rPr>
                  <m:nor/>
                  <m:sty m:val="p"/>
                </m:rPr>
                <m:t>out_proj</m:t>
              </m:r>
            </m:sub>
          </m:sSub>
          <m:r>
            <m:rPr>
              <m:sty m:val="p"/>
            </m:rPr>
            <m:t>,</m:t>
          </m:r>
          <m:r>
            <m:t> </m:t>
          </m:r>
          <m:sSub>
            <m:e>
              <m:r>
                <m:t>W</m:t>
              </m:r>
            </m:e>
            <m:sub>
              <m:r>
                <m:rPr>
                  <m:nor/>
                  <m:sty m:val="p"/>
                </m:rPr>
                <m:t>mlp_down</m:t>
              </m:r>
            </m:sub>
          </m:sSub>
          <m:r>
            <m:rPr>
              <m:sty m:val="p"/>
            </m:rPr>
            <m:t>∼</m:t>
          </m:r>
          <m:r>
            <m:rPr>
              <m:sty m:val="p"/>
              <m:scr m:val="script"/>
            </m:rPr>
            <m:t>N</m:t>
          </m:r>
          <m:d>
            <m:dPr>
              <m:begChr m:val="("/>
              <m:endChr m:val=")"/>
              <m:grow/>
            </m:dPr>
            <m:e>
              <m:r>
                <m:t>0</m:t>
              </m:r>
              <m:r>
                <m:rPr>
                  <m:sty m:val="p"/>
                </m:rPr>
                <m:t>,</m:t>
              </m:r>
              <m:sSup>
                <m:e>
                  <m:d>
                    <m:dPr>
                      <m:begChr m:val="("/>
                      <m:endChr m:val=")"/>
                      <m:grow/>
                    </m:dPr>
                    <m:e>
                      <m:f>
                        <m:fPr>
                          <m:type m:val="bar"/>
                        </m:fPr>
                        <m:num>
                          <m:r>
                            <m:t>0</m:t>
                          </m:r>
                          <m:r>
                            <m:rPr>
                              <m:sty m:val="p"/>
                            </m:rPr>
                            <m:t>,</m:t>
                          </m:r>
                          <m:r>
                            <m:t>02</m:t>
                          </m:r>
                        </m:num>
                        <m:den>
                          <m:rad>
                            <m:radPr>
                              <m:degHide m:val="1"/>
                            </m:radPr>
                            <m:deg/>
                            <m:e>
                              <m:r>
                                <m:t>2</m:t>
                              </m:r>
                              <m:r>
                                <m:t>L</m:t>
                              </m:r>
                            </m:e>
                          </m:rad>
                        </m:den>
                      </m:f>
                    </m:e>
                  </m:d>
                </m:e>
                <m:sup>
                  <m:r>
                    <m:t>2</m:t>
                  </m:r>
                </m:sup>
              </m:sSup>
            </m:e>
          </m:d>
          <m:r>
            <m:rPr>
              <m:sty m:val="p"/>
            </m:rPr>
            <m:t>,</m:t>
          </m:r>
        </m:oMath>
      </m:oMathPara>
    </w:p>
    <w:p>
      <w:pPr>
        <w:pStyle w:val="FirstParagraph"/>
      </w:pPr>
      <w:r>
        <w:t xml:space="preserve">com os demais pesos lineares em</w:t>
      </w:r>
      <w:r>
        <w:t xml:space="preserve"> </w:t>
      </w:r>
      <m:oMath>
        <m:r>
          <m:rPr>
            <m:sty m:val="p"/>
            <m:scr m:val="script"/>
          </m:rPr>
          <m:t>N</m:t>
        </m:r>
        <m:r>
          <m:rPr>
            <m:sty m:val="p"/>
          </m:rPr>
          <m:t>(</m:t>
        </m:r>
        <m:r>
          <m:t>0</m:t>
        </m:r>
        <m:r>
          <m:rPr>
            <m:sty m:val="p"/>
          </m:rPr>
          <m:t>,</m:t>
        </m:r>
        <m:r>
          <m:t> </m:t>
        </m:r>
        <m:r>
          <m:t>0</m:t>
        </m:r>
        <m:r>
          <m:rPr>
            <m:sty m:val="p"/>
          </m:rPr>
          <m:t>,</m:t>
        </m:r>
        <m:sSup>
          <m:e>
            <m:r>
              <m:t>02</m:t>
            </m:r>
          </m:e>
          <m:sup>
            <m:r>
              <m:t>2</m:t>
            </m:r>
          </m:sup>
        </m:sSup>
        <m:r>
          <m:rPr>
            <m:sty m:val="p"/>
          </m:rPr>
          <m:t>)</m:t>
        </m:r>
      </m:oMath>
      <w:r>
        <w:t xml:space="preserve">. O fator</w:t>
      </w:r>
      <w:r>
        <w:t xml:space="preserve"> </w:t>
      </w:r>
      <m:oMath>
        <m:r>
          <m:t>1</m:t>
        </m:r>
        <m:r>
          <m:rPr>
            <m:sty m:val="p"/>
          </m:rPr>
          <m:t>/</m:t>
        </m:r>
        <m:rad>
          <m:radPr>
            <m:degHide m:val="1"/>
          </m:radPr>
          <m:deg/>
          <m:e>
            <m:r>
              <m:t>2</m:t>
            </m:r>
            <m:r>
              <m:t>L</m:t>
            </m:r>
          </m:e>
        </m:rad>
      </m:oMath>
      <w:r>
        <w:t xml:space="preserve"> </w:t>
      </w:r>
      <w:r>
        <w:t xml:space="preserve">cancela exatamente o crescimento previsto, mantendo a norma em</w:t>
      </w:r>
      <w:r>
        <w:t xml:space="preserve"> </w:t>
      </w:r>
      <m:oMath>
        <m:r>
          <m:t>O</m:t>
        </m:r>
        <m:r>
          <m:rPr>
            <m:sty m:val="p"/>
          </m:rPr>
          <m:t>(</m:t>
        </m:r>
        <m:r>
          <m:t>1</m:t>
        </m:r>
        <m:r>
          <m:rPr>
            <m:sty m:val="p"/>
          </m:rPr>
          <m:t>)</m:t>
        </m:r>
      </m:oMath>
      <w:r>
        <w:t xml:space="preserve"> </w:t>
      </w:r>
      <w:r>
        <w:t xml:space="preserve">no início do treino (Figura 6).</w:t>
      </w:r>
    </w:p>
    <w:p>
      <w:pPr>
        <w:pStyle w:val="CaptionedFigure"/>
      </w:pPr>
      <w:r>
        <w:drawing>
          <wp:inline>
            <wp:extent cx="5334000" cy="3531850"/>
            <wp:effectExtent b="0" l="0" r="0" t="0"/>
            <wp:docPr descr="Figura 6" title="" id="1" name="Picture"/>
            <a:graphic>
              <a:graphicData uri="http://schemas.openxmlformats.org/drawingml/2006/picture">
                <pic:pic>
                  <pic:nvPicPr>
                    <pic:cNvPr descr="media/rId29.png" id="0" name="Picture"/>
                    <pic:cNvPicPr>
                      <a:picLocks noChangeArrowheads="1" noChangeAspect="1"/>
                    </pic:cNvPicPr>
                  </pic:nvPicPr>
                  <pic:blipFill>
                    <a:blip r:embed="rId30"/>
                    <a:stretch>
                      <a:fillRect/>
                    </a:stretch>
                  </pic:blipFill>
                  <pic:spPr bwMode="auto">
                    <a:xfrm>
                      <a:off x="0" y="0"/>
                      <a:ext cx="5334000" cy="3531850"/>
                    </a:xfrm>
                    <a:prstGeom prst="rect">
                      <a:avLst/>
                    </a:prstGeom>
                    <a:noFill/>
                    <a:ln w="9525">
                      <a:noFill/>
                      <a:headEnd/>
                      <a:tailEnd/>
                    </a:ln>
                  </pic:spPr>
                </pic:pic>
              </a:graphicData>
            </a:graphic>
          </wp:inline>
        </w:drawing>
      </w:r>
    </w:p>
    <w:p>
      <w:pPr>
        <w:pStyle w:val="ImageCaption"/>
      </w:pPr>
      <w:r>
        <w:t xml:space="preserve">Figura 6</w:t>
      </w:r>
    </w:p>
    <w:p>
      <w:pPr>
        <w:pStyle w:val="BodyText"/>
      </w:pPr>
      <w:r>
        <w:t xml:space="preserve">Figura 6 – Crescimento da norma do estado residual à medida que ramos são somados. Sem escala, a norma cresce como</w:t>
      </w:r>
      <w:r>
        <w:t xml:space="preserve"> </w:t>
      </w:r>
      <m:oMath>
        <m:rad>
          <m:radPr>
            <m:degHide m:val="1"/>
          </m:radPr>
          <m:deg/>
          <m:e>
            <m:r>
              <m:t>1</m:t>
            </m:r>
            <m:r>
              <m:rPr>
                <m:sty m:val="p"/>
              </m:rPr>
              <m:t>+</m:t>
            </m:r>
            <m:r>
              <m:t>2</m:t>
            </m:r>
            <m:r>
              <m:t>L</m:t>
            </m:r>
          </m:e>
        </m:rad>
      </m:oMath>
      <w:r>
        <w:t xml:space="preserve"> </w:t>
      </w:r>
      <w:r>
        <w:t xml:space="preserve">(linha tracejada, teórica); com a escala</w:t>
      </w:r>
      <w:r>
        <w:t xml:space="preserve"> </w:t>
      </w:r>
      <m:oMath>
        <m:r>
          <m:t>1</m:t>
        </m:r>
        <m:r>
          <m:rPr>
            <m:sty m:val="p"/>
          </m:rPr>
          <m:t>/</m:t>
        </m:r>
        <m:rad>
          <m:radPr>
            <m:degHide m:val="1"/>
          </m:radPr>
          <m:deg/>
          <m:e>
            <m:r>
              <m:t>2</m:t>
            </m:r>
            <m:r>
              <m:t>L</m:t>
            </m:r>
          </m:e>
        </m:rad>
      </m:oMath>
      <w:r>
        <w:t xml:space="preserve">, mantém-se plana em</w:t>
      </w:r>
      <w:r>
        <w:t xml:space="preserve"> </w:t>
      </w:r>
      <m:oMath>
        <m:r>
          <m:t>O</m:t>
        </m:r>
        <m:r>
          <m:rPr>
            <m:sty m:val="p"/>
          </m:rPr>
          <m:t>(</m:t>
        </m:r>
        <m:r>
          <m:t>1</m:t>
        </m:r>
        <m:r>
          <m:rPr>
            <m:sty m:val="p"/>
          </m:rPr>
          <m:t>)</m:t>
        </m:r>
      </m:oMath>
      <w:r>
        <w:t xml:space="preserve">. Fonte: elaborada pelo autor a partir dos</w:t>
      </w:r>
      <w:r>
        <w:t xml:space="preserve"> </w:t>
      </w:r>
      <w:r>
        <w:rPr>
          <w:iCs/>
          <w:i/>
        </w:rPr>
        <w:t xml:space="preserve">notebooks</w:t>
      </w:r>
      <w:r>
        <w:t xml:space="preserve"> </w:t>
      </w:r>
      <w:r>
        <w:t xml:space="preserve">do projeto (2026).</w:t>
      </w:r>
    </w:p>
    <w:p>
      <w:pPr>
        <w:pStyle w:val="BodyText"/>
      </w:pPr>
      <w:r>
        <w:rPr>
          <w:bCs/>
          <w:b/>
        </w:rPr>
        <w:t xml:space="preserve">A escolha da normalização</w:t>
      </w:r>
      <w:r>
        <w:t xml:space="preserve"> </w:t>
      </w:r>
      <w:r>
        <w:t xml:space="preserve">é o ponto em que o padrão LLaMA divergiu do GPT-2. A LayerNorm executa duas operações compostas: re-centraliza e re-escala,</w:t>
      </w:r>
    </w:p>
    <w:p>
      <w:pPr>
        <w:pStyle w:val="BodyText"/>
      </w:pPr>
      <m:oMathPara>
        <m:oMathParaPr>
          <m:jc m:val="center"/>
        </m:oMathParaPr>
        <m:oMath>
          <m:r>
            <m:rPr>
              <m:nor/>
              <m:sty m:val="p"/>
            </m:rPr>
            <m:t>LN</m:t>
          </m:r>
          <m:r>
            <m:rPr>
              <m:sty m:val="p"/>
            </m:rPr>
            <m:t>(</m:t>
          </m:r>
          <m:r>
            <m:t>x</m:t>
          </m:r>
          <m:r>
            <m:rPr>
              <m:sty m:val="p"/>
            </m:rPr>
            <m:t>)</m:t>
          </m:r>
          <m:r>
            <m:rPr>
              <m:sty m:val="p"/>
            </m:rPr>
            <m:t>=</m:t>
          </m:r>
          <m:r>
            <m:t>γ</m:t>
          </m:r>
          <m:r>
            <m:rPr>
              <m:sty m:val="p"/>
            </m:rPr>
            <m:t>⊙</m:t>
          </m:r>
          <m:f>
            <m:fPr>
              <m:type m:val="bar"/>
            </m:fPr>
            <m:num>
              <m:r>
                <m:t>x</m:t>
              </m:r>
              <m:r>
                <m:rPr>
                  <m:sty m:val="p"/>
                </m:rPr>
                <m:t>−</m:t>
              </m:r>
              <m:r>
                <m:t>μ</m:t>
              </m:r>
            </m:num>
            <m:den>
              <m:rad>
                <m:radPr>
                  <m:degHide m:val="1"/>
                </m:radPr>
                <m:deg/>
                <m:e>
                  <m:sSup>
                    <m:e>
                      <m:r>
                        <m:t>σ</m:t>
                      </m:r>
                    </m:e>
                    <m:sup>
                      <m:r>
                        <m:t>2</m:t>
                      </m:r>
                    </m:sup>
                  </m:sSup>
                  <m:r>
                    <m:rPr>
                      <m:sty m:val="p"/>
                    </m:rPr>
                    <m:t>+</m:t>
                  </m:r>
                  <m:r>
                    <m:t>ε</m:t>
                  </m:r>
                </m:e>
              </m:rad>
            </m:den>
          </m:f>
          <m:r>
            <m:rPr>
              <m:sty m:val="p"/>
            </m:rPr>
            <m:t>+</m:t>
          </m:r>
          <m:r>
            <m:t>β</m:t>
          </m:r>
          <m:r>
            <m:rPr>
              <m:sty m:val="p"/>
            </m:rPr>
            <m:t>.</m:t>
          </m:r>
        </m:oMath>
      </m:oMathPara>
    </w:p>
    <w:p>
      <w:pPr>
        <w:pStyle w:val="FirstParagraph"/>
      </w:pPr>
      <w:r>
        <w:t xml:space="preserve">Zhang e Sennrich (2019) observaram que a raiz da média dos quadrados satisfaz</w:t>
      </w:r>
      <w:r>
        <w:t xml:space="preserve"> </w:t>
      </w:r>
      <m:oMath>
        <m:r>
          <m:rPr>
            <m:nor/>
            <m:sty m:val="p"/>
          </m:rPr>
          <m:t>RMS</m:t>
        </m:r>
        <m:r>
          <m:rPr>
            <m:sty m:val="p"/>
          </m:rPr>
          <m:t>(</m:t>
        </m:r>
        <m:r>
          <m:t>x</m:t>
        </m:r>
        <m:sSup>
          <m:e>
            <m:r>
              <m:rPr>
                <m:sty m:val="p"/>
              </m:rPr>
              <m:t>)</m:t>
            </m:r>
          </m:e>
          <m:sup>
            <m:r>
              <m:t>2</m:t>
            </m:r>
          </m:sup>
        </m:sSup>
        <m:r>
          <m:rPr>
            <m:sty m:val="p"/>
          </m:rPr>
          <m:t>=</m:t>
        </m:r>
        <m:sSup>
          <m:e>
            <m:r>
              <m:t>σ</m:t>
            </m:r>
          </m:e>
          <m:sup>
            <m:r>
              <m:t>2</m:t>
            </m:r>
          </m:sup>
        </m:sSup>
        <m:r>
          <m:rPr>
            <m:sty m:val="p"/>
          </m:rPr>
          <m:t>+</m:t>
        </m:r>
        <m:sSup>
          <m:e>
            <m:r>
              <m:t>μ</m:t>
            </m:r>
          </m:e>
          <m:sup>
            <m:r>
              <m:t>2</m:t>
            </m:r>
          </m:sup>
        </m:sSup>
      </m:oMath>
      <w:r>
        <w:t xml:space="preserve">, de modo que ela mede simultaneamente dispersão e deslocamento. A RMSNorm mantém somente a re-escala, descartando centralização e</w:t>
      </w:r>
      <w:r>
        <w:t xml:space="preserve"> </w:t>
      </w:r>
      <w:r>
        <w:rPr>
          <w:iCs/>
          <w:i/>
        </w:rPr>
        <w:t xml:space="preserve">bias</w:t>
      </w:r>
      <w:r>
        <w:t xml:space="preserve">:</w:t>
      </w:r>
    </w:p>
    <w:p>
      <w:pPr>
        <w:pStyle w:val="BodyText"/>
      </w:pPr>
      <m:oMathPara>
        <m:oMathParaPr>
          <m:jc m:val="center"/>
        </m:oMathParaPr>
        <m:oMath>
          <m:r>
            <m:rPr>
              <m:nor/>
              <m:sty m:val="p"/>
            </m:rPr>
            <m:t>RMSNorm</m:t>
          </m:r>
          <m:r>
            <m:rPr>
              <m:sty m:val="p"/>
            </m:rPr>
            <m:t>(</m:t>
          </m:r>
          <m:r>
            <m:t>x</m:t>
          </m:r>
          <m:r>
            <m:rPr>
              <m:sty m:val="p"/>
            </m:rPr>
            <m:t>)</m:t>
          </m:r>
          <m:r>
            <m:rPr>
              <m:sty m:val="p"/>
            </m:rPr>
            <m:t>=</m:t>
          </m:r>
          <m:r>
            <m:t>γ</m:t>
          </m:r>
          <m:r>
            <m:rPr>
              <m:sty m:val="p"/>
            </m:rPr>
            <m:t>⊙</m:t>
          </m:r>
          <m:f>
            <m:fPr>
              <m:type m:val="bar"/>
            </m:fPr>
            <m:num>
              <m:r>
                <m:t>x</m:t>
              </m:r>
            </m:num>
            <m:den>
              <m:rad>
                <m:radPr>
                  <m:degHide m:val="1"/>
                </m:radPr>
                <m:deg/>
                <m:e>
                  <m:f>
                    <m:fPr>
                      <m:type m:val="bar"/>
                    </m:fPr>
                    <m:num>
                      <m:r>
                        <m:t>1</m:t>
                      </m:r>
                    </m:num>
                    <m:den>
                      <m:r>
                        <m:t>d</m:t>
                      </m:r>
                    </m:den>
                  </m:f>
                  <m:nary>
                    <m:naryPr>
                      <m:chr m:val="∑"/>
                      <m:limLoc m:val="undOvr"/>
                      <m:subHide m:val="0"/>
                      <m:supHide m:val="1"/>
                    </m:naryPr>
                    <m:sub>
                      <m:r>
                        <m:t>i</m:t>
                      </m:r>
                    </m:sub>
                    <m:sup>
                      <m:r>
                        <m:t>​</m:t>
                      </m:r>
                    </m:sup>
                    <m:e>
                      <m:sSubSup>
                        <m:e>
                          <m:r>
                            <m:t>x</m:t>
                          </m:r>
                        </m:e>
                        <m:sub>
                          <m:r>
                            <m:t>i</m:t>
                          </m:r>
                        </m:sub>
                        <m:sup>
                          <m:r>
                            <m:t>2</m:t>
                          </m:r>
                        </m:sup>
                      </m:sSubSup>
                    </m:e>
                  </m:nary>
                  <m:r>
                    <m:rPr>
                      <m:sty m:val="p"/>
                    </m:rPr>
                    <m:t>+</m:t>
                  </m:r>
                  <m:r>
                    <m:t>ε</m:t>
                  </m:r>
                </m:e>
              </m:rad>
            </m:den>
          </m:f>
          <m:r>
            <m:rPr>
              <m:sty m:val="p"/>
            </m:rPr>
            <m:t>.</m:t>
          </m:r>
        </m:oMath>
      </m:oMathPara>
    </w:p>
    <w:p>
      <w:pPr>
        <w:pStyle w:val="FirstParagraph"/>
      </w:pPr>
      <w:r>
        <w:t xml:space="preserve">O argumento para a supressão da centralização é de</w:t>
      </w:r>
      <w:r>
        <w:t xml:space="preserve"> </w:t>
      </w:r>
      <w:r>
        <w:rPr>
          <w:bCs/>
          <w:b/>
        </w:rPr>
        <w:t xml:space="preserve">redundância funcional</w:t>
      </w:r>
      <w:r>
        <w:t xml:space="preserve">, não de irrelevância: como</w:t>
      </w:r>
      <w:r>
        <w:t xml:space="preserve"> </w:t>
      </w:r>
      <m:oMath>
        <m:r>
          <m:rPr>
            <m:sty m:val="p"/>
          </m:rPr>
          <m:t>∥</m:t>
        </m:r>
        <m:r>
          <m:t>x</m:t>
        </m:r>
        <m:sSub>
          <m:e>
            <m:r>
              <m:rPr>
                <m:sty m:val="p"/>
              </m:rPr>
              <m:t>∥</m:t>
            </m:r>
          </m:e>
          <m:sub>
            <m:r>
              <m:t>2</m:t>
            </m:r>
          </m:sub>
        </m:sSub>
        <m:r>
          <m:rPr>
            <m:sty m:val="p"/>
          </m:rPr>
          <m:t>=</m:t>
        </m:r>
        <m:rad>
          <m:radPr>
            <m:degHide m:val="1"/>
          </m:radPr>
          <m:deg/>
          <m:e>
            <m:r>
              <m:t>d</m:t>
            </m:r>
          </m:e>
        </m:rad>
        <m:r>
          <m:rPr>
            <m:sty m:val="p"/>
          </m:rPr>
          <m:t>⋅</m:t>
        </m:r>
        <m:r>
          <m:rPr>
            <m:nor/>
            <m:sty m:val="p"/>
          </m:rPr>
          <m:t>RMS</m:t>
        </m:r>
        <m:r>
          <m:rPr>
            <m:sty m:val="p"/>
          </m:rPr>
          <m:t>(</m:t>
        </m:r>
        <m:r>
          <m:t>x</m:t>
        </m:r>
        <m:r>
          <m:rPr>
            <m:sty m:val="p"/>
          </m:rPr>
          <m:t>)</m:t>
        </m:r>
      </m:oMath>
      <w:r>
        <w:t xml:space="preserve">, a operação projeta o vetor na esfera de raio</w:t>
      </w:r>
      <w:r>
        <w:t xml:space="preserve"> </w:t>
      </w:r>
      <m:oMath>
        <m:rad>
          <m:radPr>
            <m:degHide m:val="1"/>
          </m:radPr>
          <m:deg/>
          <m:e>
            <m:r>
              <m:t>d</m:t>
            </m:r>
          </m:e>
        </m:rad>
      </m:oMath>
      <w:r>
        <w:t xml:space="preserve">, preservando direção e descartando magnitude (Figura 7); e a transformação afim imediatamente seguinte pode reintroduzir qualquer deslocamento de média por meio de seu próprio</w:t>
      </w:r>
      <w:r>
        <w:t xml:space="preserve"> </w:t>
      </w:r>
      <w:r>
        <w:rPr>
          <w:iCs/>
          <w:i/>
        </w:rPr>
        <w:t xml:space="preserve">bias</w:t>
      </w:r>
      <w:r>
        <w:t xml:space="preserve">. Já a magnitude — que é o que efetivamente desestabiliza o treino em redes profundas, conforme a análise da escala residual acima — permanece controlada. A Figura 8 evidencia a diferença de comportamento das duas normalizações sobre uma entrada de média elevada. Como efeito secundário, a RMSNorm elimina duas passagens sobre o vetor (o cálculo da média e a subtração), reduzindo tanto operações aritméticas quanto acessos à memória.</w:t>
      </w:r>
    </w:p>
    <w:p>
      <w:pPr>
        <w:pStyle w:val="CaptionedFigure"/>
      </w:pPr>
      <w:r>
        <w:drawing>
          <wp:inline>
            <wp:extent cx="5334000" cy="2682416"/>
            <wp:effectExtent b="0" l="0" r="0" t="0"/>
            <wp:docPr descr="Figura 7" title="" id="1" name="Picture"/>
            <a:graphic>
              <a:graphicData uri="http://schemas.openxmlformats.org/drawingml/2006/picture">
                <pic:pic>
                  <pic:nvPicPr>
                    <pic:cNvPr descr="media/rId31.png" id="0" name="Picture"/>
                    <pic:cNvPicPr>
                      <a:picLocks noChangeArrowheads="1" noChangeAspect="1"/>
                    </pic:cNvPicPr>
                  </pic:nvPicPr>
                  <pic:blipFill>
                    <a:blip r:embed="rId31"/>
                    <a:stretch>
                      <a:fillRect/>
                    </a:stretch>
                  </pic:blipFill>
                  <pic:spPr bwMode="auto">
                    <a:xfrm>
                      <a:off x="0" y="0"/>
                      <a:ext cx="5334000" cy="2682416"/>
                    </a:xfrm>
                    <a:prstGeom prst="rect">
                      <a:avLst/>
                    </a:prstGeom>
                    <a:noFill/>
                    <a:ln w="9525">
                      <a:noFill/>
                      <a:headEnd/>
                      <a:tailEnd/>
                    </a:ln>
                  </pic:spPr>
                </pic:pic>
              </a:graphicData>
            </a:graphic>
          </wp:inline>
        </w:drawing>
      </w:r>
    </w:p>
    <w:p>
      <w:pPr>
        <w:pStyle w:val="ImageCaption"/>
      </w:pPr>
      <w:r>
        <w:t xml:space="preserve">Figura 7</w:t>
      </w:r>
    </w:p>
    <w:p>
      <w:pPr>
        <w:pStyle w:val="BodyText"/>
      </w:pPr>
      <w:r>
        <w:t xml:space="preserve">Figura 7 – A normalização RMS como projeção radial na esfera de raio</w:t>
      </w:r>
      <w:r>
        <w:t xml:space="preserve"> </w:t>
      </w:r>
      <m:oMath>
        <m:rad>
          <m:radPr>
            <m:degHide m:val="1"/>
          </m:radPr>
          <m:deg/>
          <m:e>
            <m:r>
              <m:t>d</m:t>
            </m:r>
          </m:e>
        </m:rad>
      </m:oMath>
      <w:r>
        <w:t xml:space="preserve">. À esquerda, vetores de magnitudes distintas têm o comprimento alterado, mas o ângulo preservado. À direita, vetores colineares colapsam no mesmo ponto: a magnitude é descartada. Fonte: elaborada pelo autor a partir dos</w:t>
      </w:r>
      <w:r>
        <w:t xml:space="preserve"> </w:t>
      </w:r>
      <w:r>
        <w:rPr>
          <w:iCs/>
          <w:i/>
        </w:rPr>
        <w:t xml:space="preserve">notebooks</w:t>
      </w:r>
      <w:r>
        <w:t xml:space="preserve"> </w:t>
      </w:r>
      <w:r>
        <w:t xml:space="preserve">do projeto (2026).</w:t>
      </w:r>
    </w:p>
    <w:p>
      <w:pPr>
        <w:pStyle w:val="CaptionedFigure"/>
      </w:pPr>
      <w:r>
        <w:drawing>
          <wp:inline>
            <wp:extent cx="5334000" cy="2639923"/>
            <wp:effectExtent b="0" l="0" r="0" t="0"/>
            <wp:docPr descr="Figura 8" title="" id="1" name="Picture"/>
            <a:graphic>
              <a:graphicData uri="http://schemas.openxmlformats.org/drawingml/2006/picture">
                <pic:pic>
                  <pic:nvPicPr>
                    <pic:cNvPr descr="media/rId32.png" id="0" name="Picture"/>
                    <pic:cNvPicPr>
                      <a:picLocks noChangeArrowheads="1" noChangeAspect="1"/>
                    </pic:cNvPicPr>
                  </pic:nvPicPr>
                  <pic:blipFill>
                    <a:blip r:embed="rId32"/>
                    <a:stretch>
                      <a:fillRect/>
                    </a:stretch>
                  </pic:blipFill>
                  <pic:spPr bwMode="auto">
                    <a:xfrm>
                      <a:off x="0" y="0"/>
                      <a:ext cx="5334000" cy="2639923"/>
                    </a:xfrm>
                    <a:prstGeom prst="rect">
                      <a:avLst/>
                    </a:prstGeom>
                    <a:noFill/>
                    <a:ln w="9525">
                      <a:noFill/>
                      <a:headEnd/>
                      <a:tailEnd/>
                    </a:ln>
                  </pic:spPr>
                </pic:pic>
              </a:graphicData>
            </a:graphic>
          </wp:inline>
        </w:drawing>
      </w:r>
    </w:p>
    <w:p>
      <w:pPr>
        <w:pStyle w:val="ImageCaption"/>
      </w:pPr>
      <w:r>
        <w:t xml:space="preserve">Figura 8</w:t>
      </w:r>
    </w:p>
    <w:p>
      <w:pPr>
        <w:pStyle w:val="BodyText"/>
      </w:pPr>
      <w:r>
        <w:t xml:space="preserve">Figura 8 – Efeito das duas normalizações sobre um vetor de entrada com média elevada: a LayerNorm centraliza (média</w:t>
      </w:r>
      <w:r>
        <w:t xml:space="preserve"> </w:t>
      </w:r>
      <m:oMath>
        <m:r>
          <m:rPr>
            <m:sty m:val="p"/>
          </m:rPr>
          <m:t>≈</m:t>
        </m:r>
        <m:r>
          <m:t>0</m:t>
        </m:r>
      </m:oMath>
      <w:r>
        <w:t xml:space="preserve">), a RMSNorm não. Fonte: elaborada pelo autor a partir dos</w:t>
      </w:r>
      <w:r>
        <w:t xml:space="preserve"> </w:t>
      </w:r>
      <w:r>
        <w:rPr>
          <w:iCs/>
          <w:i/>
        </w:rPr>
        <w:t xml:space="preserve">notebooks</w:t>
      </w:r>
      <w:r>
        <w:t xml:space="preserve"> </w:t>
      </w:r>
      <w:r>
        <w:t xml:space="preserve">do projeto (2026).</w:t>
      </w:r>
    </w:p>
    <w:p>
      <w:pPr>
        <w:pStyle w:val="BodyText"/>
      </w:pPr>
      <w:r>
        <w:t xml:space="preserve">Há uma ressalva de implementação com consequência numérica: a soma de</w:t>
      </w:r>
      <w:r>
        <w:t xml:space="preserve"> </w:t>
      </w:r>
      <m:oMath>
        <m:r>
          <m:t>d</m:t>
        </m:r>
      </m:oMath>
      <w:r>
        <w:t xml:space="preserve"> </w:t>
      </w:r>
      <w:r>
        <w:t xml:space="preserve">quadrados acumula erro quando executada em precisão reduzida. No pacote, o denominador é calculado em FP32 mesmo sob treino em BF16, com retorno ao tipo original apenas ao final.</w:t>
      </w:r>
    </w:p>
    <w:bookmarkEnd w:id="33"/>
    <w:bookmarkStart w:id="34" w:name="Xa6c96232096ff83cb4cbe09e1dd5abe6a27804d"/>
    <w:p>
      <w:pPr>
        <w:pStyle w:val="Heading2"/>
      </w:pPr>
      <w:r>
        <w:t xml:space="preserve">2.5 Capacidade por parâmetro: SwiGLU e compartilhamento de pesos</w:t>
      </w:r>
    </w:p>
    <w:p>
      <w:pPr>
        <w:pStyle w:val="FirstParagraph"/>
      </w:pPr>
      <w:r>
        <w:t xml:space="preserve">A atenção move informação entre posições; a segunda metade de cada bloco refina cada posição isoladamente, com os mesmos pesos em todas elas. Apesar de receber menos atenção conceitual, é aqui que reside a maior parte dos parâmetros do modelo, o que torna a eficiência dessa sub-rede economicamente decisiva.</w:t>
      </w:r>
    </w:p>
    <w:p>
      <w:pPr>
        <w:pStyle w:val="BodyText"/>
      </w:pPr>
      <w:r>
        <w:t xml:space="preserve">A formulação do GPT-2 é uma composição de duas transformações lineares com não linearidade intermediária,</w:t>
      </w:r>
      <w:r>
        <w:t xml:space="preserve"> </w:t>
      </w:r>
      <m:oMath>
        <m:r>
          <m:rPr>
            <m:nor/>
            <m:sty m:val="p"/>
          </m:rPr>
          <m:t>GELU</m:t>
        </m:r>
        <m:r>
          <m:rPr>
            <m:sty m:val="p"/>
          </m:rPr>
          <m:t>(</m:t>
        </m:r>
        <m:r>
          <m:t>x</m:t>
        </m:r>
        <m:sSub>
          <m:e>
            <m:r>
              <m:t>W</m:t>
            </m:r>
          </m:e>
          <m:sub>
            <m:r>
              <m:t>1</m:t>
            </m:r>
          </m:sub>
        </m:sSub>
        <m:r>
          <m:rPr>
            <m:sty m:val="p"/>
          </m:rPr>
          <m:t>)</m:t>
        </m:r>
        <m:sSub>
          <m:e>
            <m:r>
              <m:t>W</m:t>
            </m:r>
          </m:e>
          <m:sub>
            <m:r>
              <m:t>2</m:t>
            </m:r>
          </m:sub>
        </m:sSub>
      </m:oMath>
      <w:r>
        <w:t xml:space="preserve">, com expansão de fator 4 e portanto</w:t>
      </w:r>
      <w:r>
        <w:t xml:space="preserve"> </w:t>
      </w:r>
      <m:oMath>
        <m:r>
          <m:t>8</m:t>
        </m:r>
        <m:sSup>
          <m:e>
            <m:r>
              <m:t>d</m:t>
            </m:r>
          </m:e>
          <m:sup>
            <m:r>
              <m:t>2</m:t>
            </m:r>
          </m:sup>
        </m:sSup>
      </m:oMath>
      <w:r>
        <w:t xml:space="preserve"> </w:t>
      </w:r>
      <w:r>
        <w:t xml:space="preserve">parâmetros. A família</w:t>
      </w:r>
      <w:r>
        <w:t xml:space="preserve"> </w:t>
      </w:r>
      <w:r>
        <w:rPr>
          <w:iCs/>
          <w:i/>
        </w:rPr>
        <w:t xml:space="preserve">Gated Linear Units</w:t>
      </w:r>
      <w:r>
        <w:t xml:space="preserve"> </w:t>
      </w:r>
      <w:r>
        <w:t xml:space="preserve">(DAUPHIN et al., 2017) substitui essa composição por uma estrutura multiplicativa: dois ramos lineares paralelos, um dos quais modula o outro elemento a elemento,</w:t>
      </w:r>
      <w:r>
        <w:t xml:space="preserve"> </w:t>
      </w:r>
      <m:oMath>
        <m:r>
          <m:rPr>
            <m:nor/>
            <m:sty m:val="p"/>
          </m:rPr>
          <m:t>GLU</m:t>
        </m:r>
        <m:r>
          <m:rPr>
            <m:sty m:val="p"/>
          </m:rPr>
          <m:t>(</m:t>
        </m:r>
        <m:r>
          <m:t>x</m:t>
        </m:r>
        <m:r>
          <m:rPr>
            <m:sty m:val="p"/>
          </m:rPr>
          <m:t>)</m:t>
        </m:r>
        <m:r>
          <m:rPr>
            <m:sty m:val="p"/>
          </m:rPr>
          <m:t>=</m:t>
        </m:r>
        <m:r>
          <m:t>σ</m:t>
        </m:r>
        <m:r>
          <m:rPr>
            <m:sty m:val="p"/>
          </m:rPr>
          <m:t>(</m:t>
        </m:r>
        <m:r>
          <m:t>x</m:t>
        </m:r>
        <m:r>
          <m:t>W</m:t>
        </m:r>
        <m:r>
          <m:rPr>
            <m:sty m:val="p"/>
          </m:rPr>
          <m:t>)</m:t>
        </m:r>
        <m:r>
          <m:rPr>
            <m:sty m:val="p"/>
          </m:rPr>
          <m:t>⊙</m:t>
        </m:r>
        <m:r>
          <m:rPr>
            <m:sty m:val="p"/>
          </m:rPr>
          <m:t>(</m:t>
        </m:r>
        <m:r>
          <m:t>x</m:t>
        </m:r>
        <m:r>
          <m:t>V</m:t>
        </m:r>
        <m:r>
          <m:rPr>
            <m:sty m:val="p"/>
          </m:rPr>
          <m:t>)</m:t>
        </m:r>
      </m:oMath>
      <w:r>
        <w:t xml:space="preserve">. A variante adotada pelo LLaMA emprega a ativação SiLU e três projeções sem</w:t>
      </w:r>
      <w:r>
        <w:t xml:space="preserve"> </w:t>
      </w:r>
      <w:r>
        <w:rPr>
          <w:iCs/>
          <w:i/>
        </w:rPr>
        <w:t xml:space="preserve">bias</w:t>
      </w:r>
      <w:r>
        <w:t xml:space="preserve">:</w:t>
      </w:r>
    </w:p>
    <w:p>
      <w:pPr>
        <w:pStyle w:val="BodyText"/>
      </w:pPr>
      <m:oMathPara>
        <m:oMathParaPr>
          <m:jc m:val="center"/>
        </m:oMathParaPr>
        <m:oMath>
          <m:r>
            <m:rPr>
              <m:nor/>
              <m:sty m:val="p"/>
            </m:rPr>
            <m:t>SwiGLU</m:t>
          </m:r>
          <m:r>
            <m:rPr>
              <m:sty m:val="p"/>
            </m:rPr>
            <m:t>(</m:t>
          </m:r>
          <m:r>
            <m:t>x</m:t>
          </m:r>
          <m:r>
            <m:rPr>
              <m:sty m:val="p"/>
            </m:rPr>
            <m:t>)</m:t>
          </m:r>
          <m:r>
            <m:rPr>
              <m:sty m:val="p"/>
            </m:rPr>
            <m:t>=</m:t>
          </m:r>
          <m:d>
            <m:dPr>
              <m:begChr m:val="("/>
              <m:endChr m:val=")"/>
              <m:grow/>
            </m:dPr>
            <m:e>
              <m:r>
                <m:rPr>
                  <m:nor/>
                  <m:sty m:val="p"/>
                </m:rPr>
                <m:t>SiLU</m:t>
              </m:r>
              <m:r>
                <m:rPr>
                  <m:sty m:val="p"/>
                </m:rPr>
                <m:t>(</m:t>
              </m:r>
              <m:r>
                <m:t>x</m:t>
              </m:r>
              <m:sSub>
                <m:e>
                  <m:r>
                    <m:t>W</m:t>
                  </m:r>
                </m:e>
                <m:sub>
                  <m:r>
                    <m:t>g</m:t>
                  </m:r>
                </m:sub>
              </m:sSub>
              <m:r>
                <m:rPr>
                  <m:sty m:val="p"/>
                </m:rPr>
                <m:t>)</m:t>
              </m:r>
              <m:r>
                <m:rPr>
                  <m:sty m:val="p"/>
                </m:rPr>
                <m:t>⊙</m:t>
              </m:r>
              <m:r>
                <m:rPr>
                  <m:sty m:val="p"/>
                </m:rPr>
                <m:t>(</m:t>
              </m:r>
              <m:r>
                <m:t>x</m:t>
              </m:r>
              <m:sSub>
                <m:e>
                  <m:r>
                    <m:t>W</m:t>
                  </m:r>
                </m:e>
                <m:sub>
                  <m:r>
                    <m:t>u</m:t>
                  </m:r>
                </m:sub>
              </m:sSub>
              <m:r>
                <m:rPr>
                  <m:sty m:val="p"/>
                </m:rPr>
                <m:t>)</m:t>
              </m:r>
            </m:e>
          </m:d>
          <m:sSub>
            <m:e>
              <m:r>
                <m:t>W</m:t>
              </m:r>
            </m:e>
            <m:sub>
              <m:r>
                <m:t>d</m:t>
              </m:r>
            </m:sub>
          </m:sSub>
          <m:r>
            <m:rPr>
              <m:sty m:val="p"/>
            </m:rPr>
            <m:t>.</m:t>
          </m:r>
        </m:oMath>
      </m:oMathPara>
    </w:p>
    <w:p>
      <w:pPr>
        <w:pStyle w:val="FirstParagraph"/>
      </w:pPr>
      <w:r>
        <w:t xml:space="preserve">A comparação com a MLP clássica só é informativa se o orçamento de parâmetros for igualado — do contrário, qualquer ganho poderia ser atribuído a capacidade extra. Impondo</w:t>
      </w:r>
      <w:r>
        <w:t xml:space="preserve"> </w:t>
      </w:r>
      <m:oMath>
        <m:r>
          <m:t>3</m:t>
        </m:r>
        <m:r>
          <m:rPr>
            <m:sty m:val="p"/>
          </m:rPr>
          <m:t>⋅</m:t>
        </m:r>
        <m:r>
          <m:t>d</m:t>
        </m:r>
        <m:r>
          <m:rPr>
            <m:sty m:val="p"/>
          </m:rPr>
          <m:t>⋅</m:t>
        </m:r>
        <m:r>
          <m:t>h</m:t>
        </m:r>
        <m:r>
          <m:rPr>
            <m:sty m:val="p"/>
          </m:rPr>
          <m:t>=</m:t>
        </m:r>
        <m:r>
          <m:t>8</m:t>
        </m:r>
        <m:sSup>
          <m:e>
            <m:r>
              <m:t>d</m:t>
            </m:r>
          </m:e>
          <m:sup>
            <m:r>
              <m:t>2</m:t>
            </m:r>
          </m:sup>
        </m:sSup>
      </m:oMath>
      <w:r>
        <w:t xml:space="preserve"> </w:t>
      </w:r>
      <w:r>
        <w:t xml:space="preserve">obtém-se</w:t>
      </w:r>
      <w:r>
        <w:t xml:space="preserve"> </w:t>
      </w:r>
      <m:oMath>
        <m:r>
          <m:t>h</m:t>
        </m:r>
        <m:r>
          <m:rPr>
            <m:sty m:val="p"/>
          </m:rPr>
          <m:t>=</m:t>
        </m:r>
        <m:r>
          <m:t>8</m:t>
        </m:r>
        <m:r>
          <m:t>d</m:t>
        </m:r>
        <m:r>
          <m:rPr>
            <m:sty m:val="p"/>
          </m:rPr>
          <m:t>/</m:t>
        </m:r>
        <m:r>
          <m:t>3</m:t>
        </m:r>
      </m:oMath>
      <w:r>
        <w:t xml:space="preserve">, e é sob essa restrição que Shazeer (2020) relata melhoria consistente. O autor é explícito quanto ao caráter empírico do resultado; a explicação mais aceita é estrutural: o ramo não ativado oferece um percurso linear direto, enquanto o produto entre dois ramos lineares gera interações de segunda ordem que uma composição com não linearidade pontual não representa com a mesma economia. Na prática,</w:t>
      </w:r>
      <w:r>
        <w:t xml:space="preserve"> </w:t>
      </w:r>
      <m:oMath>
        <m:r>
          <m:t>h</m:t>
        </m:r>
      </m:oMath>
      <w:r>
        <w:t xml:space="preserve"> </w:t>
      </w:r>
      <w:r>
        <w:t xml:space="preserve">é arredondado para o múltiplo de 64 imediatamente superior,</w:t>
      </w:r>
      <w:r>
        <w:t xml:space="preserve"> </w:t>
      </w:r>
      <m:oMath>
        <m:r>
          <m:t>h</m:t>
        </m:r>
        <m:r>
          <m:rPr>
            <m:sty m:val="p"/>
          </m:rPr>
          <m:t>=</m:t>
        </m:r>
        <m:r>
          <m:t>64</m:t>
        </m:r>
        <m:r>
          <m:rPr>
            <m:sty m:val="p"/>
          </m:rPr>
          <m:t>⌈</m:t>
        </m:r>
        <m:r>
          <m:rPr>
            <m:sty m:val="p"/>
          </m:rPr>
          <m:t>(</m:t>
        </m:r>
        <m:r>
          <m:t>8</m:t>
        </m:r>
        <m:r>
          <m:t>d</m:t>
        </m:r>
        <m:r>
          <m:rPr>
            <m:sty m:val="p"/>
          </m:rPr>
          <m:t>/</m:t>
        </m:r>
        <m:r>
          <m:t>3</m:t>
        </m:r>
        <m:r>
          <m:rPr>
            <m:sty m:val="p"/>
          </m:rPr>
          <m:t>)</m:t>
        </m:r>
        <m:r>
          <m:rPr>
            <m:sty m:val="p"/>
          </m:rPr>
          <m:t>/</m:t>
        </m:r>
        <m:r>
          <m:t>64</m:t>
        </m:r>
        <m:r>
          <m:rPr>
            <m:sty m:val="p"/>
          </m:rPr>
          <m:t>⌉</m:t>
        </m:r>
      </m:oMath>
      <w:r>
        <w:t xml:space="preserve">, por razões de eficiência de</w:t>
      </w:r>
      <w:r>
        <w:t xml:space="preserve"> </w:t>
      </w:r>
      <w:r>
        <w:rPr>
          <w:iCs/>
          <w:i/>
        </w:rPr>
        <w:t xml:space="preserve">kernel</w:t>
      </w:r>
      <w:r>
        <w:t xml:space="preserve"> </w:t>
      </w:r>
      <w:r>
        <w:t xml:space="preserve">em GPU — a mesma prática adotada na implementação de referência do LLaMA.</w:t>
      </w:r>
    </w:p>
    <w:p>
      <w:pPr>
        <w:pStyle w:val="BodyText"/>
      </w:pPr>
      <w:r>
        <w:t xml:space="preserve">Uma segunda economia opera na fronteira do modelo. A matriz que converte a representação final em</w:t>
      </w:r>
      <w:r>
        <w:t xml:space="preserve"> </w:t>
      </w:r>
      <w:r>
        <w:rPr>
          <w:iCs/>
          <w:i/>
        </w:rPr>
        <w:t xml:space="preserve">logits</w:t>
      </w:r>
      <w:r>
        <w:t xml:space="preserve"> </w:t>
      </w:r>
      <w:r>
        <w:t xml:space="preserve">tem exatamente a forma transposta da tabela de</w:t>
      </w:r>
      <w:r>
        <w:t xml:space="preserve"> </w:t>
      </w:r>
      <w:r>
        <w:rPr>
          <w:iCs/>
          <w:i/>
        </w:rPr>
        <w:t xml:space="preserve">embedding</w:t>
      </w:r>
      <w:r>
        <w:t xml:space="preserve">, e ambas relacionam o mesmo vocabulário ao mesmo espaço latente. Compartilhá-las (</w:t>
      </w:r>
      <w:r>
        <w:rPr>
          <w:iCs/>
          <w:i/>
        </w:rPr>
        <w:t xml:space="preserve">weight tying</w:t>
      </w:r>
      <w:r>
        <w:t xml:space="preserve">) elimina</w:t>
      </w:r>
      <w:r>
        <w:t xml:space="preserve"> </w:t>
      </w:r>
      <m:oMath>
        <m:r>
          <m:t>V</m:t>
        </m:r>
        <m:r>
          <m:rPr>
            <m:sty m:val="p"/>
          </m:rPr>
          <m:t>⋅</m:t>
        </m:r>
        <m:r>
          <m:t>d</m:t>
        </m:r>
      </m:oMath>
      <w:r>
        <w:t xml:space="preserve"> </w:t>
      </w:r>
      <w:r>
        <w:t xml:space="preserve">parâmetros — em modelos pequenos, uma fração relevante do total, como quantificado na Figura 3.</w:t>
      </w:r>
    </w:p>
    <w:bookmarkEnd w:id="34"/>
    <w:bookmarkStart w:id="37" w:name="Xbeed91464ad2cad79ab3ab7efde8009c97c08c9"/>
    <w:p>
      <w:pPr>
        <w:pStyle w:val="Heading2"/>
      </w:pPr>
      <w:r>
        <w:t xml:space="preserve">2.6 Codificar posição sem gastar parâmetros: RoPE</w:t>
      </w:r>
    </w:p>
    <w:p>
      <w:pPr>
        <w:pStyle w:val="FirstParagraph"/>
      </w:pPr>
      <w:r>
        <w:t xml:space="preserve">A operação da Seção 2.3 é invariante a permutação: reordenar as posições de entrada reordena as saídas sem alterar seus valores. Como a ordem das palavras carrega significado, a informação posicional precisa ser injetada explicitamente.</w:t>
      </w:r>
    </w:p>
    <w:p>
      <w:pPr>
        <w:pStyle w:val="BodyText"/>
      </w:pPr>
      <w:r>
        <w:t xml:space="preserve">A solução do GPT-2 é somar à</w:t>
      </w:r>
      <w:r>
        <w:t xml:space="preserve"> </w:t>
      </w:r>
      <w:r>
        <w:rPr>
          <w:iCs/>
          <w:i/>
        </w:rPr>
        <w:t xml:space="preserve">embedding</w:t>
      </w:r>
      <w:r>
        <w:t xml:space="preserve"> </w:t>
      </w:r>
      <w:r>
        <w:t xml:space="preserve">de conteúdo um vetor posicional aprendido,</w:t>
      </w:r>
      <w:r>
        <w:t xml:space="preserve"> </w:t>
      </w:r>
      <m:oMath>
        <m:sSub>
          <m:e>
            <m:r>
              <m:t>h</m:t>
            </m:r>
          </m:e>
          <m:sub>
            <m:r>
              <m:t>0</m:t>
            </m:r>
          </m:sub>
        </m:sSub>
        <m:r>
          <m:rPr>
            <m:sty m:val="p"/>
          </m:rPr>
          <m:t>=</m:t>
        </m:r>
        <m:r>
          <m:rPr>
            <m:nor/>
            <m:sty m:val="p"/>
          </m:rPr>
          <m:t>Embed</m:t>
        </m:r>
        <m:r>
          <m:rPr>
            <m:sty m:val="p"/>
          </m:rPr>
          <m:t>(</m:t>
        </m:r>
        <m:sSub>
          <m:e>
            <m:r>
              <m:t>x</m:t>
            </m:r>
          </m:e>
          <m:sub>
            <m:r>
              <m:t>t</m:t>
            </m:r>
          </m:sub>
        </m:sSub>
        <m:r>
          <m:rPr>
            <m:sty m:val="p"/>
          </m:rPr>
          <m:t>)</m:t>
        </m:r>
        <m:r>
          <m:rPr>
            <m:sty m:val="p"/>
          </m:rPr>
          <m:t>+</m:t>
        </m:r>
        <m:r>
          <m:rPr>
            <m:nor/>
            <m:sty m:val="p"/>
          </m:rPr>
          <m:t>PosEmbed</m:t>
        </m:r>
        <m:r>
          <m:rPr>
            <m:sty m:val="p"/>
          </m:rPr>
          <m:t>(</m:t>
        </m:r>
        <m:r>
          <m:t>t</m:t>
        </m:r>
        <m:r>
          <m:rPr>
            <m:sty m:val="p"/>
          </m:rPr>
          <m:t>)</m:t>
        </m:r>
      </m:oMath>
      <w:r>
        <w:t xml:space="preserve">. Três limitações decorrem dessa escolha: consome</w:t>
      </w:r>
      <w:r>
        <w:t xml:space="preserve"> </w:t>
      </w:r>
      <m:oMath>
        <m:sSub>
          <m:e>
            <m:r>
              <m:t>T</m:t>
            </m:r>
          </m:e>
          <m:sub>
            <m:r>
              <m:rPr>
                <m:nor/>
                <m:sty m:val="p"/>
              </m:rPr>
              <m:t>max</m:t>
            </m:r>
          </m:sub>
        </m:sSub>
        <m:r>
          <m:rPr>
            <m:sty m:val="p"/>
          </m:rPr>
          <m:t>⋅</m:t>
        </m:r>
        <m:r>
          <m:t>d</m:t>
        </m:r>
      </m:oMath>
      <w:r>
        <w:t xml:space="preserve"> </w:t>
      </w:r>
      <w:r>
        <w:t xml:space="preserve">parâmetros; não define comportamento para</w:t>
      </w:r>
      <w:r>
        <w:t xml:space="preserve"> </w:t>
      </w:r>
      <m:oMath>
        <m:r>
          <m:t>t</m:t>
        </m:r>
        <m:r>
          <m:rPr>
            <m:sty m:val="p"/>
          </m:rPr>
          <m:t>≥</m:t>
        </m:r>
        <m:sSub>
          <m:e>
            <m:r>
              <m:t>T</m:t>
            </m:r>
          </m:e>
          <m:sub>
            <m:r>
              <m:rPr>
                <m:nor/>
                <m:sty m:val="p"/>
              </m:rPr>
              <m:t>max</m:t>
            </m:r>
          </m:sub>
        </m:sSub>
      </m:oMath>
      <w:r>
        <w:t xml:space="preserve">, impedindo extrapolação; e sobrepõe conteúdo e posição no mesmo vetor, obrigando as camadas seguintes a separá-los.</w:t>
      </w:r>
    </w:p>
    <w:p>
      <w:pPr>
        <w:pStyle w:val="BodyText"/>
      </w:pPr>
      <w:r>
        <w:t xml:space="preserve">A codificação rotacional (SU et al., 2021) parte de uma observação distinta: o que a atenção consome não são as</w:t>
      </w:r>
      <w:r>
        <w:t xml:space="preserve"> </w:t>
      </w:r>
      <w:r>
        <w:rPr>
          <w:iCs/>
          <w:i/>
        </w:rPr>
        <w:t xml:space="preserve">embeddings</w:t>
      </w:r>
      <w:r>
        <w:t xml:space="preserve">, mas produtos internos entre</w:t>
      </w:r>
      <w:r>
        <w:t xml:space="preserve"> </w:t>
      </w:r>
      <w:r>
        <w:rPr>
          <w:iCs/>
          <w:i/>
        </w:rPr>
        <w:t xml:space="preserve">queries</w:t>
      </w:r>
      <w:r>
        <w:t xml:space="preserve"> </w:t>
      </w:r>
      <w:r>
        <w:t xml:space="preserve">e</w:t>
      </w:r>
      <w:r>
        <w:t xml:space="preserve"> </w:t>
      </w:r>
      <w:r>
        <w:rPr>
          <w:iCs/>
          <w:i/>
        </w:rPr>
        <w:t xml:space="preserve">keys</w:t>
      </w:r>
      <w:r>
        <w:t xml:space="preserve">. Basta, portanto, que a posição afete o produto interno — e a operação que altera produtos internos preservando normas é a rotação. Tratando pares de dimensões</w:t>
      </w:r>
      <w:r>
        <w:t xml:space="preserve"> </w:t>
      </w:r>
      <m:oMath>
        <m:r>
          <m:rPr>
            <m:sty m:val="p"/>
          </m:rPr>
          <m:t>(</m:t>
        </m:r>
        <m:r>
          <m:t>2</m:t>
        </m:r>
        <m:r>
          <m:t>i</m:t>
        </m:r>
        <m:r>
          <m:rPr>
            <m:sty m:val="p"/>
          </m:rPr>
          <m:t>,</m:t>
        </m:r>
        <m:r>
          <m:t> </m:t>
        </m:r>
        <m:r>
          <m:t>2</m:t>
        </m:r>
        <m:r>
          <m:t>i</m:t>
        </m:r>
        <m:r>
          <m:rPr>
            <m:sty m:val="p"/>
          </m:rPr>
          <m:t>+</m:t>
        </m:r>
        <m:r>
          <m:t>1</m:t>
        </m:r>
        <m:r>
          <m:rPr>
            <m:sty m:val="p"/>
          </m:rPr>
          <m:t>)</m:t>
        </m:r>
      </m:oMath>
      <w:r>
        <w:t xml:space="preserve"> </w:t>
      </w:r>
      <w:r>
        <w:t xml:space="preserve">como planos, aplica-se</w:t>
      </w:r>
    </w:p>
    <w:p>
      <w:pPr>
        <w:pStyle w:val="BodyText"/>
      </w:pPr>
      <m:oMathPara>
        <m:oMathParaPr>
          <m:jc m:val="center"/>
        </m:oMathParaPr>
        <m:oMath>
          <m:r>
            <m:t>R</m:t>
          </m:r>
          <m:r>
            <m:rPr>
              <m:sty m:val="p"/>
            </m:rPr>
            <m:t>(</m:t>
          </m:r>
          <m:r>
            <m:t>θ</m:t>
          </m:r>
          <m:r>
            <m:rPr>
              <m:sty m:val="p"/>
            </m:rPr>
            <m:t>)</m:t>
          </m:r>
          <m:r>
            <m:rPr>
              <m:sty m:val="p"/>
            </m:rPr>
            <m:t>=</m:t>
          </m:r>
          <m:d>
            <m:dPr>
              <m:begChr m:val="("/>
              <m:endChr m:val=")"/>
              <m:grow/>
            </m:dPr>
            <m:e>
              <m:m>
                <m:mPr>
                  <m:baseJc m:val="center"/>
                  <m:plcHide m:val="1"/>
                  <m:mcs>
                    <m:mc>
                      <m:mcPr>
                        <m:mcJc m:val="center"/>
                        <m:count m:val="1"/>
                      </m:mcPr>
                    </m:mc>
                    <m:mc>
                      <m:mcPr>
                        <m:mcJc m:val="center"/>
                        <m:count m:val="1"/>
                      </m:mcPr>
                    </m:mc>
                  </m:mcs>
                </m:mPr>
                <m:mr>
                  <m:e>
                    <m:r>
                      <m:rPr>
                        <m:nor/>
                        <m:sty m:val="p"/>
                      </m:rPr>
                      <m:t>cos</m:t>
                    </m:r>
                    <m:r>
                      <m:t>θ</m:t>
                    </m:r>
                  </m:e>
                  <m:e>
                    <m:r>
                      <m:rPr>
                        <m:sty m:val="p"/>
                      </m:rPr>
                      <m:t>−</m:t>
                    </m:r>
                    <m:r>
                      <m:rPr>
                        <m:nor/>
                        <m:sty m:val="p"/>
                      </m:rPr>
                      <m:t>sin</m:t>
                    </m:r>
                    <m:r>
                      <m:t>θ</m:t>
                    </m:r>
                  </m:e>
                </m:mr>
                <m:mr>
                  <m:e>
                    <m:r>
                      <m:rPr>
                        <m:nor/>
                        <m:sty m:val="p"/>
                      </m:rPr>
                      <m:t>sin</m:t>
                    </m:r>
                    <m:r>
                      <m:t>θ</m:t>
                    </m:r>
                  </m:e>
                  <m:e>
                    <m:r>
                      <m:rPr>
                        <m:nor/>
                        <m:sty m:val="p"/>
                      </m:rPr>
                      <m:t>cos</m:t>
                    </m:r>
                    <m:r>
                      <m:t>θ</m:t>
                    </m:r>
                  </m:e>
                </m:mr>
              </m:m>
            </m:e>
          </m:d>
          <m:r>
            <m:rPr>
              <m:sty m:val="p"/>
            </m:rPr>
            <m:t>,</m:t>
          </m:r>
        </m:oMath>
      </m:oMathPara>
    </w:p>
    <w:p>
      <w:pPr>
        <w:pStyle w:val="FirstParagraph"/>
      </w:pPr>
      <w:r>
        <w:t xml:space="preserve">com ângulo proporcional à posição e frequências</w:t>
      </w:r>
      <w:r>
        <w:t xml:space="preserve"> </w:t>
      </w:r>
      <m:oMath>
        <m:sSub>
          <m:e>
            <m:r>
              <m:t>θ</m:t>
            </m:r>
          </m:e>
          <m:sub>
            <m:r>
              <m:t>i</m:t>
            </m:r>
          </m:sub>
        </m:sSub>
        <m:r>
          <m:rPr>
            <m:sty m:val="p"/>
          </m:rPr>
          <m:t>=</m:t>
        </m:r>
        <m:sSup>
          <m:e>
            <m:r>
              <m:t>b</m:t>
            </m:r>
          </m:e>
          <m:sup>
            <m:r>
              <m:rPr>
                <m:sty m:val="p"/>
              </m:rPr>
              <m:t>−</m:t>
            </m:r>
            <m:r>
              <m:t>2</m:t>
            </m:r>
            <m:r>
              <m:t>i</m:t>
            </m:r>
            <m:r>
              <m:rPr>
                <m:sty m:val="p"/>
              </m:rPr>
              <m:t>/</m:t>
            </m:r>
            <m:sSub>
              <m:e>
                <m:r>
                  <m:t>d</m:t>
                </m:r>
              </m:e>
              <m:sub>
                <m:r>
                  <m:t>h</m:t>
                </m:r>
              </m:sub>
            </m:sSub>
          </m:sup>
        </m:sSup>
      </m:oMath>
      <w:r>
        <w:t xml:space="preserve">,</w:t>
      </w:r>
      <w:r>
        <w:t xml:space="preserve"> </w:t>
      </w:r>
      <m:oMath>
        <m:r>
          <m:t>b</m:t>
        </m:r>
        <m:r>
          <m:rPr>
            <m:sty m:val="p"/>
          </m:rPr>
          <m:t>=</m:t>
        </m:r>
        <m:r>
          <m:t>10000</m:t>
        </m:r>
      </m:oMath>
      <w:r>
        <w:t xml:space="preserve">. O espectro de frequências é o que dá à construção sua expressividade: os pares de baixa dimensão giram rápido e resolvem ordem local, enquanto os de alta dimensão giram lentamente e codificam estrutura de longo alcance (Figura 9).</w:t>
      </w:r>
    </w:p>
    <w:p>
      <w:pPr>
        <w:pStyle w:val="CaptionedFigure"/>
      </w:pPr>
      <w:r>
        <w:drawing>
          <wp:inline>
            <wp:extent cx="5334000" cy="2021632"/>
            <wp:effectExtent b="0" l="0" r="0" t="0"/>
            <wp:docPr descr="Figura 9" title="" id="1" name="Picture"/>
            <a:graphic>
              <a:graphicData uri="http://schemas.openxmlformats.org/drawingml/2006/picture">
                <pic:pic>
                  <pic:nvPicPr>
                    <pic:cNvPr descr="media/rId35.png" id="0" name="Picture"/>
                    <pic:cNvPicPr>
                      <a:picLocks noChangeArrowheads="1" noChangeAspect="1"/>
                    </pic:cNvPicPr>
                  </pic:nvPicPr>
                  <pic:blipFill>
                    <a:blip r:embed="rId35"/>
                    <a:stretch>
                      <a:fillRect/>
                    </a:stretch>
                  </pic:blipFill>
                  <pic:spPr bwMode="auto">
                    <a:xfrm>
                      <a:off x="0" y="0"/>
                      <a:ext cx="5334000" cy="2021632"/>
                    </a:xfrm>
                    <a:prstGeom prst="rect">
                      <a:avLst/>
                    </a:prstGeom>
                    <a:noFill/>
                    <a:ln w="9525">
                      <a:noFill/>
                      <a:headEnd/>
                      <a:tailEnd/>
                    </a:ln>
                  </pic:spPr>
                </pic:pic>
              </a:graphicData>
            </a:graphic>
          </wp:inline>
        </w:drawing>
      </w:r>
    </w:p>
    <w:p>
      <w:pPr>
        <w:pStyle w:val="ImageCaption"/>
      </w:pPr>
      <w:r>
        <w:t xml:space="preserve">Figura 9</w:t>
      </w:r>
    </w:p>
    <w:p>
      <w:pPr>
        <w:pStyle w:val="BodyText"/>
      </w:pPr>
      <w:r>
        <w:t xml:space="preserve">Figura 9 – RoPE como rotação. À esquerda, o mesmo vetor rotacionado por posições crescentes</w:t>
      </w:r>
      <w:r>
        <w:t xml:space="preserve"> </w:t>
      </w:r>
      <m:oMath>
        <m:r>
          <m:t>m</m:t>
        </m:r>
      </m:oMath>
      <w:r>
        <w:t xml:space="preserve">. À direita, as frequências</w:t>
      </w:r>
      <w:r>
        <w:t xml:space="preserve"> </w:t>
      </w:r>
      <m:oMath>
        <m:sSub>
          <m:e>
            <m:r>
              <m:t>θ</m:t>
            </m:r>
          </m:e>
          <m:sub>
            <m:r>
              <m:t>i</m:t>
            </m:r>
          </m:sub>
        </m:sSub>
        <m:r>
          <m:rPr>
            <m:sty m:val="p"/>
          </m:rPr>
          <m:t>=</m:t>
        </m:r>
        <m:sSup>
          <m:e>
            <m:r>
              <m:t>b</m:t>
            </m:r>
          </m:e>
          <m:sup>
            <m:r>
              <m:rPr>
                <m:sty m:val="p"/>
              </m:rPr>
              <m:t>−</m:t>
            </m:r>
            <m:r>
              <m:t>2</m:t>
            </m:r>
            <m:r>
              <m:t>i</m:t>
            </m:r>
            <m:r>
              <m:rPr>
                <m:sty m:val="p"/>
              </m:rPr>
              <m:t>/</m:t>
            </m:r>
            <m:sSub>
              <m:e>
                <m:r>
                  <m:t>d</m:t>
                </m:r>
              </m:e>
              <m:sub>
                <m:r>
                  <m:t>h</m:t>
                </m:r>
              </m:sub>
            </m:sSub>
          </m:sup>
        </m:sSup>
      </m:oMath>
      <w:r>
        <w:t xml:space="preserve"> </w:t>
      </w:r>
      <w:r>
        <w:t xml:space="preserve">em escala semilogarítmica. Fonte: elaborada pelo autor a partir dos</w:t>
      </w:r>
      <w:r>
        <w:t xml:space="preserve"> </w:t>
      </w:r>
      <w:r>
        <w:rPr>
          <w:iCs/>
          <w:i/>
        </w:rPr>
        <w:t xml:space="preserve">notebooks</w:t>
      </w:r>
      <w:r>
        <w:t xml:space="preserve"> </w:t>
      </w:r>
      <w:r>
        <w:t xml:space="preserve">do projeto (2026).</w:t>
      </w:r>
    </w:p>
    <w:p>
      <w:pPr>
        <w:pStyle w:val="BodyText"/>
      </w:pPr>
      <w:r>
        <w:t xml:space="preserve">A propriedade que justifica o método decorre da estrutura do grupo de rotações. Com</w:t>
      </w:r>
      <w:r>
        <w:t xml:space="preserve"> </w:t>
      </w:r>
      <m:oMath>
        <m:r>
          <m:t>Q</m:t>
        </m:r>
        <m:sSub>
          <m:e>
            <m:r>
              <m:rPr>
                <m:sty m:val="p"/>
              </m:rPr>
              <m:t>′</m:t>
            </m:r>
          </m:e>
          <m:sub>
            <m:r>
              <m:t>m</m:t>
            </m:r>
          </m:sub>
        </m:sSub>
        <m:r>
          <m:rPr>
            <m:sty m:val="p"/>
          </m:rPr>
          <m:t>=</m:t>
        </m:r>
        <m:sSub>
          <m:e>
            <m:r>
              <m:t>R</m:t>
            </m:r>
          </m:e>
          <m:sub>
            <m:r>
              <m:t>m</m:t>
            </m:r>
          </m:sub>
        </m:sSub>
        <m:sSub>
          <m:e>
            <m:r>
              <m:t>Q</m:t>
            </m:r>
          </m:e>
          <m:sub>
            <m:r>
              <m:t>m</m:t>
            </m:r>
          </m:sub>
        </m:sSub>
      </m:oMath>
      <w:r>
        <w:t xml:space="preserve"> </w:t>
      </w:r>
      <w:r>
        <w:t xml:space="preserve">e</w:t>
      </w:r>
      <w:r>
        <w:t xml:space="preserve"> </w:t>
      </w:r>
      <m:oMath>
        <m:r>
          <m:t>K</m:t>
        </m:r>
        <m:sSub>
          <m:e>
            <m:r>
              <m:rPr>
                <m:sty m:val="p"/>
              </m:rPr>
              <m:t>′</m:t>
            </m:r>
          </m:e>
          <m:sub>
            <m:r>
              <m:t>n</m:t>
            </m:r>
          </m:sub>
        </m:sSub>
        <m:r>
          <m:rPr>
            <m:sty m:val="p"/>
          </m:rPr>
          <m:t>=</m:t>
        </m:r>
        <m:sSub>
          <m:e>
            <m:r>
              <m:t>R</m:t>
            </m:r>
          </m:e>
          <m:sub>
            <m:r>
              <m:t>n</m:t>
            </m:r>
          </m:sub>
        </m:sSub>
        <m:sSub>
          <m:e>
            <m:r>
              <m:t>K</m:t>
            </m:r>
          </m:e>
          <m:sub>
            <m:r>
              <m:t>n</m:t>
            </m:r>
          </m:sub>
        </m:sSub>
      </m:oMath>
      <w:r>
        <w:t xml:space="preserve">, e usando</w:t>
      </w:r>
      <w:r>
        <w:t xml:space="preserve"> </w:t>
      </w:r>
      <m:oMath>
        <m:sSubSup>
          <m:e>
            <m:r>
              <m:t>R</m:t>
            </m:r>
          </m:e>
          <m:sub>
            <m:r>
              <m:t>m</m:t>
            </m:r>
          </m:sub>
          <m:sup>
            <m:r>
              <m:rPr>
                <m:sty m:val="p"/>
              </m:rPr>
              <m:t>⊤</m:t>
            </m:r>
          </m:sup>
        </m:sSubSup>
        <m:sSub>
          <m:e>
            <m:r>
              <m:t>R</m:t>
            </m:r>
          </m:e>
          <m:sub>
            <m:r>
              <m:t>n</m:t>
            </m:r>
          </m:sub>
        </m:sSub>
        <m:r>
          <m:rPr>
            <m:sty m:val="p"/>
          </m:rPr>
          <m:t>=</m:t>
        </m:r>
        <m:sSub>
          <m:e>
            <m:r>
              <m:t>R</m:t>
            </m:r>
          </m:e>
          <m:sub>
            <m:r>
              <m:t>n</m:t>
            </m:r>
            <m:r>
              <m:rPr>
                <m:sty m:val="p"/>
              </m:rPr>
              <m:t>−</m:t>
            </m:r>
            <m:r>
              <m:t>m</m:t>
            </m:r>
          </m:sub>
        </m:sSub>
      </m:oMath>
      <w:r>
        <w:t xml:space="preserve">,</w:t>
      </w:r>
    </w:p>
    <w:p>
      <w:pPr>
        <w:pStyle w:val="BodyText"/>
      </w:pPr>
      <m:oMathPara>
        <m:oMathParaPr>
          <m:jc m:val="center"/>
        </m:oMathParaPr>
        <m:oMath>
          <m:r>
            <m:rPr>
              <m:sty m:val="p"/>
            </m:rPr>
            <m:t>⟨</m:t>
          </m:r>
          <m:r>
            <m:t>Q</m:t>
          </m:r>
          <m:sSub>
            <m:e>
              <m:r>
                <m:rPr>
                  <m:sty m:val="p"/>
                </m:rPr>
                <m:t>′</m:t>
              </m:r>
            </m:e>
            <m:sub>
              <m:r>
                <m:t>m</m:t>
              </m:r>
            </m:sub>
          </m:sSub>
          <m:r>
            <m:rPr>
              <m:sty m:val="p"/>
            </m:rPr>
            <m:t>,</m:t>
          </m:r>
          <m:r>
            <m:t> </m:t>
          </m:r>
          <m:r>
            <m:t>K</m:t>
          </m:r>
          <m:sSub>
            <m:e>
              <m:r>
                <m:rPr>
                  <m:sty m:val="p"/>
                </m:rPr>
                <m:t>′</m:t>
              </m:r>
            </m:e>
            <m:sub>
              <m:r>
                <m:t>n</m:t>
              </m:r>
            </m:sub>
          </m:sSub>
          <m:r>
            <m:rPr>
              <m:sty m:val="p"/>
            </m:rPr>
            <m:t>⟩</m:t>
          </m:r>
          <m:r>
            <m:rPr>
              <m:sty m:val="p"/>
            </m:rPr>
            <m:t>=</m:t>
          </m:r>
          <m:sSubSup>
            <m:e>
              <m:r>
                <m:t>Q</m:t>
              </m:r>
            </m:e>
            <m:sub>
              <m:r>
                <m:t>m</m:t>
              </m:r>
            </m:sub>
            <m:sup>
              <m:r>
                <m:rPr>
                  <m:sty m:val="p"/>
                </m:rPr>
                <m:t>⊤</m:t>
              </m:r>
            </m:sup>
          </m:sSubSup>
          <m:sSubSup>
            <m:e>
              <m:r>
                <m:t>R</m:t>
              </m:r>
            </m:e>
            <m:sub>
              <m:r>
                <m:t>m</m:t>
              </m:r>
            </m:sub>
            <m:sup>
              <m:r>
                <m:rPr>
                  <m:sty m:val="p"/>
                </m:rPr>
                <m:t>⊤</m:t>
              </m:r>
            </m:sup>
          </m:sSubSup>
          <m:sSub>
            <m:e>
              <m:r>
                <m:t>R</m:t>
              </m:r>
            </m:e>
            <m:sub>
              <m:r>
                <m:t>n</m:t>
              </m:r>
            </m:sub>
          </m:sSub>
          <m:sSub>
            <m:e>
              <m:r>
                <m:t>K</m:t>
              </m:r>
            </m:e>
            <m:sub>
              <m:r>
                <m:t>n</m:t>
              </m:r>
            </m:sub>
          </m:sSub>
          <m:r>
            <m:rPr>
              <m:sty m:val="p"/>
            </m:rPr>
            <m:t>=</m:t>
          </m:r>
          <m:sSubSup>
            <m:e>
              <m:r>
                <m:t>Q</m:t>
              </m:r>
            </m:e>
            <m:sub>
              <m:r>
                <m:t>m</m:t>
              </m:r>
            </m:sub>
            <m:sup>
              <m:r>
                <m:rPr>
                  <m:sty m:val="p"/>
                </m:rPr>
                <m:t>⊤</m:t>
              </m:r>
            </m:sup>
          </m:sSubSup>
          <m:sSub>
            <m:e>
              <m:r>
                <m:t>R</m:t>
              </m:r>
            </m:e>
            <m:sub>
              <m:r>
                <m:t>n</m:t>
              </m:r>
              <m:r>
                <m:rPr>
                  <m:sty m:val="p"/>
                </m:rPr>
                <m:t>−</m:t>
              </m:r>
              <m:r>
                <m:t>m</m:t>
              </m:r>
            </m:sub>
          </m:sSub>
          <m:sSub>
            <m:e>
              <m:r>
                <m:t>K</m:t>
              </m:r>
            </m:e>
            <m:sub>
              <m:r>
                <m:t>n</m:t>
              </m:r>
            </m:sub>
          </m:sSub>
          <m:r>
            <m:rPr>
              <m:sty m:val="p"/>
            </m:rPr>
            <m:t>.</m:t>
          </m:r>
        </m:oMath>
      </m:oMathPara>
    </w:p>
    <w:p>
      <w:pPr>
        <w:pStyle w:val="FirstParagraph"/>
      </w:pPr>
      <w:r>
        <w:t xml:space="preserve">A pontuação de atenção passa a depender apenas da distância</w:t>
      </w:r>
      <w:r>
        <w:t xml:space="preserve"> </w:t>
      </w:r>
      <m:oMath>
        <m:r>
          <m:t>n</m:t>
        </m:r>
        <m:r>
          <m:rPr>
            <m:sty m:val="p"/>
          </m:rPr>
          <m:t>−</m:t>
        </m:r>
        <m:r>
          <m:t>m</m:t>
        </m:r>
      </m:oMath>
      <w:r>
        <w:t xml:space="preserve">, e não das posições absolutas. Isso resolve as três limitações de uma vez: nenhum parâmetro é aprendido, o deslocamento é definido para qualquer posição, e conteúdo e posição permanecem separados, já que a rotação é aplicada dentro da atenção e não à</w:t>
      </w:r>
      <w:r>
        <w:t xml:space="preserve"> </w:t>
      </w:r>
      <w:r>
        <w:rPr>
          <w:iCs/>
          <w:i/>
        </w:rPr>
        <w:t xml:space="preserve">embedding</w:t>
      </w:r>
      <w:r>
        <w:t xml:space="preserve">. A Figura 10 verifica numericamente a invariância à translação.</w:t>
      </w:r>
    </w:p>
    <w:p>
      <w:pPr>
        <w:pStyle w:val="CaptionedFigure"/>
      </w:pPr>
      <w:r>
        <w:drawing>
          <wp:inline>
            <wp:extent cx="5334000" cy="3525864"/>
            <wp:effectExtent b="0" l="0" r="0" t="0"/>
            <wp:docPr descr="Figura 10" title="" id="1" name="Picture"/>
            <a:graphic>
              <a:graphicData uri="http://schemas.openxmlformats.org/drawingml/2006/picture">
                <pic:pic>
                  <pic:nvPicPr>
                    <pic:cNvPr descr="media/rId36.png" id="0" name="Picture"/>
                    <pic:cNvPicPr>
                      <a:picLocks noChangeArrowheads="1" noChangeAspect="1"/>
                    </pic:cNvPicPr>
                  </pic:nvPicPr>
                  <pic:blipFill>
                    <a:blip r:embed="rId36"/>
                    <a:stretch>
                      <a:fillRect/>
                    </a:stretch>
                  </pic:blipFill>
                  <pic:spPr bwMode="auto">
                    <a:xfrm>
                      <a:off x="0" y="0"/>
                      <a:ext cx="5334000" cy="3525864"/>
                    </a:xfrm>
                    <a:prstGeom prst="rect">
                      <a:avLst/>
                    </a:prstGeom>
                    <a:noFill/>
                    <a:ln w="9525">
                      <a:noFill/>
                      <a:headEnd/>
                      <a:tailEnd/>
                    </a:ln>
                  </pic:spPr>
                </pic:pic>
              </a:graphicData>
            </a:graphic>
          </wp:inline>
        </w:drawing>
      </w:r>
    </w:p>
    <w:p>
      <w:pPr>
        <w:pStyle w:val="ImageCaption"/>
      </w:pPr>
      <w:r>
        <w:t xml:space="preserve">Figura 10</w:t>
      </w:r>
    </w:p>
    <w:p>
      <w:pPr>
        <w:pStyle w:val="BodyText"/>
      </w:pPr>
      <w:r>
        <w:t xml:space="preserve">Figura 10 – Produto interno</w:t>
      </w:r>
      <w:r>
        <w:t xml:space="preserve"> </w:t>
      </w:r>
      <m:oMath>
        <m:r>
          <m:rPr>
            <m:sty m:val="p"/>
          </m:rPr>
          <m:t>⟨</m:t>
        </m:r>
        <m:sSub>
          <m:e>
            <m:r>
              <m:t>R</m:t>
            </m:r>
          </m:e>
          <m:sub>
            <m:r>
              <m:t>m</m:t>
            </m:r>
          </m:sub>
        </m:sSub>
        <m:r>
          <m:t>q</m:t>
        </m:r>
        <m:r>
          <m:rPr>
            <m:sty m:val="p"/>
          </m:rPr>
          <m:t>,</m:t>
        </m:r>
        <m:r>
          <m:t> </m:t>
        </m:r>
        <m:sSub>
          <m:e>
            <m:r>
              <m:t>R</m:t>
            </m:r>
          </m:e>
          <m:sub>
            <m:r>
              <m:t>n</m:t>
            </m:r>
          </m:sub>
        </m:sSub>
        <m:r>
          <m:t>k</m:t>
        </m:r>
        <m:r>
          <m:rPr>
            <m:sty m:val="p"/>
          </m:rPr>
          <m:t>⟩</m:t>
        </m:r>
      </m:oMath>
      <w:r>
        <w:t xml:space="preserve"> </w:t>
      </w:r>
      <w:r>
        <w:t xml:space="preserve">em função da distância relativa</w:t>
      </w:r>
      <w:r>
        <w:t xml:space="preserve"> </w:t>
      </w:r>
      <m:oMath>
        <m:r>
          <m:t>n</m:t>
        </m:r>
        <m:r>
          <m:rPr>
            <m:sty m:val="p"/>
          </m:rPr>
          <m:t>−</m:t>
        </m:r>
        <m:r>
          <m:t>m</m:t>
        </m:r>
      </m:oMath>
      <w:r>
        <w:t xml:space="preserve">. Os pontos, calculados para posições absolutas distintas, caem sobre a mesma curva: só a distância importa. Fonte: elaborada pelo autor a partir dos</w:t>
      </w:r>
      <w:r>
        <w:t xml:space="preserve"> </w:t>
      </w:r>
      <w:r>
        <w:rPr>
          <w:iCs/>
          <w:i/>
        </w:rPr>
        <w:t xml:space="preserve">notebooks</w:t>
      </w:r>
      <w:r>
        <w:t xml:space="preserve"> </w:t>
      </w:r>
      <w:r>
        <w:t xml:space="preserve">do projeto (2026).</w:t>
      </w:r>
    </w:p>
    <w:bookmarkEnd w:id="37"/>
    <w:bookmarkStart w:id="39" w:name="custo-de-inferência-kv-cache"/>
    <w:p>
      <w:pPr>
        <w:pStyle w:val="Heading2"/>
      </w:pPr>
      <w:r>
        <w:t xml:space="preserve">2.7 Custo de inferência: KV-cache</w:t>
      </w:r>
    </w:p>
    <w:p>
      <w:pPr>
        <w:pStyle w:val="FirstParagraph"/>
      </w:pPr>
      <w:r>
        <w:t xml:space="preserve">As decisões anteriores otimizam treino. A geração tem um perfil de custo próprio, e ignorá-lo produz uma implementação assintoticamente pior que o necessário.</w:t>
      </w:r>
    </w:p>
    <w:p>
      <w:pPr>
        <w:pStyle w:val="BodyText"/>
      </w:pPr>
      <w:r>
        <w:t xml:space="preserve">Na geração ingênua, cada novo</w:t>
      </w:r>
      <w:r>
        <w:t xml:space="preserve"> </w:t>
      </w:r>
      <w:r>
        <w:rPr>
          <w:iCs/>
          <w:i/>
        </w:rPr>
        <w:t xml:space="preserve">token</w:t>
      </w:r>
      <w:r>
        <w:t xml:space="preserve"> </w:t>
      </w:r>
      <w:r>
        <w:t xml:space="preserve">dispara um</w:t>
      </w:r>
      <w:r>
        <w:t xml:space="preserve"> </w:t>
      </w:r>
      <w:r>
        <w:rPr>
          <w:iCs/>
          <w:i/>
        </w:rPr>
        <w:t xml:space="preserve">forward</w:t>
      </w:r>
      <w:r>
        <w:t xml:space="preserve"> </w:t>
      </w:r>
      <w:r>
        <w:t xml:space="preserve">completo sobre a sequência acumulada, recalculando</w:t>
      </w:r>
      <w:r>
        <w:t xml:space="preserve"> </w:t>
      </w:r>
      <m:oMath>
        <m:r>
          <m:t>Q</m:t>
        </m:r>
      </m:oMath>
      <w:r>
        <w:t xml:space="preserve">,</w:t>
      </w:r>
      <w:r>
        <w:t xml:space="preserve"> </w:t>
      </w:r>
      <m:oMath>
        <m:r>
          <m:t>K</m:t>
        </m:r>
      </m:oMath>
      <w:r>
        <w:t xml:space="preserve"> </w:t>
      </w:r>
      <w:r>
        <w:t xml:space="preserve">e</w:t>
      </w:r>
      <w:r>
        <w:t xml:space="preserve"> </w:t>
      </w:r>
      <m:oMath>
        <m:r>
          <m:t>V</m:t>
        </m:r>
      </m:oMath>
      <w:r>
        <w:t xml:space="preserve"> </w:t>
      </w:r>
      <w:r>
        <w:t xml:space="preserve">de todas as posições anteriores. Produzir</w:t>
      </w:r>
      <w:r>
        <w:t xml:space="preserve"> </w:t>
      </w:r>
      <m:oMath>
        <m:r>
          <m:t>N</m:t>
        </m:r>
      </m:oMath>
      <w:r>
        <w:t xml:space="preserve"> </w:t>
      </w:r>
      <w:r>
        <w:rPr>
          <w:iCs/>
          <w:i/>
        </w:rPr>
        <w:t xml:space="preserve">tokens</w:t>
      </w:r>
      <w:r>
        <w:t xml:space="preserve"> </w:t>
      </w:r>
      <w:r>
        <w:t xml:space="preserve">a partir de um prefixo de tamanho</w:t>
      </w:r>
      <w:r>
        <w:t xml:space="preserve"> </w:t>
      </w:r>
      <m:oMath>
        <m:r>
          <m:t>p</m:t>
        </m:r>
      </m:oMath>
      <w:r>
        <w:t xml:space="preserve"> </w:t>
      </w:r>
      <w:r>
        <w:t xml:space="preserve">custa</w:t>
      </w:r>
      <w:r>
        <w:t xml:space="preserve"> </w:t>
      </w:r>
      <m:oMath>
        <m:r>
          <m:t>O</m:t>
        </m:r>
        <m:r>
          <m:rPr>
            <m:sty m:val="p"/>
          </m:rPr>
          <m:t>(</m:t>
        </m:r>
        <m:r>
          <m:t>L</m:t>
        </m:r>
        <m:r>
          <m:rPr>
            <m:sty m:val="p"/>
          </m:rPr>
          <m:t>⋅</m:t>
        </m:r>
        <m:sSup>
          <m:e>
            <m:r>
              <m:t>d</m:t>
            </m:r>
          </m:e>
          <m:sup>
            <m:r>
              <m:t>2</m:t>
            </m:r>
          </m:sup>
        </m:sSup>
        <m:r>
          <m:rPr>
            <m:sty m:val="p"/>
          </m:rPr>
          <m:t>⋅</m:t>
        </m:r>
        <m:r>
          <m:t>N</m:t>
        </m:r>
        <m:r>
          <m:rPr>
            <m:sty m:val="p"/>
          </m:rPr>
          <m:t>⋅</m:t>
        </m:r>
        <m:r>
          <m:rPr>
            <m:sty m:val="p"/>
          </m:rPr>
          <m:t>(</m:t>
        </m:r>
        <m:r>
          <m:t>p</m:t>
        </m:r>
        <m:r>
          <m:rPr>
            <m:sty m:val="p"/>
          </m:rPr>
          <m:t>+</m:t>
        </m:r>
        <m:r>
          <m:t>N</m:t>
        </m:r>
        <m:r>
          <m:rPr>
            <m:sty m:val="p"/>
          </m:rPr>
          <m:t>)</m:t>
        </m:r>
        <m:r>
          <m:rPr>
            <m:sty m:val="p"/>
          </m:rPr>
          <m:t>)</m:t>
        </m:r>
      </m:oMath>
      <w:r>
        <w:t xml:space="preserve"> </w:t>
      </w:r>
      <w:r>
        <w:t xml:space="preserve">— quadrático em</w:t>
      </w:r>
      <w:r>
        <w:t xml:space="preserve"> </w:t>
      </w:r>
      <m:oMath>
        <m:r>
          <m:t>N</m:t>
        </m:r>
      </m:oMath>
      <w:r>
        <w:t xml:space="preserve">.</w:t>
      </w:r>
    </w:p>
    <w:p>
      <w:pPr>
        <w:pStyle w:val="BodyText"/>
      </w:pPr>
      <w:r>
        <w:t xml:space="preserve">O desperdício é identificável a partir da máscara causal: se a posição</w:t>
      </w:r>
      <w:r>
        <w:t xml:space="preserve"> </w:t>
      </w:r>
      <m:oMath>
        <m:r>
          <m:t>i</m:t>
        </m:r>
      </m:oMath>
      <w:r>
        <w:t xml:space="preserve"> </w:t>
      </w:r>
      <w:r>
        <w:t xml:space="preserve">nunca consulta posições posteriores, então</w:t>
      </w:r>
      <w:r>
        <w:t xml:space="preserve"> </w:t>
      </w:r>
      <m:oMath>
        <m:sSub>
          <m:e>
            <m:r>
              <m:t>K</m:t>
            </m:r>
          </m:e>
          <m:sub>
            <m:r>
              <m:t>i</m:t>
            </m:r>
          </m:sub>
        </m:sSub>
      </m:oMath>
      <w:r>
        <w:t xml:space="preserve"> </w:t>
      </w:r>
      <w:r>
        <w:t xml:space="preserve">e</w:t>
      </w:r>
      <w:r>
        <w:t xml:space="preserve"> </w:t>
      </w:r>
      <m:oMath>
        <m:sSub>
          <m:e>
            <m:r>
              <m:t>V</m:t>
            </m:r>
          </m:e>
          <m:sub>
            <m:r>
              <m:t>i</m:t>
            </m:r>
          </m:sub>
        </m:sSub>
      </m:oMath>
      <w:r>
        <w:t xml:space="preserve"> </w:t>
      </w:r>
      <w:r>
        <w:t xml:space="preserve">não podem mudar quando o modelo processa</w:t>
      </w:r>
      <w:r>
        <w:t xml:space="preserve"> </w:t>
      </w:r>
      <m:oMath>
        <m:r>
          <m:t>t</m:t>
        </m:r>
        <m:r>
          <m:rPr>
            <m:sty m:val="p"/>
          </m:rPr>
          <m:t>&gt;</m:t>
        </m:r>
        <m:r>
          <m:t>i</m:t>
        </m:r>
      </m:oMath>
      <w:r>
        <w:t xml:space="preserve">. São, portanto, invariantes ao longo da geração e podem ser retidos em memória. Cada passo recalcula apenas a linha nova e a concatena ao que já existe, reduzindo o custo a</w:t>
      </w:r>
      <w:r>
        <w:t xml:space="preserve"> </w:t>
      </w:r>
      <m:oMath>
        <m:r>
          <m:t>O</m:t>
        </m:r>
        <m:r>
          <m:rPr>
            <m:sty m:val="p"/>
          </m:rPr>
          <m:t>(</m:t>
        </m:r>
        <m:r>
          <m:t>L</m:t>
        </m:r>
        <m:r>
          <m:rPr>
            <m:sty m:val="p"/>
          </m:rPr>
          <m:t>⋅</m:t>
        </m:r>
        <m:sSup>
          <m:e>
            <m:r>
              <m:t>d</m:t>
            </m:r>
          </m:e>
          <m:sup>
            <m:r>
              <m:t>2</m:t>
            </m:r>
          </m:sup>
        </m:sSup>
        <m:r>
          <m:rPr>
            <m:sty m:val="p"/>
          </m:rPr>
          <m:t>⋅</m:t>
        </m:r>
        <m:r>
          <m:t>N</m:t>
        </m:r>
        <m:r>
          <m:rPr>
            <m:sty m:val="p"/>
          </m:rPr>
          <m:t>)</m:t>
        </m:r>
      </m:oMath>
      <w:r>
        <w:t xml:space="preserve">, linear (Figura 11). O compromisso é memória: o cache cresce com</w:t>
      </w:r>
      <w:r>
        <w:t xml:space="preserve"> </w:t>
      </w:r>
      <m:oMath>
        <m:r>
          <m:t>2</m:t>
        </m:r>
        <m:r>
          <m:rPr>
            <m:sty m:val="p"/>
          </m:rPr>
          <m:t>⋅</m:t>
        </m:r>
        <m:r>
          <m:t>L</m:t>
        </m:r>
        <m:r>
          <m:rPr>
            <m:sty m:val="p"/>
          </m:rPr>
          <m:t>⋅</m:t>
        </m:r>
        <m:r>
          <m:t>T</m:t>
        </m:r>
        <m:r>
          <m:rPr>
            <m:sty m:val="p"/>
          </m:rPr>
          <m:t>⋅</m:t>
        </m:r>
        <m:r>
          <m:t>d</m:t>
        </m:r>
      </m:oMath>
      <w:r>
        <w:t xml:space="preserve"> </w:t>
      </w:r>
      <w:r>
        <w:t xml:space="preserve">valores.</w:t>
      </w:r>
    </w:p>
    <w:p>
      <w:pPr>
        <w:pStyle w:val="CaptionedFigure"/>
      </w:pPr>
      <w:r>
        <w:drawing>
          <wp:inline>
            <wp:extent cx="5334000" cy="3531850"/>
            <wp:effectExtent b="0" l="0" r="0" t="0"/>
            <wp:docPr descr="Figura 11" title="" id="1" name="Picture"/>
            <a:graphic>
              <a:graphicData uri="http://schemas.openxmlformats.org/drawingml/2006/picture">
                <pic:pic>
                  <pic:nvPicPr>
                    <pic:cNvPr descr="media/rId38.png" id="0" name="Picture"/>
                    <pic:cNvPicPr>
                      <a:picLocks noChangeArrowheads="1" noChangeAspect="1"/>
                    </pic:cNvPicPr>
                  </pic:nvPicPr>
                  <pic:blipFill>
                    <a:blip r:embed="rId38"/>
                    <a:stretch>
                      <a:fillRect/>
                    </a:stretch>
                  </pic:blipFill>
                  <pic:spPr bwMode="auto">
                    <a:xfrm>
                      <a:off x="0" y="0"/>
                      <a:ext cx="5334000" cy="3531850"/>
                    </a:xfrm>
                    <a:prstGeom prst="rect">
                      <a:avLst/>
                    </a:prstGeom>
                    <a:noFill/>
                    <a:ln w="9525">
                      <a:noFill/>
                      <a:headEnd/>
                      <a:tailEnd/>
                    </a:ln>
                  </pic:spPr>
                </pic:pic>
              </a:graphicData>
            </a:graphic>
          </wp:inline>
        </w:drawing>
      </w:r>
    </w:p>
    <w:p>
      <w:pPr>
        <w:pStyle w:val="ImageCaption"/>
      </w:pPr>
      <w:r>
        <w:t xml:space="preserve">Figura 11</w:t>
      </w:r>
    </w:p>
    <w:p>
      <w:pPr>
        <w:pStyle w:val="BodyText"/>
      </w:pPr>
      <w:r>
        <w:t xml:space="preserve">Figura 11 – Custo acumulado das projeções</w:t>
      </w:r>
      <w:r>
        <w:t xml:space="preserve"> </w:t>
      </w:r>
      <m:oMath>
        <m:r>
          <m:t>Q</m:t>
        </m:r>
        <m:r>
          <m:rPr>
            <m:sty m:val="p"/>
          </m:rPr>
          <m:t>,</m:t>
        </m:r>
        <m:r>
          <m:t>K</m:t>
        </m:r>
        <m:r>
          <m:rPr>
            <m:sty m:val="p"/>
          </m:rPr>
          <m:t>,</m:t>
        </m:r>
        <m:r>
          <m:t>V</m:t>
        </m:r>
      </m:oMath>
      <w:r>
        <w:t xml:space="preserve"> </w:t>
      </w:r>
      <w:r>
        <w:t xml:space="preserve">para gerar</w:t>
      </w:r>
      <w:r>
        <w:t xml:space="preserve"> </w:t>
      </w:r>
      <m:oMath>
        <m:r>
          <m:t>N</m:t>
        </m:r>
      </m:oMath>
      <w:r>
        <w:t xml:space="preserve"> </w:t>
      </w:r>
      <w:r>
        <w:rPr>
          <w:iCs/>
          <w:i/>
        </w:rPr>
        <w:t xml:space="preserve">tokens</w:t>
      </w:r>
      <w:r>
        <w:t xml:space="preserve">: sem cache, o crescimento é quadrático; com cache, linear. Fonte: elaborada pelo autor a partir dos</w:t>
      </w:r>
      <w:r>
        <w:t xml:space="preserve"> </w:t>
      </w:r>
      <w:r>
        <w:rPr>
          <w:iCs/>
          <w:i/>
        </w:rPr>
        <w:t xml:space="preserve">notebooks</w:t>
      </w:r>
      <w:r>
        <w:t xml:space="preserve"> </w:t>
      </w:r>
      <w:r>
        <w:t xml:space="preserve">do projeto (2026).</w:t>
      </w:r>
    </w:p>
    <w:p>
      <w:pPr>
        <w:pStyle w:val="BodyText"/>
      </w:pPr>
      <w:r>
        <w:t xml:space="preserve">Duas consequências desse arranjo são fonte recorrente de defeito silencioso, e ambas são cobertas por testes de invariância (Seção 3.7). A primeira é que, no passo de decodificação, a</w:t>
      </w:r>
      <w:r>
        <w:t xml:space="preserve"> </w:t>
      </w:r>
      <w:r>
        <w:rPr>
          <w:iCs/>
          <w:i/>
        </w:rPr>
        <w:t xml:space="preserve">query</w:t>
      </w:r>
      <w:r>
        <w:t xml:space="preserve"> </w:t>
      </w:r>
      <w:r>
        <w:t xml:space="preserve">tem comprimento 1 enquanto as</w:t>
      </w:r>
      <w:r>
        <w:t xml:space="preserve"> </w:t>
      </w:r>
      <w:r>
        <w:rPr>
          <w:iCs/>
          <w:i/>
        </w:rPr>
        <w:t xml:space="preserve">keys</w:t>
      </w:r>
      <w:r>
        <w:t xml:space="preserve"> </w:t>
      </w:r>
      <w:r>
        <w:t xml:space="preserve">têm comprimento crescente: a matriz de atenção deixa de ser quadrada e a máscara causal não deve ser aplicada — a única</w:t>
      </w:r>
      <w:r>
        <w:t xml:space="preserve"> </w:t>
      </w:r>
      <w:r>
        <w:rPr>
          <w:iCs/>
          <w:i/>
        </w:rPr>
        <w:t xml:space="preserve">query</w:t>
      </w:r>
      <w:r>
        <w:t xml:space="preserve"> </w:t>
      </w:r>
      <w:r>
        <w:t xml:space="preserve">existente pode legitimamente consultar todo o cache. Condicionar a máscara à igualdade</w:t>
      </w:r>
      <w:r>
        <w:t xml:space="preserve"> </w:t>
      </w:r>
      <m:oMath>
        <m:r>
          <m:rPr>
            <m:sty m:val="p"/>
          </m:rPr>
          <m:t>|</m:t>
        </m:r>
        <m:r>
          <m:t>Q</m:t>
        </m:r>
        <m:r>
          <m:rPr>
            <m:sty m:val="p"/>
          </m:rPr>
          <m:t>|</m:t>
        </m:r>
        <m:r>
          <m:rPr>
            <m:sty m:val="p"/>
          </m:rPr>
          <m:t>=</m:t>
        </m:r>
        <m:r>
          <m:rPr>
            <m:sty m:val="p"/>
          </m:rPr>
          <m:t>|</m:t>
        </m:r>
        <m:r>
          <m:t>K</m:t>
        </m:r>
        <m:r>
          <m:rPr>
            <m:sty m:val="p"/>
          </m:rPr>
          <m:t>|</m:t>
        </m:r>
      </m:oMath>
      <w:r>
        <w:t xml:space="preserve"> </w:t>
      </w:r>
      <w:r>
        <w:t xml:space="preserve">resolve. A segunda é que a rotação RoPE do</w:t>
      </w:r>
      <w:r>
        <w:t xml:space="preserve"> </w:t>
      </w:r>
      <w:r>
        <w:rPr>
          <w:iCs/>
          <w:i/>
        </w:rPr>
        <w:t xml:space="preserve">token</w:t>
      </w:r>
      <w:r>
        <w:t xml:space="preserve"> </w:t>
      </w:r>
      <w:r>
        <w:t xml:space="preserve">novo depende de sua posição</w:t>
      </w:r>
      <w:r>
        <w:t xml:space="preserve"> </w:t>
      </w:r>
      <w:r>
        <w:rPr>
          <w:bCs/>
          <w:b/>
        </w:rPr>
        <w:t xml:space="preserve">global</w:t>
      </w:r>
      <w:r>
        <w:t xml:space="preserve">, não de seu índice dentro do tensor de entrada, que é sempre zero. Ignorar esse deslocamento produz um modelo que gera texto plausível mas inconsistente com o</w:t>
      </w:r>
      <w:r>
        <w:t xml:space="preserve"> </w:t>
      </w:r>
      <w:r>
        <w:rPr>
          <w:iCs/>
          <w:i/>
        </w:rPr>
        <w:t xml:space="preserve">forward</w:t>
      </w:r>
      <w:r>
        <w:t xml:space="preserve"> </w:t>
      </w:r>
      <w:r>
        <w:t xml:space="preserve">sem cache — falha que só um teste de equivalência numérica detecta.</w:t>
      </w:r>
    </w:p>
    <w:bookmarkEnd w:id="39"/>
    <w:bookmarkStart w:id="40" w:name="entropia-do-corpus-e-o-piso-da-perda"/>
    <w:p>
      <w:pPr>
        <w:pStyle w:val="Heading2"/>
      </w:pPr>
      <w:r>
        <w:t xml:space="preserve">2.8 Entropia do corpus e o piso da perda</w:t>
      </w:r>
    </w:p>
    <w:p>
      <w:pPr>
        <w:pStyle w:val="FirstParagraph"/>
      </w:pPr>
      <w:r>
        <w:t xml:space="preserve">As seções anteriores tratam de capacidade. Esta trata do limite que nenhuma capacidade remove, e é a base formal da hipótese experimental deste trabalho.</w:t>
      </w:r>
    </w:p>
    <w:p>
      <w:pPr>
        <w:pStyle w:val="BodyText"/>
      </w:pPr>
      <w:r>
        <w:t xml:space="preserve">Seja</w:t>
      </w:r>
      <w:r>
        <w:t xml:space="preserve"> </w:t>
      </w:r>
      <m:oMath>
        <m:r>
          <m:t>p</m:t>
        </m:r>
      </m:oMath>
      <w:r>
        <w:t xml:space="preserve"> </w:t>
      </w:r>
      <w:r>
        <w:t xml:space="preserve">a distribuição condicional verdadeira que gera o corpus e</w:t>
      </w:r>
      <w:r>
        <w:t xml:space="preserve"> </w:t>
      </w:r>
      <m:oMath>
        <m:sSub>
          <m:e>
            <m:r>
              <m:t>q</m:t>
            </m:r>
          </m:e>
          <m:sub>
            <m:r>
              <m:t>θ</m:t>
            </m:r>
          </m:sub>
        </m:sSub>
      </m:oMath>
      <w:r>
        <w:t xml:space="preserve"> </w:t>
      </w:r>
      <w:r>
        <w:t xml:space="preserve">o modelo. A entropia cruzada esperada decompõe-se exatamente em</w:t>
      </w:r>
    </w:p>
    <w:p>
      <w:pPr>
        <w:pStyle w:val="BodyText"/>
      </w:pPr>
      <m:oMathPara>
        <m:oMathParaPr>
          <m:jc m:val="center"/>
        </m:oMathParaPr>
        <m:oMath>
          <m:r>
            <m:rPr>
              <m:sty m:val="p"/>
              <m:scr m:val="script"/>
            </m:rPr>
            <m:t>L</m:t>
          </m:r>
          <m:r>
            <m:rPr>
              <m:sty m:val="p"/>
            </m:rPr>
            <m:t>(</m:t>
          </m:r>
          <m:r>
            <m:t>θ</m:t>
          </m:r>
          <m:r>
            <m:rPr>
              <m:sty m:val="p"/>
            </m:rPr>
            <m:t>)</m:t>
          </m:r>
          <m:r>
            <m:rPr>
              <m:sty m:val="p"/>
            </m:rPr>
            <m:t>=</m:t>
          </m:r>
          <m:sSub>
            <m:e>
              <m:r>
                <m:rPr>
                  <m:sty m:val="p"/>
                  <m:scr m:val="double-struck"/>
                </m:rPr>
                <m:t>E</m:t>
              </m:r>
            </m:e>
            <m:sub>
              <m:r>
                <m:t>p</m:t>
              </m:r>
            </m:sub>
          </m:sSub>
          <m:d>
            <m:dPr>
              <m:begChr m:val="["/>
              <m:endChr m:val="]"/>
              <m:grow/>
            </m:dPr>
            <m:e>
              <m:r>
                <m:rPr>
                  <m:sty m:val="p"/>
                </m:rPr>
                <m:t>−</m:t>
              </m:r>
              <m:r>
                <m:rPr>
                  <m:nor/>
                  <m:sty m:val="p"/>
                </m:rPr>
                <m:t>log</m:t>
              </m:r>
              <m:sSub>
                <m:e>
                  <m:r>
                    <m:t>q</m:t>
                  </m:r>
                </m:e>
                <m:sub>
                  <m:r>
                    <m:t>θ</m:t>
                  </m:r>
                </m:sub>
              </m:sSub>
            </m:e>
          </m:d>
          <m:r>
            <m:rPr>
              <m:sty m:val="p"/>
            </m:rPr>
            <m:t>=</m:t>
          </m:r>
          <m:r>
            <m:t>H</m:t>
          </m:r>
          <m:r>
            <m:rPr>
              <m:sty m:val="p"/>
            </m:rPr>
            <m:t>(</m:t>
          </m:r>
          <m:r>
            <m:t>p</m:t>
          </m:r>
          <m:r>
            <m:rPr>
              <m:sty m:val="p"/>
            </m:rPr>
            <m:t>)</m:t>
          </m:r>
          <m:r>
            <m:rPr>
              <m:sty m:val="p"/>
            </m:rPr>
            <m:t>+</m:t>
          </m:r>
          <m:sSub>
            <m:e>
              <m:r>
                <m:t>D</m:t>
              </m:r>
            </m:e>
            <m:sub>
              <m:r>
                <m:rPr>
                  <m:sty m:val="p"/>
                </m:rPr>
                <m:t>K</m:t>
              </m:r>
              <m:r>
                <m:rPr>
                  <m:sty m:val="p"/>
                </m:rPr>
                <m:t>L</m:t>
              </m:r>
            </m:sub>
          </m:sSub>
          <m:d>
            <m:dPr>
              <m:begChr m:val="("/>
              <m:endChr m:val=")"/>
              <m:grow/>
            </m:dPr>
            <m:e>
              <m:r>
                <m:t>p</m:t>
              </m:r>
              <m:r>
                <m:t> </m:t>
              </m:r>
              <m:r>
                <m:rPr>
                  <m:sty m:val="p"/>
                </m:rPr>
                <m:t>∥</m:t>
              </m:r>
              <m:r>
                <m:t> </m:t>
              </m:r>
              <m:sSub>
                <m:e>
                  <m:r>
                    <m:t>q</m:t>
                  </m:r>
                </m:e>
                <m:sub>
                  <m:r>
                    <m:t>θ</m:t>
                  </m:r>
                </m:sub>
              </m:sSub>
            </m:e>
          </m:d>
          <m:r>
            <m:rPr>
              <m:sty m:val="p"/>
            </m:rPr>
            <m:t>.</m:t>
          </m:r>
        </m:oMath>
      </m:oMathPara>
    </w:p>
    <w:p>
      <w:pPr>
        <w:pStyle w:val="FirstParagraph"/>
      </w:pPr>
      <w:r>
        <w:t xml:space="preserve">A leitura dessa identidade é o ponto central. O segundo termo é o erro do modelo: mede o quanto</w:t>
      </w:r>
      <w:r>
        <w:t xml:space="preserve"> </w:t>
      </w:r>
      <m:oMath>
        <m:sSub>
          <m:e>
            <m:r>
              <m:t>q</m:t>
            </m:r>
          </m:e>
          <m:sub>
            <m:r>
              <m:t>θ</m:t>
            </m:r>
          </m:sub>
        </m:sSub>
      </m:oMath>
      <w:r>
        <w:t xml:space="preserve"> </w:t>
      </w:r>
      <w:r>
        <w:t xml:space="preserve">difere de</w:t>
      </w:r>
      <w:r>
        <w:t xml:space="preserve"> </w:t>
      </w:r>
      <m:oMath>
        <m:r>
          <m:t>p</m:t>
        </m:r>
      </m:oMath>
      <w:r>
        <w:t xml:space="preserve">, é não negativo e anula-se apenas no ajuste perfeito. É sobre ele que capacidade, arquitetura e otimização atuam. O primeiro termo, no entanto, é uma propriedade</w:t>
      </w:r>
      <w:r>
        <w:t xml:space="preserve"> </w:t>
      </w:r>
      <w:r>
        <w:rPr>
          <w:bCs/>
          <w:b/>
        </w:rPr>
        <w:t xml:space="preserve">do corpus</w:t>
      </w:r>
      <w:r>
        <w:t xml:space="preserve">, não do modelo: é a incerteza intrínseca da fonte, e nenhum aumento de parâmetros, dados ou</w:t>
      </w:r>
      <w:r>
        <w:t xml:space="preserve"> </w:t>
      </w:r>
      <w:r>
        <w:rPr>
          <w:iCs/>
          <w:i/>
        </w:rPr>
        <w:t xml:space="preserve">compute</w:t>
      </w:r>
      <w:r>
        <w:t xml:space="preserve"> </w:t>
      </w:r>
      <w:r>
        <w:t xml:space="preserve">a reduz.</w:t>
      </w:r>
    </w:p>
    <w:p>
      <w:pPr>
        <w:pStyle w:val="BodyText"/>
      </w:pPr>
      <w:r>
        <w:t xml:space="preserve">Duas predições decorrem daí. Primeiro, corpora distintos têm pisos distintos, e comparar perdas absolutas entre domínios diferentes é comparar réguas diferentes. Segundo — e é o que a leitura puramente de escala não prevê —, trocar o corpus por um de</w:t>
      </w:r>
      <w:r>
        <w:t xml:space="preserve"> </w:t>
      </w:r>
      <m:oMath>
        <m:r>
          <m:t>H</m:t>
        </m:r>
        <m:r>
          <m:rPr>
            <m:sty m:val="p"/>
          </m:rPr>
          <m:t>(</m:t>
        </m:r>
        <m:r>
          <m:t>p</m:t>
        </m:r>
        <m:r>
          <m:rPr>
            <m:sty m:val="p"/>
          </m:rPr>
          <m:t>)</m:t>
        </m:r>
      </m:oMath>
      <w:r>
        <w:t xml:space="preserve"> </w:t>
      </w:r>
      <w:r>
        <w:t xml:space="preserve">menor não apenas baixa o piso: também encurta a distância que o termo KL precisa cobrir, porque distribuições mais concentradas são representáveis por famílias paramétricas menores. Em regime de capacidade severamente limitada, onde</w:t>
      </w:r>
      <w:r>
        <w:t xml:space="preserve"> </w:t>
      </w:r>
      <m:oMath>
        <m:sSub>
          <m:e>
            <m:r>
              <m:t>D</m:t>
            </m:r>
          </m:e>
          <m:sub>
            <m:r>
              <m:rPr>
                <m:sty m:val="p"/>
              </m:rPr>
              <m:t>K</m:t>
            </m:r>
            <m:r>
              <m:rPr>
                <m:sty m:val="p"/>
              </m:rPr>
              <m:t>L</m:t>
            </m:r>
          </m:sub>
        </m:sSub>
      </m:oMath>
      <w:r>
        <w:t xml:space="preserve"> </w:t>
      </w:r>
      <w:r>
        <w:t xml:space="preserve">está longe de zero, essa segunda parcela pode dominar. É exatamente essa a hipótese testada na Seção 4.3.</w:t>
      </w:r>
    </w:p>
    <w:p>
      <w:pPr>
        <w:pStyle w:val="BodyText"/>
      </w:pPr>
      <w:r>
        <w:t xml:space="preserve">O obstáculo é que</w:t>
      </w:r>
      <w:r>
        <w:t xml:space="preserve"> </w:t>
      </w:r>
      <m:oMath>
        <m:r>
          <m:t>H</m:t>
        </m:r>
        <m:r>
          <m:rPr>
            <m:sty m:val="p"/>
          </m:rPr>
          <m:t>(</m:t>
        </m:r>
        <m:r>
          <m:t>p</m:t>
        </m:r>
        <m:r>
          <m:rPr>
            <m:sty m:val="p"/>
          </m:rPr>
          <m:t>)</m:t>
        </m:r>
      </m:oMath>
      <w:r>
        <w:t xml:space="preserve"> </w:t>
      </w:r>
      <w:r>
        <w:t xml:space="preserve">não é observável: sua estimação exigiria conhecer dependências de ordem arbitrária. O que é computável são as entropias condicionais de ordem finita, que formam uma sequência não crescente e limitam superiormente a taxa de entropia</w:t>
      </w:r>
      <w:r>
        <w:t xml:space="preserve"> </w:t>
      </w:r>
      <m:oMath>
        <m:r>
          <m:t>h</m:t>
        </m:r>
      </m:oMath>
      <w:r>
        <w:t xml:space="preserve"> </w:t>
      </w:r>
      <w:r>
        <w:t xml:space="preserve">da fonte:</w:t>
      </w:r>
    </w:p>
    <w:p>
      <w:pPr>
        <w:pStyle w:val="BodyText"/>
      </w:pPr>
      <m:oMathPara>
        <m:oMathParaPr>
          <m:jc m:val="center"/>
        </m:oMathParaPr>
        <m:oMath>
          <m:sSub>
            <m:e>
              <m:r>
                <m:t>H</m:t>
              </m:r>
            </m:e>
            <m:sub>
              <m:r>
                <m:t>1</m:t>
              </m:r>
            </m:sub>
          </m:sSub>
          <m:r>
            <m:rPr>
              <m:sty m:val="p"/>
            </m:rPr>
            <m:t>=</m:t>
          </m:r>
          <m:r>
            <m:t>H</m:t>
          </m:r>
          <m:r>
            <m:rPr>
              <m:sty m:val="p"/>
            </m:rPr>
            <m:t>(</m:t>
          </m:r>
          <m:sSub>
            <m:e>
              <m:r>
                <m:t>x</m:t>
              </m:r>
            </m:e>
            <m:sub>
              <m:r>
                <m:t>t</m:t>
              </m:r>
            </m:sub>
          </m:sSub>
          <m:r>
            <m:rPr>
              <m:sty m:val="p"/>
            </m:rPr>
            <m:t>)</m:t>
          </m:r>
          <m:r>
            <m:t> </m:t>
          </m:r>
          <m:r>
            <m:rPr>
              <m:sty m:val="p"/>
            </m:rPr>
            <m:t>≥</m:t>
          </m:r>
          <m:r>
            <m:t> </m:t>
          </m:r>
          <m:sSub>
            <m:e>
              <m:r>
                <m:t>H</m:t>
              </m:r>
            </m:e>
            <m:sub>
              <m:r>
                <m:t>2</m:t>
              </m:r>
            </m:sub>
          </m:sSub>
          <m:r>
            <m:rPr>
              <m:sty m:val="p"/>
            </m:rPr>
            <m:t>=</m:t>
          </m:r>
          <m:r>
            <m:t>H</m:t>
          </m:r>
          <m:r>
            <m:rPr>
              <m:sty m:val="p"/>
            </m:rPr>
            <m:t>(</m:t>
          </m:r>
          <m:sSub>
            <m:e>
              <m:r>
                <m:t>x</m:t>
              </m:r>
            </m:e>
            <m:sub>
              <m:r>
                <m:t>t</m:t>
              </m:r>
            </m:sub>
          </m:sSub>
          <m:r>
            <m:rPr>
              <m:sty m:val="p"/>
            </m:rPr>
            <m:t>∣</m:t>
          </m:r>
          <m:sSub>
            <m:e>
              <m:r>
                <m:t>x</m:t>
              </m:r>
            </m:e>
            <m:sub>
              <m:r>
                <m:t>t</m:t>
              </m:r>
              <m:r>
                <m:rPr>
                  <m:sty m:val="p"/>
                </m:rPr>
                <m:t>−</m:t>
              </m:r>
              <m:r>
                <m:t>1</m:t>
              </m:r>
            </m:sub>
          </m:sSub>
          <m:r>
            <m:rPr>
              <m:sty m:val="p"/>
            </m:rPr>
            <m:t>)</m:t>
          </m:r>
          <m:r>
            <m:t> </m:t>
          </m:r>
          <m:r>
            <m:rPr>
              <m:sty m:val="p"/>
            </m:rPr>
            <m:t>≥</m:t>
          </m:r>
          <m:r>
            <m:t> </m:t>
          </m:r>
          <m:r>
            <m:rPr>
              <m:sty m:val="p"/>
            </m:rPr>
            <m:t>⋯</m:t>
          </m:r>
          <m:r>
            <m:t> </m:t>
          </m:r>
          <m:r>
            <m:rPr>
              <m:sty m:val="p"/>
            </m:rPr>
            <m:t>≥</m:t>
          </m:r>
          <m:r>
            <m:t> </m:t>
          </m:r>
          <m:r>
            <m:t>h</m:t>
          </m:r>
          <m:r>
            <m:rPr>
              <m:sty m:val="p"/>
            </m:rPr>
            <m:t>.</m:t>
          </m:r>
        </m:oMath>
      </m:oMathPara>
    </w:p>
    <w:p>
      <w:pPr>
        <w:pStyle w:val="FirstParagraph"/>
      </w:pPr>
      <w:r>
        <w:t xml:space="preserve">Duas dessas quantidades são úteis operacionalmente.</w:t>
      </w:r>
      <w:r>
        <w:t xml:space="preserve"> </w:t>
      </w:r>
      <m:oMath>
        <m:sSub>
          <m:e>
            <m:r>
              <m:t>H</m:t>
            </m:r>
          </m:e>
          <m:sub>
            <m:r>
              <m:t>1</m:t>
            </m:r>
          </m:sub>
        </m:sSub>
      </m:oMath>
      <w:r>
        <w:t xml:space="preserve"> </w:t>
      </w:r>
      <w:r>
        <w:t xml:space="preserve">mede a concentração da distribuição marginal de</w:t>
      </w:r>
      <w:r>
        <w:t xml:space="preserve"> </w:t>
      </w:r>
      <w:r>
        <w:rPr>
          <w:iCs/>
          <w:i/>
        </w:rPr>
        <w:t xml:space="preserve">tokens</w:t>
      </w:r>
      <w:r>
        <w:t xml:space="preserve">.</w:t>
      </w:r>
      <w:r>
        <w:t xml:space="preserve"> </w:t>
      </w:r>
      <m:oMath>
        <m:sSub>
          <m:e>
            <m:r>
              <m:t>H</m:t>
            </m:r>
          </m:e>
          <m:sub>
            <m:r>
              <m:t>2</m:t>
            </m:r>
          </m:sub>
        </m:sSub>
      </m:oMath>
      <w:r>
        <w:t xml:space="preserve"> </w:t>
      </w:r>
      <w:r>
        <w:t xml:space="preserve">tem interpretação mais direta: é exatamente a perda que um contador de bigramas atinge sobre os dados em que foi estimado, e portanto</w:t>
      </w:r>
      <w:r>
        <w:t xml:space="preserve"> </w:t>
      </w:r>
      <w:r>
        <w:rPr>
          <w:bCs/>
          <w:b/>
        </w:rPr>
        <w:t xml:space="preserve">a referência que um modelo precisa bater para ter aprendido algo além de coocorrência local</w:t>
      </w:r>
      <w:r>
        <w:t xml:space="preserve">. Essa referência é bem mais informativa que o piso trivial</w:t>
      </w:r>
      <w:r>
        <w:t xml:space="preserve"> </w:t>
      </w:r>
      <m:oMath>
        <m:r>
          <m:rPr>
            <m:nor/>
            <m:sty m:val="p"/>
          </m:rPr>
          <m:t>log</m:t>
        </m:r>
        <m:r>
          <m:t>V</m:t>
        </m:r>
      </m:oMath>
      <w:r>
        <w:t xml:space="preserve">, que corresponde a um modelo que nada aprendeu e é fácil de superar. A Seção 3.4 detalha como esses proxies foram medidos e quais ressalvas de estimação se aplicam.</w:t>
      </w:r>
    </w:p>
    <w:p>
      <w:pPr>
        <w:pStyle w:val="BodyText"/>
      </w:pPr>
      <w:r>
        <w:t xml:space="preserve">Vale localizar este argumento em relação à literatura de escalonamento. Hoffmann et al. (2022) caracterizam a alocação ótima de</w:t>
      </w:r>
      <w:r>
        <w:t xml:space="preserve"> </w:t>
      </w:r>
      <w:r>
        <w:rPr>
          <w:iCs/>
          <w:i/>
        </w:rPr>
        <w:t xml:space="preserve">compute</w:t>
      </w:r>
      <w:r>
        <w:t xml:space="preserve"> </w:t>
      </w:r>
      <w:r>
        <w:t xml:space="preserve">entre parâmetros e</w:t>
      </w:r>
      <w:r>
        <w:t xml:space="preserve"> </w:t>
      </w:r>
      <w:r>
        <w:rPr>
          <w:iCs/>
          <w:i/>
        </w:rPr>
        <w:t xml:space="preserve">tokens</w:t>
      </w:r>
      <w:r>
        <w:t xml:space="preserve">, obtendo</w:t>
      </w:r>
      <w:r>
        <w:t xml:space="preserve"> </w:t>
      </w:r>
      <m:oMath>
        <m:sSup>
          <m:e>
            <m:r>
              <m:t>T</m:t>
            </m:r>
          </m:e>
          <m:sup>
            <m:r>
              <m:rPr>
                <m:sty m:val="p"/>
              </m:rPr>
              <m:t>*</m:t>
            </m:r>
          </m:sup>
        </m:sSup>
        <m:r>
          <m:rPr>
            <m:sty m:val="p"/>
          </m:rPr>
          <m:t>≈</m:t>
        </m:r>
        <m:r>
          <m:t>20</m:t>
        </m:r>
        <m:r>
          <m:t>N</m:t>
        </m:r>
      </m:oMath>
      <w:r>
        <w:t xml:space="preserve">; a razão</w:t>
      </w:r>
      <w:r>
        <w:t xml:space="preserve"> </w:t>
      </w:r>
      <m:oMath>
        <m:r>
          <m:t>T</m:t>
        </m:r>
        <m:r>
          <m:rPr>
            <m:sty m:val="p"/>
          </m:rPr>
          <m:t>/</m:t>
        </m:r>
        <m:r>
          <m:t>N</m:t>
        </m:r>
      </m:oMath>
      <w:r>
        <w:t xml:space="preserve"> </w:t>
      </w:r>
      <w:r>
        <w:t xml:space="preserve">diagnostica se um treino tem parâmetros em excesso para os dados disponíveis. Esse resultado é sobre a fronteira eficiente, com a distribuição dos dados tomada como dada. Eldan e Li (2023) atacam o eixo complementar: mostram que modelos de 1 a 33 milhões de parâmetros produzem texto fluente quando a distribuição do corpus é suficientemente simples, construindo o TinyStories precisamente para demonstrá-lo. O presente trabalho situa-se nesse segundo eixo e acrescenta a medição que falta — a separação quantitativa entre o efeito do domínio e o efeito do volume, com o segundo mantido constante por construção.</w:t>
      </w:r>
    </w:p>
    <w:bookmarkEnd w:id="40"/>
    <w:bookmarkEnd w:id="41"/>
    <w:bookmarkStart w:id="53" w:name="metodologia"/>
    <w:p>
      <w:pPr>
        <w:pStyle w:val="Heading1"/>
      </w:pPr>
      <w:r>
        <w:t xml:space="preserve">3 Metodologia</w:t>
      </w:r>
    </w:p>
    <w:bookmarkStart w:id="42" w:name="organização-do-sistema"/>
    <w:p>
      <w:pPr>
        <w:pStyle w:val="Heading2"/>
      </w:pPr>
      <w:r>
        <w:t xml:space="preserve">3.1 Organização do sistema</w:t>
      </w:r>
    </w:p>
    <w:p>
      <w:pPr>
        <w:pStyle w:val="FirstParagraph"/>
      </w:pPr>
      <w:r>
        <w:t xml:space="preserve">O código está organizado por estágio de</w:t>
      </w:r>
      <w:r>
        <w:t xml:space="preserve"> </w:t>
      </w:r>
      <w:r>
        <w:rPr>
          <w:iCs/>
          <w:i/>
        </w:rPr>
        <w:t xml:space="preserve">pipeline</w:t>
      </w:r>
      <w:r>
        <w:t xml:space="preserve">, e não por tipo de artefato, de modo que a estrutura de diretórios espelhe o fluxo do problema:</w:t>
      </w:r>
      <w:r>
        <w:t xml:space="preserve"> </w:t>
      </w:r>
      <w:r>
        <w:rPr>
          <w:rStyle w:val="VerbatimChar"/>
        </w:rPr>
        <w:t xml:space="preserve">tokenizer → data → model → training → inference</w:t>
      </w:r>
      <w:r>
        <w:t xml:space="preserve">. Cada estágio é importável e testável isoladamente. Duas decisões complementares sustentam a reprodutibilidade: hiperparâmetros residem em uma camada de configuração única (</w:t>
      </w:r>
      <w:r>
        <w:rPr>
          <w:rStyle w:val="VerbatimChar"/>
        </w:rPr>
        <w:t xml:space="preserve">config.py</w:t>
      </w:r>
      <w:r>
        <w:t xml:space="preserve"> </w:t>
      </w:r>
      <w:r>
        <w:t xml:space="preserve">mais arquivos YAML), sem valores padrão espalhados pelo código; e todo caminho de entrada ou saída é recebido por injeção, nunca fixado internamente. A serialização usa formatos de dados puros — JSON para o tokenizador, dicionários de tensores para</w:t>
      </w:r>
      <w:r>
        <w:t xml:space="preserve"> </w:t>
      </w:r>
      <w:r>
        <w:rPr>
          <w:iCs/>
          <w:i/>
        </w:rPr>
        <w:t xml:space="preserve">checkpoints</w:t>
      </w:r>
      <w:r>
        <w:t xml:space="preserve"> </w:t>
      </w:r>
      <w:r>
        <w:t xml:space="preserve">— em vez de</w:t>
      </w:r>
      <w:r>
        <w:t xml:space="preserve"> </w:t>
      </w:r>
      <w:r>
        <w:rPr>
          <w:rStyle w:val="VerbatimChar"/>
        </w:rPr>
        <w:t xml:space="preserve">pickle</w:t>
      </w:r>
      <w:r>
        <w:t xml:space="preserve"> </w:t>
      </w:r>
      <w:r>
        <w:t xml:space="preserve">de objetos, o que evita acoplar artefatos persistidos à versão do código que os produziu.</w:t>
      </w:r>
    </w:p>
    <w:p>
      <w:pPr>
        <w:pStyle w:val="BodyText"/>
      </w:pPr>
      <w:r>
        <w:t xml:space="preserve">O projeto materializa-se em duas camadas. A</w:t>
      </w:r>
      <w:r>
        <w:t xml:space="preserve"> </w:t>
      </w:r>
      <w:r>
        <w:rPr>
          <w:bCs/>
          <w:b/>
        </w:rPr>
        <w:t xml:space="preserve">educacional</w:t>
      </w:r>
      <w:r>
        <w:t xml:space="preserve"> </w:t>
      </w:r>
      <w:r>
        <w:t xml:space="preserve">consiste em oito</w:t>
      </w:r>
      <w:r>
        <w:t xml:space="preserve"> </w:t>
      </w:r>
      <w:r>
        <w:rPr>
          <w:iCs/>
          <w:i/>
        </w:rPr>
        <w:t xml:space="preserve">notebooks</w:t>
      </w:r>
      <w:r>
        <w:t xml:space="preserve"> </w:t>
      </w:r>
      <w:r>
        <w:t xml:space="preserve">numerados que derivam cada componente com a formulação matemática ao lado do código executável; não são editados à mão, e sim gerados por</w:t>
      </w:r>
      <w:r>
        <w:t xml:space="preserve"> </w:t>
      </w:r>
      <w:r>
        <w:rPr>
          <w:iCs/>
          <w:i/>
        </w:rPr>
        <w:t xml:space="preserve">builders</w:t>
      </w:r>
      <w:r>
        <w:t xml:space="preserve"> </w:t>
      </w:r>
      <w:r>
        <w:t xml:space="preserve">versionados, o que mantém a camada didática sob controle de versão de forma legível. A</w:t>
      </w:r>
      <w:r>
        <w:t xml:space="preserve"> </w:t>
      </w:r>
      <w:r>
        <w:rPr>
          <w:bCs/>
          <w:b/>
        </w:rPr>
        <w:t xml:space="preserve">de produção</w:t>
      </w:r>
      <w:r>
        <w:t xml:space="preserve"> </w:t>
      </w:r>
      <w:r>
        <w:t xml:space="preserve">é o pacote</w:t>
      </w:r>
      <w:r>
        <w:t xml:space="preserve"> </w:t>
      </w:r>
      <w:r>
        <w:rPr>
          <w:rStyle w:val="VerbatimChar"/>
        </w:rPr>
        <w:t xml:space="preserve">src/tucanoce/</w:t>
      </w:r>
      <w:r>
        <w:t xml:space="preserve">, que consolida o que cada</w:t>
      </w:r>
      <w:r>
        <w:t xml:space="preserve"> </w:t>
      </w:r>
      <w:r>
        <w:rPr>
          <w:iCs/>
          <w:i/>
        </w:rPr>
        <w:t xml:space="preserve">notebook</w:t>
      </w:r>
      <w:r>
        <w:t xml:space="preserve"> </w:t>
      </w:r>
      <w:r>
        <w:t xml:space="preserve">deriva.</w:t>
      </w:r>
    </w:p>
    <w:bookmarkEnd w:id="42"/>
    <w:bookmarkStart w:id="44" w:name="arquitetura-e-presets"/>
    <w:p>
      <w:pPr>
        <w:pStyle w:val="Heading2"/>
      </w:pPr>
      <w:r>
        <w:t xml:space="preserve">3.2 Arquitetura e</w:t>
      </w:r>
      <w:r>
        <w:t xml:space="preserve"> </w:t>
      </w:r>
      <w:r>
        <w:rPr>
          <w:iCs/>
          <w:i/>
        </w:rPr>
        <w:t xml:space="preserve">presets</w:t>
      </w:r>
    </w:p>
    <w:p>
      <w:pPr>
        <w:pStyle w:val="FirstParagraph"/>
      </w:pPr>
      <w:r>
        <w:t xml:space="preserve">O modelo é um</w:t>
      </w:r>
      <w:r>
        <w:t xml:space="preserve"> </w:t>
      </w:r>
      <w:r>
        <w:rPr>
          <w:iCs/>
          <w:i/>
        </w:rPr>
        <w:t xml:space="preserve">Transformer decoder-only</w:t>
      </w:r>
      <w:r>
        <w:t xml:space="preserve"> </w:t>
      </w:r>
      <w:r>
        <w:t xml:space="preserve">com as decisões descritas na Seção 2. Os hiperparâmetros de capacidade são expostos como</w:t>
      </w:r>
      <w:r>
        <w:t xml:space="preserve"> </w:t>
      </w:r>
      <w:r>
        <w:rPr>
          <w:iCs/>
          <w:i/>
        </w:rPr>
        <w:t xml:space="preserve">presets</w:t>
      </w:r>
      <w:r>
        <w:t xml:space="preserve"> </w:t>
      </w:r>
      <w:r>
        <w:t xml:space="preserve">nomeados (Tabela 1), o que permite variar escala mantendo o restante do</w:t>
      </w:r>
      <w:r>
        <w:t xml:space="preserve"> </w:t>
      </w:r>
      <w:r>
        <w:rPr>
          <w:iCs/>
          <w:i/>
        </w:rPr>
        <w:t xml:space="preserve">pipeline</w:t>
      </w:r>
      <w:r>
        <w:t xml:space="preserve"> </w:t>
      </w:r>
      <w:r>
        <w:t xml:space="preserve">literalmente idêntico — condição necessária para que qualquer comparação isole o fator pretendido.</w:t>
      </w:r>
    </w:p>
    <w:p>
      <w:pPr>
        <w:pStyle w:val="BodyText"/>
      </w:pPr>
      <w:r>
        <w:t xml:space="preserve">Tabela 1 –</w:t>
      </w:r>
      <w:r>
        <w:t xml:space="preserve"> </w:t>
      </w:r>
      <w:r>
        <w:rPr>
          <w:iCs/>
          <w:i/>
        </w:rPr>
        <w:t xml:space="preserve">Presets</w:t>
      </w:r>
      <w:r>
        <w:t xml:space="preserve"> </w:t>
      </w:r>
      <w:r>
        <w:t xml:space="preserve">de arquitetura.</w:t>
      </w:r>
    </w:p>
    <w:tbl>
      <w:tblPr>
        <w:tblStyle w:val="Table"/>
        <w:tblW w:type="pct" w:w="0.0"/>
        <w:tblLook w:firstRow="1" w:lastRow="0" w:firstColumn="0" w:lastColumn="0" w:noHBand="0" w:noVBand="0" w:val="0020"/>
      </w:tblPr>
      <w:tblGrid/>
      <w:tr>
        <w:tc>
          <w:p>
            <w:pPr>
              <w:pStyle w:val="Compact"/>
              <w:jc w:val="left"/>
            </w:pPr>
            <w:r>
              <w:rPr>
                <w:iCs/>
                <w:i/>
              </w:rPr>
              <w:t xml:space="preserve">Preset</w:t>
            </w:r>
          </w:p>
        </w:tc>
        <w:tc>
          <w:p>
            <w:pPr>
              <w:pStyle w:val="Compact"/>
              <w:jc w:val="left"/>
            </w:pPr>
            <m:oMath>
              <m:r>
                <m:t>d</m:t>
              </m:r>
            </m:oMath>
            <w:r>
              <w:t xml:space="preserve"> </w:t>
            </w:r>
            <w:r>
              <w:t xml:space="preserve">(embed)</w:t>
            </w:r>
          </w:p>
        </w:tc>
        <w:tc>
          <w:p>
            <w:pPr>
              <w:pStyle w:val="Compact"/>
              <w:jc w:val="left"/>
            </w:pPr>
            <m:oMath>
              <m:r>
                <m:t>L</m:t>
              </m:r>
            </m:oMath>
            <w:r>
              <w:t xml:space="preserve"> </w:t>
            </w:r>
            <w:r>
              <w:t xml:space="preserve">(camadas)</w:t>
            </w:r>
          </w:p>
        </w:tc>
        <w:tc>
          <w:p>
            <w:pPr>
              <w:pStyle w:val="Compact"/>
              <w:jc w:val="left"/>
            </w:pPr>
            <m:oMath>
              <m:r>
                <m:t>H</m:t>
              </m:r>
            </m:oMath>
            <w:r>
              <w:t xml:space="preserve"> </w:t>
            </w:r>
            <w:r>
              <w:t xml:space="preserve">(cabeças)</w:t>
            </w:r>
          </w:p>
        </w:tc>
        <w:tc>
          <w:p>
            <w:pPr>
              <w:pStyle w:val="Compact"/>
              <w:jc w:val="left"/>
            </w:pPr>
            <w:r>
              <w:t xml:space="preserve">Parâmetros</w:t>
            </w:r>
          </w:p>
        </w:tc>
      </w:tr>
      <w:tr>
        <w:tc>
          <w:p>
            <w:pPr>
              <w:pStyle w:val="Compact"/>
              <w:jc w:val="left"/>
            </w:pPr>
            <w:r>
              <w:t xml:space="preserve">small</w:t>
            </w:r>
          </w:p>
        </w:tc>
        <w:tc>
          <w:p>
            <w:pPr>
              <w:pStyle w:val="Compact"/>
              <w:jc w:val="left"/>
            </w:pPr>
            <w:r>
              <w:t xml:space="preserve">128</w:t>
            </w:r>
          </w:p>
        </w:tc>
        <w:tc>
          <w:p>
            <w:pPr>
              <w:pStyle w:val="Compact"/>
              <w:jc w:val="left"/>
            </w:pPr>
            <w:r>
              <w:t xml:space="preserve">6</w:t>
            </w:r>
          </w:p>
        </w:tc>
        <w:tc>
          <w:p>
            <w:pPr>
              <w:pStyle w:val="Compact"/>
              <w:jc w:val="left"/>
            </w:pPr>
            <w:r>
              <w:t xml:space="preserve">4</w:t>
            </w:r>
          </w:p>
        </w:tc>
        <w:tc>
          <w:p>
            <w:pPr>
              <w:pStyle w:val="Compact"/>
              <w:jc w:val="left"/>
            </w:pPr>
            <w:r>
              <w:t xml:space="preserve">1,80 M</w:t>
            </w:r>
          </w:p>
        </w:tc>
      </w:tr>
      <w:tr>
        <w:tc>
          <w:p>
            <w:pPr>
              <w:pStyle w:val="Compact"/>
              <w:jc w:val="left"/>
            </w:pPr>
            <w:r>
              <w:t xml:space="preserve">base</w:t>
            </w:r>
          </w:p>
        </w:tc>
        <w:tc>
          <w:p>
            <w:pPr>
              <w:pStyle w:val="Compact"/>
              <w:jc w:val="left"/>
            </w:pPr>
            <w:r>
              <w:t xml:space="preserve">256</w:t>
            </w:r>
          </w:p>
        </w:tc>
        <w:tc>
          <w:p>
            <w:pPr>
              <w:pStyle w:val="Compact"/>
              <w:jc w:val="left"/>
            </w:pPr>
            <w:r>
              <w:t xml:space="preserve">8</w:t>
            </w:r>
          </w:p>
        </w:tc>
        <w:tc>
          <w:p>
            <w:pPr>
              <w:pStyle w:val="Compact"/>
              <w:jc w:val="left"/>
            </w:pPr>
            <w:r>
              <w:t xml:space="preserve">8</w:t>
            </w:r>
          </w:p>
        </w:tc>
        <w:tc>
          <w:p>
            <w:pPr>
              <w:pStyle w:val="Compact"/>
              <w:jc w:val="left"/>
            </w:pPr>
            <w:r>
              <w:t xml:space="preserve">—</w:t>
            </w:r>
          </w:p>
        </w:tc>
      </w:tr>
      <w:tr>
        <w:tc>
          <w:p>
            <w:pPr>
              <w:pStyle w:val="Compact"/>
              <w:jc w:val="left"/>
            </w:pPr>
            <w:r>
              <w:t xml:space="preserve">medium</w:t>
            </w:r>
          </w:p>
        </w:tc>
        <w:tc>
          <w:p>
            <w:pPr>
              <w:pStyle w:val="Compact"/>
              <w:jc w:val="left"/>
            </w:pPr>
            <w:r>
              <w:t xml:space="preserve">512</w:t>
            </w:r>
          </w:p>
        </w:tc>
        <w:tc>
          <w:p>
            <w:pPr>
              <w:pStyle w:val="Compact"/>
              <w:jc w:val="left"/>
            </w:pPr>
            <w:r>
              <w:t xml:space="preserve">12</w:t>
            </w:r>
          </w:p>
        </w:tc>
        <w:tc>
          <w:p>
            <w:pPr>
              <w:pStyle w:val="Compact"/>
              <w:jc w:val="left"/>
            </w:pPr>
            <w:r>
              <w:t xml:space="preserve">8</w:t>
            </w:r>
          </w:p>
        </w:tc>
        <w:tc>
          <w:p>
            <w:pPr>
              <w:pStyle w:val="Compact"/>
              <w:jc w:val="left"/>
            </w:pPr>
            <w:r>
              <w:t xml:space="preserve">42,7 M</w:t>
            </w:r>
          </w:p>
        </w:tc>
      </w:tr>
      <w:tr>
        <w:tc>
          <w:p>
            <w:pPr>
              <w:pStyle w:val="Compact"/>
              <w:jc w:val="left"/>
            </w:pPr>
            <w:r>
              <w:t xml:space="preserve">large</w:t>
            </w:r>
          </w:p>
        </w:tc>
        <w:tc>
          <w:p>
            <w:pPr>
              <w:pStyle w:val="Compact"/>
              <w:jc w:val="left"/>
            </w:pPr>
            <w:r>
              <w:t xml:space="preserve">768</w:t>
            </w:r>
          </w:p>
        </w:tc>
        <w:tc>
          <w:p>
            <w:pPr>
              <w:pStyle w:val="Compact"/>
              <w:jc w:val="left"/>
            </w:pPr>
            <w:r>
              <w:t xml:space="preserve">12</w:t>
            </w:r>
          </w:p>
        </w:tc>
        <w:tc>
          <w:p>
            <w:pPr>
              <w:pStyle w:val="Compact"/>
              <w:jc w:val="left"/>
            </w:pPr>
            <w:r>
              <w:t xml:space="preserve">12</w:t>
            </w:r>
          </w:p>
        </w:tc>
        <w:tc>
          <w:p>
            <w:pPr>
              <w:pStyle w:val="Compact"/>
              <w:jc w:val="left"/>
            </w:pPr>
            <w:r>
              <w:t xml:space="preserve">91,2 M</w:t>
            </w:r>
          </w:p>
        </w:tc>
      </w:tr>
      <w:tr>
        <w:tc>
          <w:p>
            <w:pPr>
              <w:pStyle w:val="Compact"/>
              <w:jc w:val="left"/>
            </w:pPr>
            <w:r>
              <w:t xml:space="preserve">xl</w:t>
            </w:r>
          </w:p>
        </w:tc>
        <w:tc>
          <w:p>
            <w:pPr>
              <w:pStyle w:val="Compact"/>
              <w:jc w:val="left"/>
            </w:pPr>
            <w:r>
              <w:t xml:space="preserve">1024</w:t>
            </w:r>
          </w:p>
        </w:tc>
        <w:tc>
          <w:p>
            <w:pPr>
              <w:pStyle w:val="Compact"/>
              <w:jc w:val="left"/>
            </w:pPr>
            <w:r>
              <w:t xml:space="preserve">16</w:t>
            </w:r>
          </w:p>
        </w:tc>
        <w:tc>
          <w:p>
            <w:pPr>
              <w:pStyle w:val="Compact"/>
              <w:jc w:val="left"/>
            </w:pPr>
            <w:r>
              <w:t xml:space="preserve">16</w:t>
            </w:r>
          </w:p>
        </w:tc>
        <w:tc>
          <w:p>
            <w:pPr>
              <w:pStyle w:val="Compact"/>
              <w:jc w:val="left"/>
            </w:pPr>
            <w:r>
              <w:t xml:space="preserve">210,8 M</w:t>
            </w:r>
          </w:p>
        </w:tc>
      </w:tr>
    </w:tbl>
    <w:p>
      <w:pPr>
        <w:pStyle w:val="BodyText"/>
      </w:pPr>
      <w:r>
        <w:t xml:space="preserve">Fonte: elaborada pelo autor (2026).</w:t>
      </w:r>
    </w:p>
    <w:p>
      <w:pPr>
        <w:pStyle w:val="BodyText"/>
      </w:pPr>
      <w:r>
        <w:t xml:space="preserve">A distribuição de parâmetros por componente (Figura 12) confirma o que a Seção 2.5 antecipa: a maior parcela reside na MLP, seguida da atenção, e não na</w:t>
      </w:r>
      <w:r>
        <w:t xml:space="preserve"> </w:t>
      </w:r>
      <w:r>
        <w:rPr>
          <w:iCs/>
          <w:i/>
        </w:rPr>
        <w:t xml:space="preserve">embedding</w:t>
      </w:r>
      <w:r>
        <w:t xml:space="preserve"> </w:t>
      </w:r>
      <w:r>
        <w:t xml:space="preserve">— cujo peso é compartilhado com a projeção de saída.</w:t>
      </w:r>
    </w:p>
    <w:p>
      <w:pPr>
        <w:pStyle w:val="CaptionedFigure"/>
      </w:pPr>
      <w:r>
        <w:drawing>
          <wp:inline>
            <wp:extent cx="5334000" cy="3525864"/>
            <wp:effectExtent b="0" l="0" r="0" t="0"/>
            <wp:docPr descr="Figura 12" title="" id="1" name="Picture"/>
            <a:graphic>
              <a:graphicData uri="http://schemas.openxmlformats.org/drawingml/2006/picture">
                <pic:pic>
                  <pic:nvPicPr>
                    <pic:cNvPr descr="media/rId44.png" id="0" name="Picture"/>
                    <pic:cNvPicPr>
                      <a:picLocks noChangeArrowheads="1" noChangeAspect="1"/>
                    </pic:cNvPicPr>
                  </pic:nvPicPr>
                  <pic:blipFill>
                    <a:blip r:embed="rId43"/>
                    <a:stretch>
                      <a:fillRect/>
                    </a:stretch>
                  </pic:blipFill>
                  <pic:spPr bwMode="auto">
                    <a:xfrm>
                      <a:off x="0" y="0"/>
                      <a:ext cx="5334000" cy="3525864"/>
                    </a:xfrm>
                    <a:prstGeom prst="rect">
                      <a:avLst/>
                    </a:prstGeom>
                    <a:noFill/>
                    <a:ln w="9525">
                      <a:noFill/>
                      <a:headEnd/>
                      <a:tailEnd/>
                    </a:ln>
                  </pic:spPr>
                </pic:pic>
              </a:graphicData>
            </a:graphic>
          </wp:inline>
        </w:drawing>
      </w:r>
    </w:p>
    <w:p>
      <w:pPr>
        <w:pStyle w:val="ImageCaption"/>
      </w:pPr>
      <w:r>
        <w:t xml:space="preserve">Figura 12</w:t>
      </w:r>
    </w:p>
    <w:p>
      <w:pPr>
        <w:pStyle w:val="BodyText"/>
      </w:pPr>
      <w:r>
        <w:t xml:space="preserve">Figura 12 – Distribuição de parâmetros por componente. A MLP concentra a maior parcela, seguida da atenção. Fonte: elaborada pelo autor a partir dos</w:t>
      </w:r>
      <w:r>
        <w:t xml:space="preserve"> </w:t>
      </w:r>
      <w:r>
        <w:rPr>
          <w:iCs/>
          <w:i/>
        </w:rPr>
        <w:t xml:space="preserve">notebooks</w:t>
      </w:r>
      <w:r>
        <w:t xml:space="preserve"> </w:t>
      </w:r>
      <w:r>
        <w:t xml:space="preserve">do projeto (2026).</w:t>
      </w:r>
    </w:p>
    <w:p>
      <w:pPr>
        <w:pStyle w:val="BodyText"/>
      </w:pPr>
      <w:r>
        <w:t xml:space="preserve">Todos os experimentos reportados usam o</w:t>
      </w:r>
      <w:r>
        <w:t xml:space="preserve"> </w:t>
      </w:r>
      <w:r>
        <w:rPr>
          <w:iCs/>
          <w:i/>
        </w:rPr>
        <w:t xml:space="preserve">preset small</w:t>
      </w:r>
      <w:r>
        <w:t xml:space="preserve"> </w:t>
      </w:r>
      <w:r>
        <w:t xml:space="preserve">(1.803.904 parâmetros), o único treinável em tempo hábil na infraestrutura disponível (CPU), e mantido</w:t>
      </w:r>
      <w:r>
        <w:t xml:space="preserve"> </w:t>
      </w:r>
      <w:r>
        <w:rPr>
          <w:bCs/>
          <w:b/>
        </w:rPr>
        <w:t xml:space="preserve">fixo</w:t>
      </w:r>
      <w:r>
        <w:t xml:space="preserve"> </w:t>
      </w:r>
      <w:r>
        <w:t xml:space="preserve">em todo o estudo. Os</w:t>
      </w:r>
      <w:r>
        <w:t xml:space="preserve"> </w:t>
      </w:r>
      <w:r>
        <w:rPr>
          <w:iCs/>
          <w:i/>
        </w:rPr>
        <w:t xml:space="preserve">presets</w:t>
      </w:r>
      <w:r>
        <w:t xml:space="preserve"> </w:t>
      </w:r>
      <w:r>
        <w:t xml:space="preserve">maiores estão implementados e testados, mas não treinados; a referência mais próxima para eles é Cunha (2026), que reporta perda de validação de aproximadamente 2,13 para o</w:t>
      </w:r>
      <w:r>
        <w:t xml:space="preserve"> </w:t>
      </w:r>
      <w:r>
        <w:rPr>
          <w:iCs/>
          <w:i/>
        </w:rPr>
        <w:t xml:space="preserve">preset</w:t>
      </w:r>
      <w:r>
        <w:t xml:space="preserve"> </w:t>
      </w:r>
      <w:r>
        <w:t xml:space="preserve">de 43 milhões sobre 25,3 milhões de</w:t>
      </w:r>
      <w:r>
        <w:t xml:space="preserve"> </w:t>
      </w:r>
      <w:r>
        <w:rPr>
          <w:iCs/>
          <w:i/>
        </w:rPr>
        <w:t xml:space="preserve">tokens</w:t>
      </w:r>
      <w:r>
        <w:t xml:space="preserve"> </w:t>
      </w:r>
      <w:r>
        <w:t xml:space="preserve">de Wikipedia técnica em RTX 5070.</w:t>
      </w:r>
    </w:p>
    <w:bookmarkEnd w:id="44"/>
    <w:bookmarkStart w:id="46" w:name="pipeline-de-dados-e-particionamento"/>
    <w:p>
      <w:pPr>
        <w:pStyle w:val="Heading2"/>
      </w:pPr>
      <w:r>
        <w:t xml:space="preserve">3.3</w:t>
      </w:r>
      <w:r>
        <w:t xml:space="preserve"> </w:t>
      </w:r>
      <w:r>
        <w:rPr>
          <w:iCs/>
          <w:i/>
        </w:rPr>
        <w:t xml:space="preserve">Pipeline</w:t>
      </w:r>
      <w:r>
        <w:t xml:space="preserve"> </w:t>
      </w:r>
      <w:r>
        <w:t xml:space="preserve">de dados e particionamento</w:t>
      </w:r>
    </w:p>
    <w:p>
      <w:pPr>
        <w:pStyle w:val="FirstParagraph"/>
      </w:pPr>
      <w:r>
        <w:t xml:space="preserve">Todos os corpora passam pelo mesmo</w:t>
      </w:r>
      <w:r>
        <w:t xml:space="preserve"> </w:t>
      </w:r>
      <w:r>
        <w:rPr>
          <w:iCs/>
          <w:i/>
        </w:rPr>
        <w:t xml:space="preserve">pipeline</w:t>
      </w:r>
      <w:r>
        <w:t xml:space="preserve">: coleta, limpeza, tokenização por BPE em nível de</w:t>
      </w:r>
      <w:r>
        <w:t xml:space="preserve"> </w:t>
      </w:r>
      <w:r>
        <w:rPr>
          <w:iCs/>
          <w:i/>
        </w:rPr>
        <w:t xml:space="preserve">byte</w:t>
      </w:r>
      <w:r>
        <w:t xml:space="preserve"> </w:t>
      </w:r>
      <w:r>
        <w:t xml:space="preserve">— cujo artefato versionado são as regras de fusão — e particionamento em janelas de contexto. O cache de</w:t>
      </w:r>
      <w:r>
        <w:t xml:space="preserve"> </w:t>
      </w:r>
      <w:r>
        <w:rPr>
          <w:iCs/>
          <w:i/>
        </w:rPr>
        <w:t xml:space="preserve">tokens</w:t>
      </w:r>
      <w:r>
        <w:t xml:space="preserve"> </w:t>
      </w:r>
      <w:r>
        <w:t xml:space="preserve">é invalidado por dois critérios conjuntos, identidade do tokenizador e data de modificação do corpus, porque verificar apenas um deles deixa passar exatamente as duas situações que ocorrem na prática: re-limpar o corpus sem retreinar o tokenizador, e retreinar o tokenizador sem alterar o corpus.</w:t>
      </w:r>
    </w:p>
    <w:p>
      <w:pPr>
        <w:pStyle w:val="BodyText"/>
      </w:pPr>
      <w:r>
        <w:t xml:space="preserve">A decisão de maior impacto no particionamento é o passo entre janelas de tamanho</w:t>
      </w:r>
      <w:r>
        <w:t xml:space="preserve"> </w:t>
      </w:r>
      <m:oMath>
        <m:sSub>
          <m:e>
            <m:r>
              <m:t>T</m:t>
            </m:r>
          </m:e>
          <m:sub>
            <m:r>
              <m:t>c</m:t>
            </m:r>
            <m:r>
              <m:t>t</m:t>
            </m:r>
            <m:r>
              <m:t>x</m:t>
            </m:r>
          </m:sub>
        </m:sSub>
      </m:oMath>
      <w:r>
        <w:t xml:space="preserve">. A janela deslizante de passo 1 gera</w:t>
      </w:r>
      <w:r>
        <w:t xml:space="preserve"> </w:t>
      </w:r>
      <m:oMath>
        <m:r>
          <m:rPr>
            <m:sty m:val="p"/>
          </m:rPr>
          <m:t>|</m:t>
        </m:r>
        <m:r>
          <m:rPr>
            <m:sty m:val="p"/>
            <m:scr m:val="script"/>
          </m:rPr>
          <m:t>D</m:t>
        </m:r>
        <m:r>
          <m:rPr>
            <m:sty m:val="p"/>
          </m:rPr>
          <m:t>|</m:t>
        </m:r>
        <m:r>
          <m:rPr>
            <m:sty m:val="p"/>
          </m:rPr>
          <m:t>=</m:t>
        </m:r>
        <m:r>
          <m:t>N</m:t>
        </m:r>
        <m:r>
          <m:rPr>
            <m:sty m:val="p"/>
          </m:rPr>
          <m:t>−</m:t>
        </m:r>
        <m:sSub>
          <m:e>
            <m:r>
              <m:t>T</m:t>
            </m:r>
          </m:e>
          <m:sub>
            <m:r>
              <m:t>c</m:t>
            </m:r>
            <m:r>
              <m:t>t</m:t>
            </m:r>
            <m:r>
              <m:t>x</m:t>
            </m:r>
          </m:sub>
        </m:sSub>
      </m:oMath>
      <w:r>
        <w:t xml:space="preserve"> </w:t>
      </w:r>
      <w:r>
        <w:t xml:space="preserve">amostras; a contígua, de passo</w:t>
      </w:r>
      <w:r>
        <w:t xml:space="preserve"> </w:t>
      </w:r>
      <m:oMath>
        <m:sSub>
          <m:e>
            <m:r>
              <m:t>T</m:t>
            </m:r>
          </m:e>
          <m:sub>
            <m:r>
              <m:t>c</m:t>
            </m:r>
            <m:r>
              <m:t>t</m:t>
            </m:r>
            <m:r>
              <m:t>x</m:t>
            </m:r>
          </m:sub>
        </m:sSub>
      </m:oMath>
      <w:r>
        <w:t xml:space="preserve">, gera</w:t>
      </w:r>
    </w:p>
    <w:p>
      <w:pPr>
        <w:pStyle w:val="BodyText"/>
      </w:pPr>
      <m:oMathPara>
        <m:oMathParaPr>
          <m:jc m:val="center"/>
        </m:oMathParaPr>
        <m:oMath>
          <m:r>
            <m:rPr>
              <m:sty m:val="p"/>
            </m:rPr>
            <m:t>|</m:t>
          </m:r>
          <m:r>
            <m:rPr>
              <m:sty m:val="p"/>
              <m:scr m:val="script"/>
            </m:rPr>
            <m:t>D</m:t>
          </m:r>
          <m:sSub>
            <m:e>
              <m:r>
                <m:rPr>
                  <m:sty m:val="p"/>
                </m:rPr>
                <m:t>|</m:t>
              </m:r>
            </m:e>
            <m:sub>
              <m:r>
                <m:rPr>
                  <m:nor/>
                  <m:sty m:val="p"/>
                </m:rPr>
                <m:t>chunked</m:t>
              </m:r>
            </m:sub>
          </m:sSub>
          <m:r>
            <m:rPr>
              <m:sty m:val="p"/>
            </m:rPr>
            <m:t>=</m:t>
          </m:r>
          <m:d>
            <m:dPr>
              <m:begChr m:val="⌊"/>
              <m:endChr m:val="⌋"/>
              <m:grow/>
            </m:dPr>
            <m:e>
              <m:f>
                <m:fPr>
                  <m:type m:val="bar"/>
                </m:fPr>
                <m:num>
                  <m:r>
                    <m:t>N</m:t>
                  </m:r>
                  <m:r>
                    <m:rPr>
                      <m:sty m:val="p"/>
                    </m:rPr>
                    <m:t>−</m:t>
                  </m:r>
                  <m:r>
                    <m:t>1</m:t>
                  </m:r>
                </m:num>
                <m:den>
                  <m:sSub>
                    <m:e>
                      <m:r>
                        <m:t>T</m:t>
                      </m:r>
                    </m:e>
                    <m:sub>
                      <m:r>
                        <m:t>c</m:t>
                      </m:r>
                      <m:r>
                        <m:t>t</m:t>
                      </m:r>
                      <m:r>
                        <m:t>x</m:t>
                      </m:r>
                    </m:sub>
                  </m:sSub>
                </m:den>
              </m:f>
            </m:e>
          </m:d>
          <m:r>
            <m:rPr>
              <m:sty m:val="p"/>
            </m:rPr>
            <m:t>,</m:t>
          </m:r>
        </m:oMath>
      </m:oMathPara>
    </w:p>
    <w:p>
      <w:pPr>
        <w:pStyle w:val="FirstParagraph"/>
      </w:pPr>
      <w:r>
        <w:t xml:space="preserve">com cada</w:t>
      </w:r>
      <w:r>
        <w:t xml:space="preserve"> </w:t>
      </w:r>
      <w:r>
        <w:rPr>
          <w:iCs/>
          <w:i/>
        </w:rPr>
        <w:t xml:space="preserve">token</w:t>
      </w:r>
      <w:r>
        <w:t xml:space="preserve"> </w:t>
      </w:r>
      <w:r>
        <w:t xml:space="preserve">visto uma única vez por época. A razão entre as duas é aproximadamente</w:t>
      </w:r>
      <w:r>
        <w:t xml:space="preserve"> </w:t>
      </w:r>
      <m:oMath>
        <m:sSub>
          <m:e>
            <m:r>
              <m:t>T</m:t>
            </m:r>
          </m:e>
          <m:sub>
            <m:r>
              <m:t>c</m:t>
            </m:r>
            <m:r>
              <m:t>t</m:t>
            </m:r>
            <m:r>
              <m:t>x</m:t>
            </m:r>
          </m:sub>
        </m:sSub>
      </m:oMath>
      <w:r>
        <w:t xml:space="preserve"> </w:t>
      </w:r>
      <w:r>
        <w:t xml:space="preserve">(Figura 13). Adotou-se a estratégia contígua, e a justificativa é estatística antes de ser computacional: janelas deslocadas de uma posição compartilham</w:t>
      </w:r>
      <w:r>
        <w:t xml:space="preserve"> </w:t>
      </w:r>
      <m:oMath>
        <m:sSub>
          <m:e>
            <m:r>
              <m:t>T</m:t>
            </m:r>
          </m:e>
          <m:sub>
            <m:r>
              <m:t>c</m:t>
            </m:r>
            <m:r>
              <m:t>t</m:t>
            </m:r>
            <m:r>
              <m:t>x</m:t>
            </m:r>
          </m:sub>
        </m:sSub>
        <m:r>
          <m:rPr>
            <m:sty m:val="p"/>
          </m:rPr>
          <m:t>−</m:t>
        </m:r>
        <m:r>
          <m:t>1</m:t>
        </m:r>
      </m:oMath>
      <w:r>
        <w:t xml:space="preserve"> </w:t>
      </w:r>
      <w:r>
        <w:rPr>
          <w:iCs/>
          <w:i/>
        </w:rPr>
        <w:t xml:space="preserve">tokens</w:t>
      </w:r>
      <w:r>
        <w:t xml:space="preserve">, de modo que amostras consecutivas são quase idênticas e o gradiente que produzem é fortemente correlacionado. O custo por época cai cerca de duas ordens de grandeza em troca de redundância, não de informação.</w:t>
      </w:r>
    </w:p>
    <w:p>
      <w:pPr>
        <w:pStyle w:val="CaptionedFigure"/>
      </w:pPr>
      <w:r>
        <w:drawing>
          <wp:inline>
            <wp:extent cx="5334000" cy="2940000"/>
            <wp:effectExtent b="0" l="0" r="0" t="0"/>
            <wp:docPr descr="Figura 13" title="" id="1" name="Picture"/>
            <a:graphic>
              <a:graphicData uri="http://schemas.openxmlformats.org/drawingml/2006/picture">
                <pic:pic>
                  <pic:nvPicPr>
                    <pic:cNvPr descr="media/rId46.png" id="0" name="Picture"/>
                    <pic:cNvPicPr>
                      <a:picLocks noChangeArrowheads="1" noChangeAspect="1"/>
                    </pic:cNvPicPr>
                  </pic:nvPicPr>
                  <pic:blipFill>
                    <a:blip r:embed="rId45"/>
                    <a:stretch>
                      <a:fillRect/>
                    </a:stretch>
                  </pic:blipFill>
                  <pic:spPr bwMode="auto">
                    <a:xfrm>
                      <a:off x="0" y="0"/>
                      <a:ext cx="5334000" cy="2940000"/>
                    </a:xfrm>
                    <a:prstGeom prst="rect">
                      <a:avLst/>
                    </a:prstGeom>
                    <a:noFill/>
                    <a:ln w="9525">
                      <a:noFill/>
                      <a:headEnd/>
                      <a:tailEnd/>
                    </a:ln>
                  </pic:spPr>
                </pic:pic>
              </a:graphicData>
            </a:graphic>
          </wp:inline>
        </w:drawing>
      </w:r>
    </w:p>
    <w:p>
      <w:pPr>
        <w:pStyle w:val="ImageCaption"/>
      </w:pPr>
      <w:r>
        <w:t xml:space="preserve">Figura 13</w:t>
      </w:r>
    </w:p>
    <w:p>
      <w:pPr>
        <w:pStyle w:val="BodyText"/>
      </w:pPr>
      <w:r>
        <w:t xml:space="preserve">Figura 13 – Particionamento do mesmo fluxo de</w:t>
      </w:r>
      <w:r>
        <w:t xml:space="preserve"> </w:t>
      </w:r>
      <w:r>
        <w:rPr>
          <w:iCs/>
          <w:i/>
        </w:rPr>
        <w:t xml:space="preserve">tokens</w:t>
      </w:r>
      <w:r>
        <w:t xml:space="preserve"> </w:t>
      </w:r>
      <w:r>
        <w:t xml:space="preserve">(</w:t>
      </w:r>
      <m:oMath>
        <m:r>
          <m:t>N</m:t>
        </m:r>
        <m:r>
          <m:rPr>
            <m:sty m:val="p"/>
          </m:rPr>
          <m:t>=</m:t>
        </m:r>
        <m:r>
          <m:t>16</m:t>
        </m:r>
      </m:oMath>
      <w:r>
        <w:t xml:space="preserve">,</w:t>
      </w:r>
      <w:r>
        <w:t xml:space="preserve"> </w:t>
      </w:r>
      <m:oMath>
        <m:sSub>
          <m:e>
            <m:r>
              <m:t>T</m:t>
            </m:r>
          </m:e>
          <m:sub>
            <m:r>
              <m:t>c</m:t>
            </m:r>
            <m:r>
              <m:t>t</m:t>
            </m:r>
            <m:r>
              <m:t>x</m:t>
            </m:r>
          </m:sub>
        </m:sSub>
        <m:r>
          <m:rPr>
            <m:sty m:val="p"/>
          </m:rPr>
          <m:t>=</m:t>
        </m:r>
        <m:r>
          <m:t>4</m:t>
        </m:r>
      </m:oMath>
      <w:r>
        <w:t xml:space="preserve">). O modo contíguo (topo) usa janelas sem sobreposição; o deslizante (base) desloca de um em um, gerando janelas quase idênticas. Fonte: elaborada pelo autor a partir dos</w:t>
      </w:r>
      <w:r>
        <w:t xml:space="preserve"> </w:t>
      </w:r>
      <w:r>
        <w:rPr>
          <w:iCs/>
          <w:i/>
        </w:rPr>
        <w:t xml:space="preserve">notebooks</w:t>
      </w:r>
      <w:r>
        <w:t xml:space="preserve"> </w:t>
      </w:r>
      <w:r>
        <w:t xml:space="preserve">do projeto (2026).</w:t>
      </w:r>
    </w:p>
    <w:bookmarkEnd w:id="46"/>
    <w:bookmarkStart w:id="47" w:name="X80a650029c0b740187d0b8098193cabadef0096"/>
    <w:p>
      <w:pPr>
        <w:pStyle w:val="Heading2"/>
      </w:pPr>
      <w:r>
        <w:t xml:space="preserve">3.4 Caracterização quantitativa da entropia dos corpora</w:t>
      </w:r>
    </w:p>
    <w:p>
      <w:pPr>
        <w:pStyle w:val="FirstParagraph"/>
      </w:pPr>
      <w:r>
        <w:t xml:space="preserve">Afirmar que um corpus é</w:t>
      </w:r>
      <w:r>
        <w:t xml:space="preserve"> </w:t>
      </w:r>
      <w:r>
        <w:t xml:space="preserve">“</w:t>
      </w:r>
      <w:r>
        <w:t xml:space="preserve">mais simples</w:t>
      </w:r>
      <w:r>
        <w:t xml:space="preserve">”</w:t>
      </w:r>
      <w:r>
        <w:t xml:space="preserve"> </w:t>
      </w:r>
      <w:r>
        <w:t xml:space="preserve">que outro é insuficiente para sustentar a hipótese da Seção 2.8; a propriedade precisa ser medida. Quatro proxies foram calculados para cada corpus, sobre o fluxo de</w:t>
      </w:r>
      <w:r>
        <w:t xml:space="preserve"> </w:t>
      </w:r>
      <w:r>
        <w:rPr>
          <w:iCs/>
          <w:i/>
        </w:rPr>
        <w:t xml:space="preserve">tokens</w:t>
      </w:r>
      <w:r>
        <w:t xml:space="preserve"> </w:t>
      </w:r>
      <w:r>
        <w:t xml:space="preserve">efetivamente usado no treino, por</w:t>
      </w:r>
      <w:r>
        <w:t xml:space="preserve"> </w:t>
      </w:r>
      <w:r>
        <w:rPr>
          <w:rStyle w:val="VerbatimChar"/>
        </w:rPr>
        <w:t xml:space="preserve">scripts/entropia_corpora.py</w:t>
      </w:r>
      <w:r>
        <w:t xml:space="preserve">:</w:t>
      </w:r>
    </w:p>
    <w:p>
      <w:pPr>
        <w:numPr>
          <w:ilvl w:val="0"/>
          <w:numId w:val="1002"/>
        </w:numPr>
        <w:pStyle w:val="Compact"/>
      </w:pPr>
      <w:r>
        <w:rPr>
          <w:bCs/>
          <w:b/>
        </w:rPr>
        <w:t xml:space="preserve">Compressão em</w:t>
      </w:r>
      <w:r>
        <w:rPr>
          <w:bCs/>
          <w:b/>
        </w:rPr>
        <w:t xml:space="preserve"> </w:t>
      </w:r>
      <w:r>
        <w:rPr>
          <w:iCs/>
          <w:i/>
          <w:bCs/>
          <w:b/>
        </w:rPr>
        <w:t xml:space="preserve">bytes</w:t>
      </w:r>
      <w:r>
        <w:rPr>
          <w:bCs/>
          <w:b/>
        </w:rPr>
        <w:t xml:space="preserve"> </w:t>
      </w:r>
      <w:r>
        <w:rPr>
          <w:bCs/>
          <w:b/>
        </w:rPr>
        <w:t xml:space="preserve">por</w:t>
      </w:r>
      <w:r>
        <w:rPr>
          <w:bCs/>
          <w:b/>
        </w:rPr>
        <w:t xml:space="preserve"> </w:t>
      </w:r>
      <w:r>
        <w:rPr>
          <w:iCs/>
          <w:i/>
          <w:bCs/>
          <w:b/>
        </w:rPr>
        <w:t xml:space="preserve">token</w:t>
      </w:r>
      <w:r>
        <w:rPr>
          <w:bCs/>
          <w:b/>
        </w:rPr>
        <w:t xml:space="preserve">.</w:t>
      </w:r>
      <w:r>
        <w:t xml:space="preserve"> </w:t>
      </w:r>
      <w:r>
        <w:t xml:space="preserve">Quanto mais previsível o texto, mais o BPE consegue comprimi-lo em unidades longas.</w:t>
      </w:r>
    </w:p>
    <w:p>
      <w:pPr>
        <w:numPr>
          <w:ilvl w:val="0"/>
          <w:numId w:val="1002"/>
        </w:numPr>
        <w:pStyle w:val="Compact"/>
      </w:pPr>
      <w:r>
        <w:rPr>
          <w:bCs/>
          <w:b/>
        </w:rPr>
        <w:t xml:space="preserve">Tipos usados.</w:t>
      </w:r>
      <w:r>
        <w:t xml:space="preserve"> </w:t>
      </w:r>
      <w:r>
        <w:t xml:space="preserve">Número de identificadores do vocabulário que efetivamente ocorrem, indicando quanto do espaço disponível o corpus mobiliza.</w:t>
      </w:r>
    </w:p>
    <w:p>
      <w:pPr>
        <w:numPr>
          <w:ilvl w:val="0"/>
          <w:numId w:val="1002"/>
        </w:numPr>
        <w:pStyle w:val="Compact"/>
      </w:pPr>
      <w:r>
        <w:rPr>
          <w:bCs/>
          <w:b/>
        </w:rPr>
        <w:t xml:space="preserve">Entropia de unigrama</w:t>
      </w:r>
      <w:r>
        <w:t xml:space="preserve"> </w:t>
      </w:r>
      <m:oMath>
        <m:sSub>
          <m:e>
            <m:r>
              <m:t>H</m:t>
            </m:r>
          </m:e>
          <m:sub>
            <m:r>
              <m:t>1</m:t>
            </m:r>
          </m:sub>
        </m:sSub>
        <m:r>
          <m:rPr>
            <m:sty m:val="p"/>
          </m:rPr>
          <m:t>=</m:t>
        </m:r>
        <m:r>
          <m:rPr>
            <m:sty m:val="p"/>
          </m:rPr>
          <m:t>−</m:t>
        </m:r>
        <m:nary>
          <m:naryPr>
            <m:chr m:val="∑"/>
            <m:limLoc m:val="undOvr"/>
            <m:subHide m:val="0"/>
            <m:supHide m:val="1"/>
          </m:naryPr>
          <m:sub>
            <m:r>
              <m:t>x</m:t>
            </m:r>
          </m:sub>
          <m:sup>
            <m:r>
              <m:t>​</m:t>
            </m:r>
          </m:sup>
          <m:e>
            <m:acc>
              <m:accPr>
                <m:chr m:val="̂"/>
              </m:accPr>
              <m:e>
                <m:r>
                  <m:t>p</m:t>
                </m:r>
              </m:e>
            </m:acc>
          </m:e>
        </m:nary>
        <m:r>
          <m:rPr>
            <m:sty m:val="p"/>
          </m:rPr>
          <m:t>(</m:t>
        </m:r>
        <m:r>
          <m:t>x</m:t>
        </m:r>
        <m:r>
          <m:rPr>
            <m:sty m:val="p"/>
          </m:rPr>
          <m:t>)</m:t>
        </m:r>
        <m:r>
          <m:rPr>
            <m:nor/>
            <m:sty m:val="p"/>
          </m:rPr>
          <m:t>log</m:t>
        </m:r>
        <m:acc>
          <m:accPr>
            <m:chr m:val="̂"/>
          </m:accPr>
          <m:e>
            <m:r>
              <m:t>p</m:t>
            </m:r>
          </m:e>
        </m:acc>
        <m:r>
          <m:rPr>
            <m:sty m:val="p"/>
          </m:rPr>
          <m:t>(</m:t>
        </m:r>
        <m:r>
          <m:t>x</m:t>
        </m:r>
        <m:r>
          <m:rPr>
            <m:sty m:val="p"/>
          </m:rPr>
          <m:t>)</m:t>
        </m:r>
      </m:oMath>
      <w:r>
        <w:t xml:space="preserve">, em</w:t>
      </w:r>
      <w:r>
        <w:t xml:space="preserve"> </w:t>
      </w:r>
      <w:r>
        <w:rPr>
          <w:iCs/>
          <w:i/>
        </w:rPr>
        <w:t xml:space="preserve">nats</w:t>
      </w:r>
      <w:r>
        <w:t xml:space="preserve">/</w:t>
      </w:r>
      <w:r>
        <w:rPr>
          <w:iCs/>
          <w:i/>
        </w:rPr>
        <w:t xml:space="preserve">token</w:t>
      </w:r>
      <w:r>
        <w:t xml:space="preserve">, medindo a concentração da distribuição marginal.</w:t>
      </w:r>
    </w:p>
    <w:p>
      <w:pPr>
        <w:numPr>
          <w:ilvl w:val="0"/>
          <w:numId w:val="1002"/>
        </w:numPr>
        <w:pStyle w:val="Compact"/>
      </w:pPr>
      <w:r>
        <w:rPr>
          <w:bCs/>
          <w:b/>
        </w:rPr>
        <w:t xml:space="preserve">Entropia condicional de bigrama</w:t>
      </w:r>
      <w:r>
        <w:t xml:space="preserve"> </w:t>
      </w:r>
      <m:oMath>
        <m:sSub>
          <m:e>
            <m:r>
              <m:t>H</m:t>
            </m:r>
          </m:e>
          <m:sub>
            <m:r>
              <m:t>2</m:t>
            </m:r>
          </m:sub>
        </m:sSub>
        <m:r>
          <m:rPr>
            <m:sty m:val="p"/>
          </m:rPr>
          <m:t>=</m:t>
        </m:r>
        <m:r>
          <m:rPr>
            <m:sty m:val="p"/>
          </m:rPr>
          <m:t>−</m:t>
        </m:r>
        <m:nary>
          <m:naryPr>
            <m:chr m:val="∑"/>
            <m:limLoc m:val="undOvr"/>
            <m:subHide m:val="0"/>
            <m:supHide m:val="1"/>
          </m:naryPr>
          <m:sub>
            <m:r>
              <m:t>a</m:t>
            </m:r>
            <m:r>
              <m:rPr>
                <m:sty m:val="p"/>
              </m:rPr>
              <m:t>,</m:t>
            </m:r>
            <m:r>
              <m:t>b</m:t>
            </m:r>
          </m:sub>
          <m:sup>
            <m:r>
              <m:t>​</m:t>
            </m:r>
          </m:sup>
          <m:e>
            <m:acc>
              <m:accPr>
                <m:chr m:val="̂"/>
              </m:accPr>
              <m:e>
                <m:r>
                  <m:t>p</m:t>
                </m:r>
              </m:e>
            </m:acc>
          </m:e>
        </m:nary>
        <m:r>
          <m:rPr>
            <m:sty m:val="p"/>
          </m:rPr>
          <m:t>(</m:t>
        </m:r>
        <m:r>
          <m:t>a</m:t>
        </m:r>
        <m:r>
          <m:rPr>
            <m:sty m:val="p"/>
          </m:rPr>
          <m:t>,</m:t>
        </m:r>
        <m:r>
          <m:t>b</m:t>
        </m:r>
        <m:r>
          <m:rPr>
            <m:sty m:val="p"/>
          </m:rPr>
          <m:t>)</m:t>
        </m:r>
        <m:r>
          <m:rPr>
            <m:nor/>
            <m:sty m:val="p"/>
          </m:rPr>
          <m:t>log</m:t>
        </m:r>
        <m:acc>
          <m:accPr>
            <m:chr m:val="̂"/>
          </m:accPr>
          <m:e>
            <m:r>
              <m:t>p</m:t>
            </m:r>
          </m:e>
        </m:acc>
        <m:r>
          <m:rPr>
            <m:sty m:val="p"/>
          </m:rPr>
          <m:t>(</m:t>
        </m:r>
        <m:r>
          <m:t>b</m:t>
        </m:r>
        <m:r>
          <m:rPr>
            <m:sty m:val="p"/>
          </m:rPr>
          <m:t>∣</m:t>
        </m:r>
        <m:r>
          <m:t>a</m:t>
        </m:r>
        <m:r>
          <m:rPr>
            <m:sty m:val="p"/>
          </m:rPr>
          <m:t>)</m:t>
        </m:r>
      </m:oMath>
      <w:r>
        <w:t xml:space="preserve">, a perda de um contador de bigramas.</w:t>
      </w:r>
    </w:p>
    <w:p>
      <w:pPr>
        <w:pStyle w:val="FirstParagraph"/>
      </w:pPr>
      <w:r>
        <w:t xml:space="preserve">Três ressalvas de estimação delimitam o que essas quantidades sustentam. Primeira:</w:t>
      </w:r>
      <w:r>
        <w:t xml:space="preserve"> </w:t>
      </w:r>
      <m:oMath>
        <m:sSub>
          <m:e>
            <m:r>
              <m:t>H</m:t>
            </m:r>
          </m:e>
          <m:sub>
            <m:r>
              <m:t>1</m:t>
            </m:r>
          </m:sub>
        </m:sSub>
      </m:oMath>
      <w:r>
        <w:t xml:space="preserve"> </w:t>
      </w:r>
      <w:r>
        <w:t xml:space="preserve">e</w:t>
      </w:r>
      <w:r>
        <w:t xml:space="preserve"> </w:t>
      </w:r>
      <m:oMath>
        <m:sSub>
          <m:e>
            <m:r>
              <m:t>H</m:t>
            </m:r>
          </m:e>
          <m:sub>
            <m:r>
              <m:t>2</m:t>
            </m:r>
          </m:sub>
        </m:sSub>
      </m:oMath>
      <w:r>
        <w:t xml:space="preserve"> </w:t>
      </w:r>
      <w:r>
        <w:t xml:space="preserve">são estimadores</w:t>
      </w:r>
      <w:r>
        <w:t xml:space="preserve"> </w:t>
      </w:r>
      <w:r>
        <w:rPr>
          <w:iCs/>
          <w:i/>
        </w:rPr>
        <w:t xml:space="preserve">plug-in</w:t>
      </w:r>
      <w:r>
        <w:t xml:space="preserve"> </w:t>
      </w:r>
      <w:r>
        <w:t xml:space="preserve">calculados sobre a mesma amostra, e portanto enviesados para baixo — subestimam os valores populacionais, tanto mais quanto menor o corpus. Segunda: como consequência, a comparação legítima é</w:t>
      </w:r>
      <w:r>
        <w:t xml:space="preserve"> </w:t>
      </w:r>
      <w:r>
        <w:rPr>
          <w:bCs/>
          <w:b/>
        </w:rPr>
        <w:t xml:space="preserve">relativa</w:t>
      </w:r>
      <w:r>
        <w:t xml:space="preserve"> </w:t>
      </w:r>
      <w:r>
        <w:t xml:space="preserve">entre corpora, já que os três foram calculados de forma idêntica, e não absoluta contra um valor teórico. Terceira: a margem</w:t>
      </w:r>
      <w:r>
        <w:t xml:space="preserve"> </w:t>
      </w:r>
      <m:oMath>
        <m:sSub>
          <m:e>
            <m:r>
              <m:t>H</m:t>
            </m:r>
          </m:e>
          <m:sub>
            <m:r>
              <m:t>2</m:t>
            </m:r>
          </m:sub>
        </m:sSub>
        <m:r>
          <m:rPr>
            <m:sty m:val="p"/>
          </m:rPr>
          <m:t>−</m:t>
        </m:r>
        <m:sSub>
          <m:e>
            <m:r>
              <m:rPr>
                <m:sty m:val="p"/>
                <m:scr m:val="script"/>
              </m:rPr>
              <m:t>L</m:t>
            </m:r>
          </m:e>
          <m:sub>
            <m:r>
              <m:t>v</m:t>
            </m:r>
            <m:r>
              <m:t>a</m:t>
            </m:r>
            <m:r>
              <m:t>l</m:t>
            </m:r>
          </m:sub>
        </m:sSub>
      </m:oMath>
      <w:r>
        <w:t xml:space="preserve"> </w:t>
      </w:r>
      <w:r>
        <w:t xml:space="preserve">usada na Seção 4 confronta uma quantidade</w:t>
      </w:r>
      <w:r>
        <w:t xml:space="preserve"> </w:t>
      </w:r>
      <w:r>
        <w:rPr>
          <w:iCs/>
          <w:i/>
        </w:rPr>
        <w:t xml:space="preserve">in-sample</w:t>
      </w:r>
      <w:r>
        <w:t xml:space="preserve"> </w:t>
      </w:r>
      <w:r>
        <w:t xml:space="preserve">(</w:t>
      </w:r>
      <m:oMath>
        <m:sSub>
          <m:e>
            <m:r>
              <m:t>H</m:t>
            </m:r>
          </m:e>
          <m:sub>
            <m:r>
              <m:t>2</m:t>
            </m:r>
          </m:sub>
        </m:sSub>
      </m:oMath>
      <w:r>
        <w:t xml:space="preserve">) com uma</w:t>
      </w:r>
      <w:r>
        <w:t xml:space="preserve"> </w:t>
      </w:r>
      <w:r>
        <w:rPr>
          <w:iCs/>
          <w:i/>
        </w:rPr>
        <w:t xml:space="preserve">held-out</w:t>
      </w:r>
      <w:r>
        <w:t xml:space="preserve"> </w:t>
      </w:r>
      <w:r>
        <w:t xml:space="preserve">(</w:t>
      </w:r>
      <m:oMath>
        <m:sSub>
          <m:e>
            <m:r>
              <m:rPr>
                <m:sty m:val="p"/>
                <m:scr m:val="script"/>
              </m:rPr>
              <m:t>L</m:t>
            </m:r>
          </m:e>
          <m:sub>
            <m:r>
              <m:t>v</m:t>
            </m:r>
            <m:r>
              <m:t>a</m:t>
            </m:r>
            <m:r>
              <m:t>l</m:t>
            </m:r>
          </m:sub>
        </m:sSub>
      </m:oMath>
      <w:r>
        <w:t xml:space="preserve">); como um contador de bigramas avaliado fora da amostra teria perda</w:t>
      </w:r>
      <w:r>
        <w:t xml:space="preserve"> </w:t>
      </w:r>
      <w:r>
        <w:rPr>
          <w:bCs/>
          <w:b/>
        </w:rPr>
        <w:t xml:space="preserve">maior</w:t>
      </w:r>
      <w:r>
        <w:t xml:space="preserve"> </w:t>
      </w:r>
      <w:r>
        <w:t xml:space="preserve">que seu</w:t>
      </w:r>
      <w:r>
        <w:t xml:space="preserve"> </w:t>
      </w:r>
      <m:oMath>
        <m:sSub>
          <m:e>
            <m:r>
              <m:t>H</m:t>
            </m:r>
          </m:e>
          <m:sub>
            <m:r>
              <m:t>2</m:t>
            </m:r>
          </m:sub>
        </m:sSub>
      </m:oMath>
      <w:r>
        <w:t xml:space="preserve"> </w:t>
      </w:r>
      <w:r>
        <w:rPr>
          <w:iCs/>
          <w:i/>
        </w:rPr>
        <w:t xml:space="preserve">in-sample</w:t>
      </w:r>
      <w:r>
        <w:t xml:space="preserve">, a margem reportada é um limite</w:t>
      </w:r>
      <w:r>
        <w:t xml:space="preserve"> </w:t>
      </w:r>
      <w:r>
        <w:rPr>
          <w:bCs/>
          <w:b/>
        </w:rPr>
        <w:t xml:space="preserve">inferior</w:t>
      </w:r>
      <w:r>
        <w:t xml:space="preserve"> </w:t>
      </w:r>
      <w:r>
        <w:t xml:space="preserve">da vantagem real do modelo sobre esse</w:t>
      </w:r>
      <w:r>
        <w:t xml:space="preserve"> </w:t>
      </w:r>
      <w:r>
        <w:rPr>
          <w:iCs/>
          <w:i/>
        </w:rPr>
        <w:t xml:space="preserve">baseline</w:t>
      </w:r>
      <w:r>
        <w:t xml:space="preserve"> </w:t>
      </w:r>
      <w:r>
        <w:t xml:space="preserve">— ou seja, erra na direção conservadora.</w:t>
      </w:r>
    </w:p>
    <w:p>
      <w:pPr>
        <w:pStyle w:val="BodyText"/>
      </w:pPr>
      <w:r>
        <w:t xml:space="preserve">Os corpora são três. O primeiro reúne 154 artigos de física de partículas coletados da Wikipedia em inglês. A curadoria mostrou-se determinante nessa etapa: a inspeção revelou que os extratos carregavam marcação matemática TeX/MathML correspondente a cerca de 28 % do texto, o que induzia o modelo a reproduzir LaTeX em vez de prosa; a remoção passou a integrar a rotina de limpeza. O segundo, de 166 artigos de</w:t>
      </w:r>
      <w:r>
        <w:t xml:space="preserve"> </w:t>
      </w:r>
      <w:r>
        <w:rPr>
          <w:iCs/>
          <w:i/>
        </w:rPr>
        <w:t xml:space="preserve">machine learning</w:t>
      </w:r>
      <w:r>
        <w:t xml:space="preserve">, foi coletado pelo mesmo</w:t>
      </w:r>
      <w:r>
        <w:t xml:space="preserve"> </w:t>
      </w:r>
      <w:r>
        <w:rPr>
          <w:iCs/>
          <w:i/>
        </w:rPr>
        <w:t xml:space="preserve">pipeline</w:t>
      </w:r>
      <w:r>
        <w:t xml:space="preserve">. O terceiro é um subconjunto de 8.000 histórias do TinyStories (ELDAN; LI, 2023), corpus sintético de vocabulário deliberadamente restrito.</w:t>
      </w:r>
    </w:p>
    <w:bookmarkEnd w:id="47"/>
    <w:bookmarkStart w:id="48" w:name="X1309174293023e91f250e5c7e23293ef5eb6da7"/>
    <w:p>
      <w:pPr>
        <w:pStyle w:val="Heading2"/>
      </w:pPr>
      <w:r>
        <w:t xml:space="preserve">3.5 Protocolo do estudo controlado e da ablação</w:t>
      </w:r>
    </w:p>
    <w:p>
      <w:pPr>
        <w:pStyle w:val="FirstParagraph"/>
      </w:pPr>
      <w:r>
        <w:t xml:space="preserve">O estudo tem dois estágios, e o segundo existe porque o primeiro, isoladamente, é confundido.</w:t>
      </w:r>
    </w:p>
    <w:p>
      <w:pPr>
        <w:pStyle w:val="BodyText"/>
      </w:pPr>
      <w:r>
        <w:rPr>
          <w:bCs/>
          <w:b/>
        </w:rPr>
        <w:t xml:space="preserve">Estágio 1 — variação de domínio.</w:t>
      </w:r>
      <w:r>
        <w:t xml:space="preserve"> </w:t>
      </w:r>
      <w:r>
        <w:t xml:space="preserve">O mesmo</w:t>
      </w:r>
      <w:r>
        <w:t xml:space="preserve"> </w:t>
      </w:r>
      <w:r>
        <w:rPr>
          <w:iCs/>
          <w:i/>
        </w:rPr>
        <w:t xml:space="preserve">preset small</w:t>
      </w:r>
      <w:r>
        <w:t xml:space="preserve"> </w:t>
      </w:r>
      <w:r>
        <w:t xml:space="preserve">foi treinado sobre os três corpora, mantidos idênticos a arquitetura, o tamanho-alvo de vocabulário (</w:t>
      </w:r>
      <m:oMath>
        <m:r>
          <m:t>V</m:t>
        </m:r>
        <m:r>
          <m:rPr>
            <m:sty m:val="p"/>
          </m:rPr>
          <m:t>=</m:t>
        </m:r>
        <m:r>
          <m:t>4096</m:t>
        </m:r>
      </m:oMath>
      <w:r>
        <w:t xml:space="preserve">), o comprimento de contexto (128), a estratégia de particionamento e a fração de validação (10 %). Variou-se o corpus.</w:t>
      </w:r>
    </w:p>
    <w:p>
      <w:pPr>
        <w:pStyle w:val="BodyText"/>
      </w:pPr>
      <w:r>
        <w:rPr>
          <w:bCs/>
          <w:b/>
        </w:rPr>
        <w:t xml:space="preserve">Estágio 2 — ablação de volume.</w:t>
      </w:r>
      <w:r>
        <w:t xml:space="preserve"> </w:t>
      </w:r>
      <w:r>
        <w:t xml:space="preserve">O estágio 1 não permite atribuir o efeito à entropia, porque o subconjunto do TinyStories tem 2.914.240</w:t>
      </w:r>
      <w:r>
        <w:t xml:space="preserve"> </w:t>
      </w:r>
      <w:r>
        <w:rPr>
          <w:iCs/>
          <w:i/>
        </w:rPr>
        <w:t xml:space="preserve">tokens</w:t>
      </w:r>
      <w:r>
        <w:t xml:space="preserve"> </w:t>
      </w:r>
      <w:r>
        <w:t xml:space="preserve">contra 415.878 do corpus de física — um fator de sete. Volume e entropia variam juntos. A ablação (</w:t>
      </w:r>
      <w:r>
        <w:rPr>
          <w:rStyle w:val="VerbatimChar"/>
        </w:rPr>
        <w:t xml:space="preserve">scripts/ablacao_entropia_volume.py</w:t>
      </w:r>
      <w:r>
        <w:t xml:space="preserve">) quebra o confundimento truncando o fluxo de</w:t>
      </w:r>
      <w:r>
        <w:t xml:space="preserve"> </w:t>
      </w:r>
      <w:r>
        <w:rPr>
          <w:iCs/>
          <w:i/>
        </w:rPr>
        <w:t xml:space="preserve">tokens</w:t>
      </w:r>
      <w:r>
        <w:t xml:space="preserve"> </w:t>
      </w:r>
      <w:r>
        <w:t xml:space="preserve">do TinyStories em</w:t>
      </w:r>
      <w:r>
        <w:t xml:space="preserve"> </w:t>
      </w:r>
      <w:r>
        <w:rPr>
          <w:bCs/>
          <w:b/>
        </w:rPr>
        <w:t xml:space="preserve">exatamente</w:t>
      </w:r>
      <w:r>
        <w:t xml:space="preserve"> </w:t>
      </w:r>
      <w:r>
        <w:t xml:space="preserve">415.878 posições, o volume do corpus de física, e treinando com os hiperparâmetros do</w:t>
      </w:r>
      <w:r>
        <w:t xml:space="preserve"> </w:t>
      </w:r>
      <w:r>
        <w:rPr>
          <w:iCs/>
          <w:i/>
        </w:rPr>
        <w:t xml:space="preserve">run</w:t>
      </w:r>
      <w:r>
        <w:t xml:space="preserve"> </w:t>
      </w:r>
      <w:r>
        <w:t xml:space="preserve">de física (12 épocas, paciência 4, lote 16). Nessa condição, corpus é o único fator que varia entre as duas execuções, e a diferença de perda estima o efeito da entropia com o volume controlado. A diferença entre TinyStories truncado e completo estima o efeito do volume com a entropia controlada. A semente do gerador aleatório é fixada, e as métricas por época são persistidas em JSON — sem isso, o número reportado não é reproduzível e a curva de treino não é auditável.</w:t>
      </w:r>
    </w:p>
    <w:p>
      <w:pPr>
        <w:pStyle w:val="BodyText"/>
      </w:pPr>
      <w:r>
        <w:t xml:space="preserve">Uma limitação do desenho deve ser explicitada: a execução de controle ainda apresentava melhora de perda ao atingir o teto de 12 épocas, de modo que seu valor final é um limite superior para a perda alcançável naquela condição. O efeito atribuído à entropia é, por consequência, uma estimativa conservadora.</w:t>
      </w:r>
    </w:p>
    <w:bookmarkEnd w:id="48"/>
    <w:bookmarkStart w:id="50" w:name="procedimento-de-treino"/>
    <w:p>
      <w:pPr>
        <w:pStyle w:val="Heading2"/>
      </w:pPr>
      <w:r>
        <w:t xml:space="preserve">3.6 Procedimento de treino</w:t>
      </w:r>
    </w:p>
    <w:p>
      <w:pPr>
        <w:pStyle w:val="FirstParagraph"/>
      </w:pPr>
      <w:r>
        <w:t xml:space="preserve">O objetivo é a entropia cruzada da Seção 2.1, otimizada por AdamW (LOSHCHILOV; HUTTER, 2019) com taxa máxima</w:t>
      </w:r>
      <w:r>
        <w:t xml:space="preserve"> </w:t>
      </w:r>
      <m:oMath>
        <m:r>
          <m:t>6</m:t>
        </m:r>
        <m:r>
          <m:rPr>
            <m:sty m:val="p"/>
          </m:rPr>
          <m:t>×</m:t>
        </m:r>
        <m:sSup>
          <m:e>
            <m:r>
              <m:t>10</m:t>
            </m:r>
          </m:e>
          <m:sup>
            <m:r>
              <m:rPr>
                <m:sty m:val="p"/>
              </m:rPr>
              <m:t>−</m:t>
            </m:r>
            <m:r>
              <m:t>4</m:t>
            </m:r>
          </m:sup>
        </m:sSup>
      </m:oMath>
      <w:r>
        <w:t xml:space="preserve"> </w:t>
      </w:r>
      <w:r>
        <w:t xml:space="preserve">e</w:t>
      </w:r>
      <w:r>
        <w:t xml:space="preserve"> </w:t>
      </w:r>
      <m:oMath>
        <m:r>
          <m:t>β</m:t>
        </m:r>
        <m:r>
          <m:rPr>
            <m:sty m:val="p"/>
          </m:rPr>
          <m:t>=</m:t>
        </m:r>
        <m:r>
          <m:rPr>
            <m:sty m:val="p"/>
          </m:rPr>
          <m:t>(</m:t>
        </m:r>
        <m:r>
          <m:t>0</m:t>
        </m:r>
        <m:r>
          <m:rPr>
            <m:sty m:val="p"/>
          </m:rPr>
          <m:t>,</m:t>
        </m:r>
        <m:r>
          <m:t>9</m:t>
        </m:r>
        <m:r>
          <m:rPr>
            <m:sty m:val="p"/>
          </m:rPr>
          <m:t>;</m:t>
        </m:r>
        <m:r>
          <m:t> </m:t>
        </m:r>
        <m:r>
          <m:t>0</m:t>
        </m:r>
        <m:r>
          <m:rPr>
            <m:sty m:val="p"/>
          </m:rPr>
          <m:t>,</m:t>
        </m:r>
        <m:r>
          <m:t>999</m:t>
        </m:r>
        <m:r>
          <m:rPr>
            <m:sty m:val="p"/>
          </m:rPr>
          <m:t>)</m:t>
        </m:r>
      </m:oMath>
      <w:r>
        <w:t xml:space="preserve">. Os parâmetros são separados em dois grupos: matrizes recebem</w:t>
      </w:r>
      <w:r>
        <w:t xml:space="preserve"> </w:t>
      </w:r>
      <w:r>
        <w:rPr>
          <w:iCs/>
          <w:i/>
        </w:rPr>
        <w:t xml:space="preserve">weight decay</w:t>
      </w:r>
      <w:r>
        <w:t xml:space="preserve"> </w:t>
      </w:r>
      <m:oMath>
        <m:r>
          <m:t>0</m:t>
        </m:r>
        <m:r>
          <m:rPr>
            <m:sty m:val="p"/>
          </m:rPr>
          <m:t>,</m:t>
        </m:r>
        <m:r>
          <m:t>1</m:t>
        </m:r>
      </m:oMath>
      <w:r>
        <w:t xml:space="preserve">; vetores unidimensionais —</w:t>
      </w:r>
      <w:r>
        <w:t xml:space="preserve"> </w:t>
      </w:r>
      <w:r>
        <w:rPr>
          <w:iCs/>
          <w:i/>
        </w:rPr>
        <w:t xml:space="preserve">biases</w:t>
      </w:r>
      <w:r>
        <w:t xml:space="preserve"> </w:t>
      </w:r>
      <w:r>
        <w:t xml:space="preserve">e ganhos de normalização — recebem decaimento nulo. A razão é que penalizar o ganho</w:t>
      </w:r>
      <w:r>
        <w:t xml:space="preserve"> </w:t>
      </w:r>
      <m:oMath>
        <m:r>
          <m:t>γ</m:t>
        </m:r>
      </m:oMath>
      <w:r>
        <w:t xml:space="preserve"> </w:t>
      </w:r>
      <w:r>
        <w:t xml:space="preserve">de uma normalização não regulariza a função aprendida, apenas distorce a escala repassada à camada seguinte, que é justamente o parâmetro cuja liberdade a normalização existe para preservar.</w:t>
      </w:r>
    </w:p>
    <w:p>
      <w:pPr>
        <w:pStyle w:val="BodyText"/>
      </w:pPr>
      <w:r>
        <w:t xml:space="preserve">A taxa de aprendizado é agendada em duas fases (Figura 14): crescimento linear durante o</w:t>
      </w:r>
      <w:r>
        <w:t xml:space="preserve"> </w:t>
      </w:r>
      <w:r>
        <w:rPr>
          <w:iCs/>
          <w:i/>
        </w:rPr>
        <w:t xml:space="preserve">warmup</w:t>
      </w:r>
      <w:r>
        <w:t xml:space="preserve"> </w:t>
      </w:r>
      <w:r>
        <w:t xml:space="preserve">de</w:t>
      </w:r>
      <w:r>
        <w:t xml:space="preserve"> </w:t>
      </w:r>
      <m:oMath>
        <m:sSub>
          <m:e>
            <m:r>
              <m:t>T</m:t>
            </m:r>
          </m:e>
          <m:sub>
            <m:r>
              <m:t>w</m:t>
            </m:r>
          </m:sub>
        </m:sSub>
        <m:r>
          <m:rPr>
            <m:sty m:val="p"/>
          </m:rPr>
          <m:t>=</m:t>
        </m:r>
        <m:r>
          <m:rPr>
            <m:nor/>
            <m:sty m:val="p"/>
          </m:rPr>
          <m:t>min</m:t>
        </m:r>
        <m:r>
          <m:rPr>
            <m:sty m:val="p"/>
          </m:rPr>
          <m:t>(</m:t>
        </m:r>
        <m:r>
          <m:t>T</m:t>
        </m:r>
        <m:r>
          <m:rPr>
            <m:sty m:val="p"/>
          </m:rPr>
          <m:t>/</m:t>
        </m:r>
        <m:r>
          <m:t>10</m:t>
        </m:r>
        <m:r>
          <m:rPr>
            <m:sty m:val="p"/>
          </m:rPr>
          <m:t>,</m:t>
        </m:r>
        <m:r>
          <m:t> </m:t>
        </m:r>
        <m:r>
          <m:t>2000</m:t>
        </m:r>
        <m:r>
          <m:rPr>
            <m:sty m:val="p"/>
          </m:rPr>
          <m:t>)</m:t>
        </m:r>
      </m:oMath>
      <w:r>
        <w:t xml:space="preserve"> </w:t>
      </w:r>
      <w:r>
        <w:t xml:space="preserve">passos, seguido de decaimento por cosseno até</w:t>
      </w:r>
      <w:r>
        <w:t xml:space="preserve"> </w:t>
      </w:r>
      <m:oMath>
        <m:sSub>
          <m:e>
            <m:r>
              <m:t>η</m:t>
            </m:r>
          </m:e>
          <m:sub>
            <m:r>
              <m:rPr>
                <m:nor/>
                <m:sty m:val="p"/>
              </m:rPr>
              <m:t>min</m:t>
            </m:r>
          </m:sub>
        </m:sSub>
        <m:r>
          <m:rPr>
            <m:sty m:val="p"/>
          </m:rPr>
          <m:t>=</m:t>
        </m:r>
        <m:r>
          <m:t>0</m:t>
        </m:r>
        <m:r>
          <m:rPr>
            <m:sty m:val="p"/>
          </m:rPr>
          <m:t>,</m:t>
        </m:r>
        <m:r>
          <m:t>1</m:t>
        </m:r>
        <m:r>
          <m:t> </m:t>
        </m:r>
        <m:sSub>
          <m:e>
            <m:r>
              <m:t>η</m:t>
            </m:r>
          </m:e>
          <m:sub>
            <m:r>
              <m:rPr>
                <m:nor/>
                <m:sty m:val="p"/>
              </m:rPr>
              <m:t>max</m:t>
            </m:r>
          </m:sub>
        </m:sSub>
      </m:oMath>
      <w:r>
        <w:t xml:space="preserve">:</w:t>
      </w:r>
    </w:p>
    <w:p>
      <w:pPr>
        <w:pStyle w:val="BodyText"/>
      </w:pPr>
      <m:oMathPara>
        <m:oMathParaPr>
          <m:jc m:val="center"/>
        </m:oMathParaPr>
        <m:oMath>
          <m:r>
            <m:t>η</m:t>
          </m:r>
          <m:r>
            <m:rPr>
              <m:sty m:val="p"/>
            </m:rPr>
            <m:t>(</m:t>
          </m:r>
          <m:r>
            <m:t>t</m:t>
          </m:r>
          <m:r>
            <m:rPr>
              <m:sty m:val="p"/>
            </m:rPr>
            <m:t>)</m:t>
          </m:r>
          <m:r>
            <m:rPr>
              <m:sty m:val="p"/>
            </m:rPr>
            <m:t>=</m:t>
          </m:r>
          <m:d>
            <m:dPr>
              <m:begChr m:val="{"/>
              <m:endChr m:val=""/>
              <m:grow/>
            </m:dPr>
            <m:e>
              <m:m>
                <m:mPr>
                  <m:baseJc m:val="center"/>
                  <m:plcHide m:val="1"/>
                  <m:mcs>
                    <m:mc>
                      <m:mcPr>
                        <m:mcJc m:val="left"/>
                        <m:count m:val="1"/>
                      </m:mcPr>
                    </m:mc>
                    <m:mc>
                      <m:mcPr>
                        <m:mcJc m:val="left"/>
                        <m:count m:val="1"/>
                      </m:mcPr>
                    </m:mc>
                  </m:mcs>
                </m:mPr>
                <m:mr>
                  <m:e>
                    <m:sSub>
                      <m:e>
                        <m:r>
                          <m:t>η</m:t>
                        </m:r>
                      </m:e>
                      <m:sub>
                        <m:r>
                          <m:rPr>
                            <m:nor/>
                            <m:sty m:val="p"/>
                          </m:rPr>
                          <m:t>max</m:t>
                        </m:r>
                      </m:sub>
                    </m:sSub>
                    <m:f>
                      <m:fPr>
                        <m:type m:val="bar"/>
                      </m:fPr>
                      <m:num>
                        <m:r>
                          <m:t>t</m:t>
                        </m:r>
                      </m:num>
                      <m:den>
                        <m:sSub>
                          <m:e>
                            <m:r>
                              <m:t>T</m:t>
                            </m:r>
                          </m:e>
                          <m:sub>
                            <m:r>
                              <m:t>w</m:t>
                            </m:r>
                          </m:sub>
                        </m:sSub>
                      </m:den>
                    </m:f>
                    <m:r>
                      <m:rPr>
                        <m:sty m:val="p"/>
                      </m:rPr>
                      <m:t>,</m:t>
                    </m:r>
                  </m:e>
                  <m:e>
                    <m:r>
                      <m:t>t</m:t>
                    </m:r>
                    <m:r>
                      <m:rPr>
                        <m:sty m:val="p"/>
                      </m:rPr>
                      <m:t>&lt;</m:t>
                    </m:r>
                    <m:sSub>
                      <m:e>
                        <m:r>
                          <m:t>T</m:t>
                        </m:r>
                      </m:e>
                      <m:sub>
                        <m:r>
                          <m:t>w</m:t>
                        </m:r>
                      </m:sub>
                    </m:sSub>
                  </m:e>
                </m:mr>
                <m:mr>
                  <m:e>
                    <m:sSub>
                      <m:e>
                        <m:r>
                          <m:t>η</m:t>
                        </m:r>
                      </m:e>
                      <m:sub>
                        <m:r>
                          <m:rPr>
                            <m:nor/>
                            <m:sty m:val="p"/>
                          </m:rPr>
                          <m:t>min</m:t>
                        </m:r>
                      </m:sub>
                    </m:sSub>
                    <m:r>
                      <m:rPr>
                        <m:sty m:val="p"/>
                      </m:rPr>
                      <m:t>+</m:t>
                    </m:r>
                    <m:r>
                      <m:rPr>
                        <m:sty m:val="p"/>
                      </m:rPr>
                      <m:t>(</m:t>
                    </m:r>
                    <m:sSub>
                      <m:e>
                        <m:r>
                          <m:t>η</m:t>
                        </m:r>
                      </m:e>
                      <m:sub>
                        <m:r>
                          <m:rPr>
                            <m:nor/>
                            <m:sty m:val="p"/>
                          </m:rPr>
                          <m:t>max</m:t>
                        </m:r>
                      </m:sub>
                    </m:sSub>
                    <m:r>
                      <m:rPr>
                        <m:sty m:val="p"/>
                      </m:rPr>
                      <m:t>−</m:t>
                    </m:r>
                    <m:sSub>
                      <m:e>
                        <m:r>
                          <m:t>η</m:t>
                        </m:r>
                      </m:e>
                      <m:sub>
                        <m:r>
                          <m:rPr>
                            <m:nor/>
                            <m:sty m:val="p"/>
                          </m:rPr>
                          <m:t>min</m:t>
                        </m:r>
                      </m:sub>
                    </m:sSub>
                    <m:r>
                      <m:rPr>
                        <m:sty m:val="p"/>
                      </m:rPr>
                      <m:t>)</m:t>
                    </m:r>
                    <m:f>
                      <m:fPr>
                        <m:type m:val="bar"/>
                      </m:fPr>
                      <m:num>
                        <m:r>
                          <m:t>1</m:t>
                        </m:r>
                      </m:num>
                      <m:den>
                        <m:r>
                          <m:t>2</m:t>
                        </m:r>
                      </m:den>
                    </m:f>
                    <m:d>
                      <m:dPr>
                        <m:begChr m:val="("/>
                        <m:endChr m:val=")"/>
                        <m:grow/>
                      </m:dPr>
                      <m:e>
                        <m:r>
                          <m:t>1</m:t>
                        </m:r>
                        <m:r>
                          <m:rPr>
                            <m:sty m:val="p"/>
                          </m:rPr>
                          <m:t>+</m:t>
                        </m:r>
                        <m:r>
                          <m:rPr>
                            <m:nor/>
                            <m:sty m:val="p"/>
                          </m:rPr>
                          <m:t>cos</m:t>
                        </m:r>
                        <m:d>
                          <m:dPr>
                            <m:begChr m:val="("/>
                            <m:endChr m:val=")"/>
                            <m:grow/>
                          </m:dPr>
                          <m:e>
                            <m:r>
                              <m:t>π</m:t>
                            </m:r>
                            <m:f>
                              <m:fPr>
                                <m:type m:val="bar"/>
                              </m:fPr>
                              <m:num>
                                <m:r>
                                  <m:t>t</m:t>
                                </m:r>
                                <m:r>
                                  <m:rPr>
                                    <m:sty m:val="p"/>
                                  </m:rPr>
                                  <m:t>−</m:t>
                                </m:r>
                                <m:sSub>
                                  <m:e>
                                    <m:r>
                                      <m:t>T</m:t>
                                    </m:r>
                                  </m:e>
                                  <m:sub>
                                    <m:r>
                                      <m:t>w</m:t>
                                    </m:r>
                                  </m:sub>
                                </m:sSub>
                              </m:num>
                              <m:den>
                                <m:r>
                                  <m:t>T</m:t>
                                </m:r>
                                <m:r>
                                  <m:rPr>
                                    <m:sty m:val="p"/>
                                  </m:rPr>
                                  <m:t>−</m:t>
                                </m:r>
                                <m:sSub>
                                  <m:e>
                                    <m:r>
                                      <m:t>T</m:t>
                                    </m:r>
                                  </m:e>
                                  <m:sub>
                                    <m:r>
                                      <m:t>w</m:t>
                                    </m:r>
                                  </m:sub>
                                </m:sSub>
                              </m:den>
                            </m:f>
                          </m:e>
                        </m:d>
                      </m:e>
                    </m:d>
                    <m:r>
                      <m:rPr>
                        <m:sty m:val="p"/>
                      </m:rPr>
                      <m:t>,</m:t>
                    </m:r>
                  </m:e>
                  <m:e>
                    <m:sSub>
                      <m:e>
                        <m:r>
                          <m:t>T</m:t>
                        </m:r>
                      </m:e>
                      <m:sub>
                        <m:r>
                          <m:t>w</m:t>
                        </m:r>
                      </m:sub>
                    </m:sSub>
                    <m:r>
                      <m:rPr>
                        <m:sty m:val="p"/>
                      </m:rPr>
                      <m:t>≤</m:t>
                    </m:r>
                    <m:r>
                      <m:t>t</m:t>
                    </m:r>
                    <m:r>
                      <m:rPr>
                        <m:sty m:val="p"/>
                      </m:rPr>
                      <m:t>≤</m:t>
                    </m:r>
                    <m:r>
                      <m:t>T</m:t>
                    </m:r>
                    <m:r>
                      <m:rPr>
                        <m:sty m:val="p"/>
                      </m:rPr>
                      <m:t>.</m:t>
                    </m:r>
                  </m:e>
                </m:mr>
              </m:m>
            </m:e>
          </m:d>
        </m:oMath>
      </m:oMathPara>
    </w:p>
    <w:p>
      <w:pPr>
        <w:pStyle w:val="FirstParagraph"/>
      </w:pPr>
      <w:r>
        <w:t xml:space="preserve">O</w:t>
      </w:r>
      <w:r>
        <w:t xml:space="preserve"> </w:t>
      </w:r>
      <w:r>
        <w:rPr>
          <w:iCs/>
          <w:i/>
        </w:rPr>
        <w:t xml:space="preserve">warmup</w:t>
      </w:r>
      <w:r>
        <w:t xml:space="preserve"> </w:t>
      </w:r>
      <w:r>
        <w:t xml:space="preserve">atende a uma condição transitória: nos primeiros passos as estimativas de momento do AdamW são pouco confiáveis, e passos grandes sob estimativas ruidosas deslocam os pesos para regiões de onde a otimização não recupera. Completam o laço o recorte de gradiente por norma global, a acumulação de gradiente — que desacopla o lote estatístico do lote que cabe em memória —, precisão BF16 quando em GPU, e parada antecipada por paciência com retenção do melhor</w:t>
      </w:r>
      <w:r>
        <w:t xml:space="preserve"> </w:t>
      </w:r>
      <w:r>
        <w:rPr>
          <w:iCs/>
          <w:i/>
        </w:rPr>
        <w:t xml:space="preserve">checkpoint</w:t>
      </w:r>
      <w:r>
        <w:t xml:space="preserve">.</w:t>
      </w:r>
    </w:p>
    <w:p>
      <w:pPr>
        <w:pStyle w:val="CaptionedFigure"/>
      </w:pPr>
      <w:r>
        <w:drawing>
          <wp:inline>
            <wp:extent cx="5334000" cy="3019245"/>
            <wp:effectExtent b="0" l="0" r="0" t="0"/>
            <wp:docPr descr="Figura 14" title="" id="1" name="Picture"/>
            <a:graphic>
              <a:graphicData uri="http://schemas.openxmlformats.org/drawingml/2006/picture">
                <pic:pic>
                  <pic:nvPicPr>
                    <pic:cNvPr descr="media/rId48.png" id="0" name="Picture"/>
                    <pic:cNvPicPr>
                      <a:picLocks noChangeArrowheads="1" noChangeAspect="1"/>
                    </pic:cNvPicPr>
                  </pic:nvPicPr>
                  <pic:blipFill>
                    <a:blip r:embed="rId49"/>
                    <a:stretch>
                      <a:fillRect/>
                    </a:stretch>
                  </pic:blipFill>
                  <pic:spPr bwMode="auto">
                    <a:xfrm>
                      <a:off x="0" y="0"/>
                      <a:ext cx="5334000" cy="3019245"/>
                    </a:xfrm>
                    <a:prstGeom prst="rect">
                      <a:avLst/>
                    </a:prstGeom>
                    <a:noFill/>
                    <a:ln w="9525">
                      <a:noFill/>
                      <a:headEnd/>
                      <a:tailEnd/>
                    </a:ln>
                  </pic:spPr>
                </pic:pic>
              </a:graphicData>
            </a:graphic>
          </wp:inline>
        </w:drawing>
      </w:r>
    </w:p>
    <w:p>
      <w:pPr>
        <w:pStyle w:val="ImageCaption"/>
      </w:pPr>
      <w:r>
        <w:t xml:space="preserve">Figura 14</w:t>
      </w:r>
    </w:p>
    <w:p>
      <w:pPr>
        <w:pStyle w:val="BodyText"/>
      </w:pPr>
      <w:r>
        <w:t xml:space="preserve">Figura 14 – Agendamento da taxa de aprendizado:</w:t>
      </w:r>
      <w:r>
        <w:t xml:space="preserve"> </w:t>
      </w:r>
      <w:r>
        <w:rPr>
          <w:iCs/>
          <w:i/>
        </w:rPr>
        <w:t xml:space="preserve">warmup</w:t>
      </w:r>
      <w:r>
        <w:t xml:space="preserve"> </w:t>
      </w:r>
      <w:r>
        <w:t xml:space="preserve">linear seguido de decaimento por cosseno até</w:t>
      </w:r>
      <w:r>
        <w:t xml:space="preserve"> </w:t>
      </w:r>
      <m:oMath>
        <m:sSub>
          <m:e>
            <m:r>
              <m:t>η</m:t>
            </m:r>
          </m:e>
          <m:sub>
            <m:r>
              <m:rPr>
                <m:nor/>
                <m:sty m:val="p"/>
              </m:rPr>
              <m:t>min</m:t>
            </m:r>
          </m:sub>
        </m:sSub>
        <m:r>
          <m:rPr>
            <m:sty m:val="p"/>
          </m:rPr>
          <m:t>=</m:t>
        </m:r>
        <m:r>
          <m:t>0</m:t>
        </m:r>
        <m:r>
          <m:rPr>
            <m:sty m:val="p"/>
          </m:rPr>
          <m:t>,</m:t>
        </m:r>
        <m:r>
          <m:t>1</m:t>
        </m:r>
        <m:r>
          <m:t> </m:t>
        </m:r>
        <m:sSub>
          <m:e>
            <m:r>
              <m:t>η</m:t>
            </m:r>
          </m:e>
          <m:sub>
            <m:r>
              <m:rPr>
                <m:nor/>
                <m:sty m:val="p"/>
              </m:rPr>
              <m:t>max</m:t>
            </m:r>
          </m:sub>
        </m:sSub>
      </m:oMath>
      <w:r>
        <w:t xml:space="preserve">. Fonte: elaborada pelo autor a partir dos</w:t>
      </w:r>
      <w:r>
        <w:t xml:space="preserve"> </w:t>
      </w:r>
      <w:r>
        <w:rPr>
          <w:iCs/>
          <w:i/>
        </w:rPr>
        <w:t xml:space="preserve">notebooks</w:t>
      </w:r>
      <w:r>
        <w:t xml:space="preserve"> </w:t>
      </w:r>
      <w:r>
        <w:t xml:space="preserve">do projeto (2026).</w:t>
      </w:r>
    </w:p>
    <w:bookmarkEnd w:id="50"/>
    <w:bookmarkStart w:id="51" w:name="verificação-por-invariâncias"/>
    <w:p>
      <w:pPr>
        <w:pStyle w:val="Heading2"/>
      </w:pPr>
      <w:r>
        <w:t xml:space="preserve">3.7 Verificação por invariâncias</w:t>
      </w:r>
    </w:p>
    <w:p>
      <w:pPr>
        <w:pStyle w:val="FirstParagraph"/>
      </w:pPr>
      <w:r>
        <w:t xml:space="preserve">A correção de uma implementação de</w:t>
      </w:r>
      <w:r>
        <w:t xml:space="preserve"> </w:t>
      </w:r>
      <w:r>
        <w:rPr>
          <w:iCs/>
          <w:i/>
        </w:rPr>
        <w:t xml:space="preserve">Transformer</w:t>
      </w:r>
      <w:r>
        <w:t xml:space="preserve"> </w:t>
      </w:r>
      <w:r>
        <w:t xml:space="preserve">é difícil de verificar por inspeção, porque a maior parte dos defeitos não gera exceção: produz um modelo que treina, converge e gera texto plausível, apenas pior do que deveria. A estratégia adotada foi testar</w:t>
      </w:r>
      <w:r>
        <w:t xml:space="preserve"> </w:t>
      </w:r>
      <w:r>
        <w:rPr>
          <w:bCs/>
          <w:b/>
        </w:rPr>
        <w:t xml:space="preserve">invariâncias</w:t>
      </w:r>
      <w:r>
        <w:t xml:space="preserve"> </w:t>
      </w:r>
      <w:r>
        <w:t xml:space="preserve">— propriedades que a implementação correta satisfaz por construção e que uma incorreta viola de forma detectável. A suíte tem 78 testes, organizados nas classes da Tabela 2.</w:t>
      </w:r>
    </w:p>
    <w:p>
      <w:pPr>
        <w:pStyle w:val="BodyText"/>
      </w:pPr>
      <w:r>
        <w:t xml:space="preserve">Tabela 2 – Classes de invariância verificadas.</w:t>
      </w:r>
    </w:p>
    <w:tbl>
      <w:tblPr>
        <w:tblStyle w:val="Table"/>
        <w:tblW w:type="pct" w:w="0.0"/>
        <w:tblLook w:firstRow="1" w:lastRow="0" w:firstColumn="0" w:lastColumn="0" w:noHBand="0" w:noVBand="0" w:val="0020"/>
      </w:tblPr>
      <w:tblGrid/>
      <w:tr>
        <w:tc>
          <w:p>
            <w:pPr>
              <w:pStyle w:val="Compact"/>
              <w:jc w:val="left"/>
            </w:pPr>
            <w:r>
              <w:t xml:space="preserve">Classe</w:t>
            </w:r>
          </w:p>
        </w:tc>
        <w:tc>
          <w:p>
            <w:pPr>
              <w:pStyle w:val="Compact"/>
              <w:jc w:val="left"/>
            </w:pPr>
            <w:r>
              <w:t xml:space="preserve">Invariância verificada</w:t>
            </w:r>
          </w:p>
        </w:tc>
        <w:tc>
          <w:p>
            <w:pPr>
              <w:pStyle w:val="Compact"/>
              <w:jc w:val="left"/>
            </w:pPr>
            <w:r>
              <w:t xml:space="preserve">Testes</w:t>
            </w:r>
          </w:p>
        </w:tc>
      </w:tr>
      <w:tr>
        <w:tc>
          <w:p>
            <w:pPr>
              <w:pStyle w:val="Compact"/>
              <w:jc w:val="left"/>
            </w:pPr>
            <w:r>
              <w:t xml:space="preserve">Tokenizador</w:t>
            </w:r>
          </w:p>
        </w:tc>
        <w:tc>
          <w:p>
            <w:pPr>
              <w:pStyle w:val="Compact"/>
              <w:jc w:val="left"/>
            </w:pPr>
            <w:r>
              <w:rPr>
                <w:rStyle w:val="VerbatimChar"/>
              </w:rPr>
              <w:t xml:space="preserve">decode(encode(s)) == s</w:t>
            </w:r>
            <w:r>
              <w:t xml:space="preserve"> </w:t>
            </w:r>
            <w:r>
              <w:t xml:space="preserve">para texto arbitrário</w:t>
            </w:r>
          </w:p>
        </w:tc>
        <w:tc>
          <w:p>
            <w:pPr>
              <w:pStyle w:val="Compact"/>
              <w:jc w:val="left"/>
            </w:pPr>
            <w:r>
              <w:t xml:space="preserve">8</w:t>
            </w:r>
          </w:p>
        </w:tc>
      </w:tr>
      <w:tr>
        <w:tc>
          <w:p>
            <w:pPr>
              <w:pStyle w:val="Compact"/>
              <w:jc w:val="left"/>
            </w:pPr>
            <w:r>
              <w:t xml:space="preserve">Causalidade</w:t>
            </w:r>
          </w:p>
        </w:tc>
        <w:tc>
          <w:p>
            <w:pPr>
              <w:pStyle w:val="Compact"/>
              <w:jc w:val="left"/>
            </w:pPr>
            <w:r>
              <w:t xml:space="preserve">alterar</w:t>
            </w:r>
            <w:r>
              <w:t xml:space="preserve"> </w:t>
            </w:r>
            <m:oMath>
              <m:sSub>
                <m:e>
                  <m:r>
                    <m:t>x</m:t>
                  </m:r>
                </m:e>
                <m:sub>
                  <m:r>
                    <m:t>t</m:t>
                  </m:r>
                </m:sub>
              </m:sSub>
            </m:oMath>
            <w:r>
              <w:t xml:space="preserve"> </w:t>
            </w:r>
            <w:r>
              <w:t xml:space="preserve">não altera saídas em posições</w:t>
            </w:r>
            <w:r>
              <w:t xml:space="preserve"> </w:t>
            </w:r>
            <m:oMath>
              <m:r>
                <m:rPr>
                  <m:sty m:val="p"/>
                </m:rPr>
                <m:t>&lt;</m:t>
              </m:r>
              <m:r>
                <m:t>t</m:t>
              </m:r>
            </m:oMath>
          </w:p>
        </w:tc>
        <w:tc>
          <w:p>
            <w:pPr>
              <w:pStyle w:val="Compact"/>
              <w:jc w:val="left"/>
            </w:pPr>
            <w:r>
              <w:t xml:space="preserve">4</w:t>
            </w:r>
          </w:p>
        </w:tc>
      </w:tr>
      <w:tr>
        <w:tc>
          <w:p>
            <w:pPr>
              <w:pStyle w:val="Compact"/>
              <w:jc w:val="left"/>
            </w:pPr>
            <w:r>
              <w:t xml:space="preserve">RoPE</w:t>
            </w:r>
          </w:p>
        </w:tc>
        <w:tc>
          <w:p>
            <w:pPr>
              <w:pStyle w:val="Compact"/>
              <w:jc w:val="left"/>
            </w:pPr>
            <w:r>
              <w:t xml:space="preserve">pontuação depende só de</w:t>
            </w:r>
            <w:r>
              <w:t xml:space="preserve"> </w:t>
            </w:r>
            <m:oMath>
              <m:r>
                <m:t>n</m:t>
              </m:r>
              <m:r>
                <m:rPr>
                  <m:sty m:val="p"/>
                </m:rPr>
                <m:t>−</m:t>
              </m:r>
              <m:r>
                <m:t>m</m:t>
              </m:r>
            </m:oMath>
            <w:r>
              <w:t xml:space="preserve">; rotação preserva norma</w:t>
            </w:r>
          </w:p>
        </w:tc>
        <w:tc>
          <w:p>
            <w:pPr>
              <w:pStyle w:val="Compact"/>
              <w:jc w:val="left"/>
            </w:pPr>
            <w:r>
              <w:t xml:space="preserve">6</w:t>
            </w:r>
          </w:p>
        </w:tc>
      </w:tr>
      <w:tr>
        <w:tc>
          <w:p>
            <w:pPr>
              <w:pStyle w:val="Compact"/>
              <w:jc w:val="left"/>
            </w:pPr>
            <w:r>
              <w:t xml:space="preserve">KV-cache</w:t>
            </w:r>
          </w:p>
        </w:tc>
        <w:tc>
          <w:p>
            <w:pPr>
              <w:pStyle w:val="Compact"/>
              <w:jc w:val="left"/>
            </w:pPr>
            <w:r>
              <w:rPr>
                <w:iCs/>
                <w:i/>
              </w:rPr>
              <w:t xml:space="preserve">decode</w:t>
            </w:r>
            <w:r>
              <w:t xml:space="preserve"> </w:t>
            </w:r>
            <w:r>
              <w:t xml:space="preserve">incremental</w:t>
            </w:r>
            <w:r>
              <w:t xml:space="preserve"> </w:t>
            </w:r>
            <m:oMath>
              <m:r>
                <m:rPr>
                  <m:sty m:val="p"/>
                </m:rPr>
                <m:t>≡</m:t>
              </m:r>
            </m:oMath>
            <w:r>
              <w:t xml:space="preserve"> </w:t>
            </w:r>
            <w:r>
              <w:rPr>
                <w:iCs/>
                <w:i/>
              </w:rPr>
              <w:t xml:space="preserve">forward</w:t>
            </w:r>
            <w:r>
              <w:t xml:space="preserve"> </w:t>
            </w:r>
            <w:r>
              <w:t xml:space="preserve">completo</w:t>
            </w:r>
          </w:p>
        </w:tc>
        <w:tc>
          <w:p>
            <w:pPr>
              <w:pStyle w:val="Compact"/>
              <w:jc w:val="left"/>
            </w:pPr>
            <w:r>
              <w:t xml:space="preserve">9</w:t>
            </w:r>
          </w:p>
        </w:tc>
      </w:tr>
      <w:tr>
        <w:tc>
          <w:p>
            <w:pPr>
              <w:pStyle w:val="Compact"/>
              <w:jc w:val="left"/>
            </w:pPr>
            <w:r>
              <w:t xml:space="preserve">Normalização</w:t>
            </w:r>
          </w:p>
        </w:tc>
        <w:tc>
          <w:p>
            <w:pPr>
              <w:pStyle w:val="Compact"/>
              <w:jc w:val="left"/>
            </w:pPr>
            <w:r>
              <w:t xml:space="preserve">RMSNorm projeta na esfera; estabilidade em precisão reduzida</w:t>
            </w:r>
          </w:p>
        </w:tc>
        <w:tc>
          <w:p>
            <w:pPr>
              <w:pStyle w:val="Compact"/>
              <w:jc w:val="left"/>
            </w:pPr>
            <w:r>
              <w:t xml:space="preserve">6</w:t>
            </w:r>
          </w:p>
        </w:tc>
      </w:tr>
      <w:tr>
        <w:tc>
          <w:p>
            <w:pPr>
              <w:pStyle w:val="Compact"/>
              <w:jc w:val="left"/>
            </w:pPr>
            <w:r>
              <w:t xml:space="preserve">SwiGLU</w:t>
            </w:r>
          </w:p>
        </w:tc>
        <w:tc>
          <w:p>
            <w:pPr>
              <w:pStyle w:val="Compact"/>
              <w:jc w:val="left"/>
            </w:pPr>
            <w:r>
              <w:t xml:space="preserve">contagem de parâmetros e arredondamento de</w:t>
            </w:r>
            <w:r>
              <w:t xml:space="preserve"> </w:t>
            </w:r>
            <m:oMath>
              <m:r>
                <m:t>h</m:t>
              </m:r>
            </m:oMath>
          </w:p>
        </w:tc>
        <w:tc>
          <w:p>
            <w:pPr>
              <w:pStyle w:val="Compact"/>
              <w:jc w:val="left"/>
            </w:pPr>
            <w:r>
              <w:t xml:space="preserve">5</w:t>
            </w:r>
          </w:p>
        </w:tc>
      </w:tr>
      <w:tr>
        <w:tc>
          <w:p>
            <w:pPr>
              <w:pStyle w:val="Compact"/>
              <w:jc w:val="left"/>
            </w:pPr>
            <w:r>
              <w:t xml:space="preserve">Configuração</w:t>
            </w:r>
          </w:p>
        </w:tc>
        <w:tc>
          <w:p>
            <w:pPr>
              <w:pStyle w:val="Compact"/>
              <w:jc w:val="left"/>
            </w:pPr>
            <w:r>
              <w:rPr>
                <w:iCs/>
                <w:i/>
              </w:rPr>
              <w:t xml:space="preserve">presets</w:t>
            </w:r>
            <w:r>
              <w:t xml:space="preserve">, derivação de</w:t>
            </w:r>
            <w:r>
              <w:t xml:space="preserve"> </w:t>
            </w:r>
            <m:oMath>
              <m:r>
                <m:t>h</m:t>
              </m:r>
            </m:oMath>
            <w:r>
              <w:t xml:space="preserve">, carga de YAML</w:t>
            </w:r>
          </w:p>
        </w:tc>
        <w:tc>
          <w:p>
            <w:pPr>
              <w:pStyle w:val="Compact"/>
              <w:jc w:val="left"/>
            </w:pPr>
            <w:r>
              <w:t xml:space="preserve">10</w:t>
            </w:r>
          </w:p>
        </w:tc>
      </w:tr>
      <w:tr>
        <w:tc>
          <w:p>
            <w:pPr>
              <w:pStyle w:val="Compact"/>
              <w:jc w:val="left"/>
            </w:pPr>
            <w:r>
              <w:t xml:space="preserve">Bloco e modelo</w:t>
            </w:r>
          </w:p>
        </w:tc>
        <w:tc>
          <w:p>
            <w:pPr>
              <w:pStyle w:val="Compact"/>
              <w:jc w:val="left"/>
            </w:pPr>
            <w:r>
              <w:t xml:space="preserve">formas, fluxo de gradiente,</w:t>
            </w:r>
            <w:r>
              <w:t xml:space="preserve"> </w:t>
            </w:r>
            <w:r>
              <w:rPr>
                <w:iCs/>
                <w:i/>
              </w:rPr>
              <w:t xml:space="preserve">weight tying</w:t>
            </w:r>
            <w:r>
              <w:t xml:space="preserve"> </w:t>
            </w:r>
            <w:r>
              <w:t xml:space="preserve">deduplicado</w:t>
            </w:r>
          </w:p>
        </w:tc>
        <w:tc>
          <w:p>
            <w:pPr>
              <w:pStyle w:val="Compact"/>
              <w:jc w:val="left"/>
            </w:pPr>
            <w:r>
              <w:t xml:space="preserve">10</w:t>
            </w:r>
          </w:p>
        </w:tc>
      </w:tr>
      <w:tr>
        <w:tc>
          <w:p>
            <w:pPr>
              <w:pStyle w:val="Compact"/>
              <w:jc w:val="left"/>
            </w:pPr>
            <w:r>
              <w:t xml:space="preserve">Dados</w:t>
            </w:r>
          </w:p>
        </w:tc>
        <w:tc>
          <w:p>
            <w:pPr>
              <w:pStyle w:val="Compact"/>
              <w:jc w:val="left"/>
            </w:pPr>
            <w:r>
              <w:t xml:space="preserve">contagem de janelas por estratégia de passo</w:t>
            </w:r>
          </w:p>
        </w:tc>
        <w:tc>
          <w:p>
            <w:pPr>
              <w:pStyle w:val="Compact"/>
              <w:jc w:val="left"/>
            </w:pPr>
            <w:r>
              <w:t xml:space="preserve">5</w:t>
            </w:r>
          </w:p>
        </w:tc>
      </w:tr>
      <w:tr>
        <w:tc>
          <w:p>
            <w:pPr>
              <w:pStyle w:val="Compact"/>
              <w:jc w:val="left"/>
            </w:pPr>
            <w:r>
              <w:t xml:space="preserve">Limpeza</w:t>
            </w:r>
          </w:p>
        </w:tc>
        <w:tc>
          <w:p>
            <w:pPr>
              <w:pStyle w:val="Compact"/>
              <w:jc w:val="left"/>
            </w:pPr>
            <w:r>
              <w:t xml:space="preserve">remoção de marcação e de seções não textuais</w:t>
            </w:r>
          </w:p>
        </w:tc>
        <w:tc>
          <w:p>
            <w:pPr>
              <w:pStyle w:val="Compact"/>
              <w:jc w:val="left"/>
            </w:pPr>
            <w:r>
              <w:t xml:space="preserve">6</w:t>
            </w:r>
          </w:p>
        </w:tc>
      </w:tr>
      <w:tr>
        <w:tc>
          <w:p>
            <w:pPr>
              <w:pStyle w:val="Compact"/>
              <w:jc w:val="left"/>
            </w:pPr>
            <w:r>
              <w:t xml:space="preserve">Treino e avaliação</w:t>
            </w:r>
          </w:p>
        </w:tc>
        <w:tc>
          <w:p>
            <w:pPr>
              <w:pStyle w:val="Compact"/>
              <w:jc w:val="left"/>
            </w:pPr>
            <w:r>
              <w:t xml:space="preserve">agendamento, recorte, cálculo de perda e acurácia</w:t>
            </w:r>
          </w:p>
        </w:tc>
        <w:tc>
          <w:p>
            <w:pPr>
              <w:pStyle w:val="Compact"/>
              <w:jc w:val="left"/>
            </w:pPr>
            <w:r>
              <w:t xml:space="preserve">9</w:t>
            </w:r>
          </w:p>
        </w:tc>
      </w:tr>
    </w:tbl>
    <w:p>
      <w:pPr>
        <w:pStyle w:val="BodyText"/>
      </w:pPr>
      <w:r>
        <w:t xml:space="preserve">Fonte: elaborada pelo autor (2026).</w:t>
      </w:r>
    </w:p>
    <w:p>
      <w:pPr>
        <w:pStyle w:val="BodyText"/>
      </w:pPr>
      <w:r>
        <w:t xml:space="preserve">A classe de maior valor diagnóstico é a do KV-cache: a geração incremental é comparada ao</w:t>
      </w:r>
      <w:r>
        <w:t xml:space="preserve"> </w:t>
      </w:r>
      <w:r>
        <w:rPr>
          <w:iCs/>
          <w:i/>
        </w:rPr>
        <w:t xml:space="preserve">forward</w:t>
      </w:r>
      <w:r>
        <w:t xml:space="preserve"> </w:t>
      </w:r>
      <w:r>
        <w:t xml:space="preserve">completo sobre a mesma sequência, exigindo-se concordância numérica com erro inferior a</w:t>
      </w:r>
      <w:r>
        <w:t xml:space="preserve"> </w:t>
      </w:r>
      <m:oMath>
        <m:r>
          <m:t>5</m:t>
        </m:r>
        <m:r>
          <m:rPr>
            <m:sty m:val="p"/>
          </m:rPr>
          <m:t>×</m:t>
        </m:r>
        <m:sSup>
          <m:e>
            <m:r>
              <m:t>10</m:t>
            </m:r>
          </m:e>
          <m:sup>
            <m:r>
              <m:rPr>
                <m:sty m:val="p"/>
              </m:rPr>
              <m:t>−</m:t>
            </m:r>
            <m:r>
              <m:t>7</m:t>
            </m:r>
          </m:sup>
        </m:sSup>
      </m:oMath>
      <w:r>
        <w:t xml:space="preserve">. É o único teste que detecta as duas falhas descritas na Seção 2.7, ambas silenciosas sob qualquer inspeção qualitativa da saída.</w:t>
      </w:r>
    </w:p>
    <w:bookmarkEnd w:id="51"/>
    <w:bookmarkStart w:id="52" w:name="avaliação-e-benchmark"/>
    <w:p>
      <w:pPr>
        <w:pStyle w:val="Heading2"/>
      </w:pPr>
      <w:r>
        <w:t xml:space="preserve">3.8 Avaliação e</w:t>
      </w:r>
      <w:r>
        <w:t xml:space="preserve"> </w:t>
      </w:r>
      <w:r>
        <w:rPr>
          <w:iCs/>
          <w:i/>
        </w:rPr>
        <w:t xml:space="preserve">benchmark</w:t>
      </w:r>
    </w:p>
    <w:p>
      <w:pPr>
        <w:pStyle w:val="FirstParagraph"/>
      </w:pPr>
      <w:r>
        <w:t xml:space="preserve">A entropia cruzada crua não é interpretável isoladamente, e as duas referências usadas neste trabalho têm poder discriminante muito diferente. O piso trivial é a perda de um modelo uniforme sobre o vocabulário,</w:t>
      </w:r>
      <w:r>
        <w:t xml:space="preserve"> </w:t>
      </w:r>
      <m:oMath>
        <m:r>
          <m:rPr>
            <m:nor/>
            <m:sty m:val="p"/>
          </m:rPr>
          <m:t>log</m:t>
        </m:r>
        <m:r>
          <m:t>V</m:t>
        </m:r>
      </m:oMath>
      <w:r>
        <w:t xml:space="preserve">, o que dá</w:t>
      </w:r>
      <w:r>
        <w:t xml:space="preserve"> </w:t>
      </w:r>
      <m:oMath>
        <m:r>
          <m:rPr>
            <m:sty m:val="p"/>
          </m:rPr>
          <m:t>≈</m:t>
        </m:r>
        <m:r>
          <m:t>8</m:t>
        </m:r>
        <m:r>
          <m:rPr>
            <m:sty m:val="p"/>
          </m:rPr>
          <m:t>,</m:t>
        </m:r>
        <m:r>
          <m:t>32</m:t>
        </m:r>
      </m:oMath>
      <w:r>
        <w:t xml:space="preserve"> </w:t>
      </w:r>
      <w:r>
        <w:rPr>
          <w:iCs/>
          <w:i/>
        </w:rPr>
        <w:t xml:space="preserve">nats</w:t>
      </w:r>
      <w:r>
        <w:t xml:space="preserve"> </w:t>
      </w:r>
      <w:r>
        <w:t xml:space="preserve">para</w:t>
      </w:r>
      <w:r>
        <w:t xml:space="preserve"> </w:t>
      </w:r>
      <m:oMath>
        <m:r>
          <m:t>V</m:t>
        </m:r>
        <m:r>
          <m:rPr>
            <m:sty m:val="p"/>
          </m:rPr>
          <m:t>=</m:t>
        </m:r>
        <m:r>
          <m:t>4096</m:t>
        </m:r>
      </m:oMath>
      <w:r>
        <w:t xml:space="preserve">; superá-lo é condição necessária e pouco informativa. A referência efetivamente usada é</w:t>
      </w:r>
      <w:r>
        <w:t xml:space="preserve"> </w:t>
      </w:r>
      <m:oMath>
        <m:sSub>
          <m:e>
            <m:r>
              <m:t>H</m:t>
            </m:r>
          </m:e>
          <m:sub>
            <m:r>
              <m:t>2</m:t>
            </m:r>
          </m:sub>
        </m:sSub>
      </m:oMath>
      <w:r>
        <w:t xml:space="preserve"> </w:t>
      </w:r>
      <w:r>
        <w:t xml:space="preserve">(Seção 2.8), a perda de um contador de bigramas do próprio corpus.</w:t>
      </w:r>
    </w:p>
    <w:p>
      <w:pPr>
        <w:pStyle w:val="BodyText"/>
      </w:pPr>
      <w:r>
        <w:t xml:space="preserve">Para comparar modelos com tokenizadores distintos, nenhuma métrica por</w:t>
      </w:r>
      <w:r>
        <w:t xml:space="preserve"> </w:t>
      </w:r>
      <w:r>
        <w:rPr>
          <w:iCs/>
          <w:i/>
        </w:rPr>
        <w:t xml:space="preserve">token</w:t>
      </w:r>
      <w:r>
        <w:t xml:space="preserve"> </w:t>
      </w:r>
      <w:r>
        <w:t xml:space="preserve">serve: mudar o vocabulário muda a unidade de contagem, e a</w:t>
      </w:r>
      <w:r>
        <w:t xml:space="preserve"> </w:t>
      </w:r>
      <w:r>
        <w:rPr>
          <w:iCs/>
          <w:i/>
        </w:rPr>
        <w:t xml:space="preserve">perplexity</w:t>
      </w:r>
      <w:r>
        <w:t xml:space="preserve"> </w:t>
      </w:r>
      <w:r>
        <w:t xml:space="preserve">por</w:t>
      </w:r>
      <w:r>
        <w:t xml:space="preserve"> </w:t>
      </w:r>
      <w:r>
        <w:rPr>
          <w:iCs/>
          <w:i/>
        </w:rPr>
        <w:t xml:space="preserve">token</w:t>
      </w:r>
      <w:r>
        <w:t xml:space="preserve"> </w:t>
      </w:r>
      <w:r>
        <w:t xml:space="preserve">deixa de ser comparável. A métrica correta normaliza pela extensão do texto cru —</w:t>
      </w:r>
      <w:r>
        <w:t xml:space="preserve"> </w:t>
      </w:r>
      <w:r>
        <w:rPr>
          <w:iCs/>
          <w:i/>
        </w:rPr>
        <w:t xml:space="preserve">bits</w:t>
      </w:r>
      <w:r>
        <w:t xml:space="preserve"> </w:t>
      </w:r>
      <w:r>
        <w:t xml:space="preserve">por</w:t>
      </w:r>
      <w:r>
        <w:t xml:space="preserve"> </w:t>
      </w:r>
      <w:r>
        <w:rPr>
          <w:iCs/>
          <w:i/>
        </w:rPr>
        <w:t xml:space="preserve">byte</w:t>
      </w:r>
      <w:r>
        <w:t xml:space="preserve">:</w:t>
      </w:r>
    </w:p>
    <w:p>
      <w:pPr>
        <w:pStyle w:val="BodyText"/>
      </w:pPr>
      <m:oMathPara>
        <m:oMathParaPr>
          <m:jc m:val="center"/>
        </m:oMathParaPr>
        <m:oMath>
          <m:r>
            <m:rPr>
              <m:nor/>
              <m:sty m:val="p"/>
            </m:rPr>
            <m:t>BPB</m:t>
          </m:r>
          <m:r>
            <m:rPr>
              <m:sty m:val="p"/>
            </m:rPr>
            <m:t>=</m:t>
          </m:r>
          <m:f>
            <m:fPr>
              <m:type m:val="bar"/>
            </m:fPr>
            <m:num>
              <m:sSub>
                <m:e>
                  <m:r>
                    <m:rPr>
                      <m:sty m:val="p"/>
                      <m:scr m:val="script"/>
                    </m:rPr>
                    <m:t>L</m:t>
                  </m:r>
                </m:e>
                <m:sub>
                  <m:r>
                    <m:rPr>
                      <m:nor/>
                      <m:sty m:val="p"/>
                    </m:rPr>
                    <m:t>tot</m:t>
                  </m:r>
                </m:sub>
              </m:sSub>
            </m:num>
            <m:den>
              <m:r>
                <m:t>B</m:t>
              </m:r>
              <m:r>
                <m:rPr>
                  <m:nor/>
                  <m:sty m:val="p"/>
                </m:rPr>
                <m:t>ln</m:t>
              </m:r>
              <m:r>
                <m:t>2</m:t>
              </m:r>
            </m:den>
          </m:f>
          <m:r>
            <m:rPr>
              <m:sty m:val="p"/>
            </m:rPr>
            <m:t>,</m:t>
          </m:r>
        </m:oMath>
      </m:oMathPara>
    </w:p>
    <w:p>
      <w:pPr>
        <w:pStyle w:val="FirstParagraph"/>
      </w:pPr>
      <w:r>
        <w:t xml:space="preserve">para uma perda total</w:t>
      </w:r>
      <w:r>
        <w:t xml:space="preserve"> </w:t>
      </w:r>
      <m:oMath>
        <m:sSub>
          <m:e>
            <m:r>
              <m:rPr>
                <m:sty m:val="p"/>
                <m:scr m:val="script"/>
              </m:rPr>
              <m:t>L</m:t>
            </m:r>
          </m:e>
          <m:sub>
            <m:r>
              <m:rPr>
                <m:nor/>
                <m:sty m:val="p"/>
              </m:rPr>
              <m:t>tot</m:t>
            </m:r>
          </m:sub>
        </m:sSub>
      </m:oMath>
      <w:r>
        <w:t xml:space="preserve"> </w:t>
      </w:r>
      <w:r>
        <w:t xml:space="preserve">em</w:t>
      </w:r>
      <w:r>
        <w:t xml:space="preserve"> </w:t>
      </w:r>
      <w:r>
        <w:rPr>
          <w:iCs/>
          <w:i/>
        </w:rPr>
        <w:t xml:space="preserve">nats</w:t>
      </w:r>
      <w:r>
        <w:t xml:space="preserve"> </w:t>
      </w:r>
      <w:r>
        <w:t xml:space="preserve">sobre um texto de</w:t>
      </w:r>
      <w:r>
        <w:t xml:space="preserve"> </w:t>
      </w:r>
      <m:oMath>
        <m:r>
          <m:t>B</m:t>
        </m:r>
      </m:oMath>
      <w:r>
        <w:t xml:space="preserve"> </w:t>
      </w:r>
      <w:r>
        <w:rPr>
          <w:iCs/>
          <w:i/>
        </w:rPr>
        <w:t xml:space="preserve">bytes</w:t>
      </w:r>
      <w:r>
        <w:t xml:space="preserve">. O</w:t>
      </w:r>
      <w:r>
        <w:t xml:space="preserve"> </w:t>
      </w:r>
      <w:r>
        <w:rPr>
          <w:iCs/>
          <w:i/>
        </w:rPr>
        <w:t xml:space="preserve">benchmark</w:t>
      </w:r>
      <w:r>
        <w:t xml:space="preserve"> </w:t>
      </w:r>
      <w:r>
        <w:t xml:space="preserve">mede o BPB do TucanoCE e do GPT-2 sobre o</w:t>
      </w:r>
      <w:r>
        <w:t xml:space="preserve"> </w:t>
      </w:r>
      <w:r>
        <w:rPr>
          <w:bCs/>
          <w:b/>
        </w:rPr>
        <w:t xml:space="preserve">mesmo texto cru</w:t>
      </w:r>
      <w:r>
        <w:t xml:space="preserve">: 150 histórias do TinyStories, inéditas para ambos os modelos por razões distintas — constituem conjunto</w:t>
      </w:r>
      <w:r>
        <w:t xml:space="preserve"> </w:t>
      </w:r>
      <w:r>
        <w:rPr>
          <w:iCs/>
          <w:i/>
        </w:rPr>
        <w:t xml:space="preserve">held-out</w:t>
      </w:r>
      <w:r>
        <w:t xml:space="preserve"> </w:t>
      </w:r>
      <w:r>
        <w:t xml:space="preserve">para o TucanoCE, treinado em 8.000 histórias diferentes do mesmo corpus (avaliação</w:t>
      </w:r>
      <w:r>
        <w:t xml:space="preserve"> </w:t>
      </w:r>
      <w:r>
        <w:rPr>
          <w:iCs/>
          <w:i/>
        </w:rPr>
        <w:t xml:space="preserve">in-distribution</w:t>
      </w:r>
      <w:r>
        <w:t xml:space="preserve">), e situam-se fora do domínio de treino do GPT-2, que nunca viu o TinyStories (</w:t>
      </w:r>
      <w:r>
        <w:rPr>
          <w:iCs/>
          <w:i/>
        </w:rPr>
        <w:t xml:space="preserve">zero-shot</w:t>
      </w:r>
      <w:r>
        <w:t xml:space="preserve">). Cada modelo é avaliado com janela deslizante em seu próprio comprimento de contexto.</w:t>
      </w:r>
    </w:p>
    <w:bookmarkEnd w:id="52"/>
    <w:bookmarkEnd w:id="53"/>
    <w:bookmarkStart w:id="63" w:name="resultados"/>
    <w:p>
      <w:pPr>
        <w:pStyle w:val="Heading1"/>
      </w:pPr>
      <w:r>
        <w:t xml:space="preserve">4 Resultados</w:t>
      </w:r>
    </w:p>
    <w:bookmarkStart w:id="54" w:name="caracterização-dos-corpora"/>
    <w:p>
      <w:pPr>
        <w:pStyle w:val="Heading2"/>
      </w:pPr>
      <w:r>
        <w:t xml:space="preserve">4.1 Caracterização dos corpora</w:t>
      </w:r>
    </w:p>
    <w:p>
      <w:pPr>
        <w:pStyle w:val="FirstParagraph"/>
      </w:pPr>
      <w:r>
        <w:t xml:space="preserve">A Tabela 3 apresenta os quatro proxies medidos. Os corpora técnicos são consistentemente mais complexos que o TinyStories em todas as medidas: comprimem menos (4,04 e 3,50 contra 2,29</w:t>
      </w:r>
      <w:r>
        <w:t xml:space="preserve"> </w:t>
      </w:r>
      <w:r>
        <w:rPr>
          <w:iCs/>
          <w:i/>
        </w:rPr>
        <w:t xml:space="preserve">bytes</w:t>
      </w:r>
      <w:r>
        <w:t xml:space="preserve">/</w:t>
      </w:r>
      <w:r>
        <w:rPr>
          <w:iCs/>
          <w:i/>
        </w:rPr>
        <w:t xml:space="preserve">token</w:t>
      </w:r>
      <w:r>
        <w:t xml:space="preserve">), mobilizam mais tipos por</w:t>
      </w:r>
      <w:r>
        <w:t xml:space="preserve"> </w:t>
      </w:r>
      <w:r>
        <w:rPr>
          <w:iCs/>
          <w:i/>
        </w:rPr>
        <w:t xml:space="preserve">token</w:t>
      </w:r>
      <w:r>
        <w:t xml:space="preserve">, e têm entropias de unigrama e de bigrama mais altas. A separação em</w:t>
      </w:r>
      <w:r>
        <w:t xml:space="preserve"> </w:t>
      </w:r>
      <m:oMath>
        <m:sSub>
          <m:e>
            <m:r>
              <m:t>H</m:t>
            </m:r>
          </m:e>
          <m:sub>
            <m:r>
              <m:t>2</m:t>
            </m:r>
          </m:sub>
        </m:sSub>
      </m:oMath>
      <w:r>
        <w:t xml:space="preserve"> </w:t>
      </w:r>
      <w:r>
        <w:t xml:space="preserve">é de aproximadamente 0,3</w:t>
      </w:r>
      <w:r>
        <w:t xml:space="preserve"> </w:t>
      </w:r>
      <w:r>
        <w:rPr>
          <w:iCs/>
          <w:i/>
        </w:rPr>
        <w:t xml:space="preserve">nat</w:t>
      </w:r>
      <w:r>
        <w:t xml:space="preserve">, e a razão tipo/</w:t>
      </w:r>
      <w:r>
        <w:rPr>
          <w:iCs/>
          <w:i/>
        </w:rPr>
        <w:t xml:space="preserve">token</w:t>
      </w:r>
      <w:r>
        <w:t xml:space="preserve"> </w:t>
      </w:r>
      <w:r>
        <w:t xml:space="preserve">difere por um fator de sete — evidência de que a diferença qualitativa entre</w:t>
      </w:r>
      <w:r>
        <w:t xml:space="preserve"> </w:t>
      </w:r>
      <w:r>
        <w:t xml:space="preserve">“</w:t>
      </w:r>
      <w:r>
        <w:t xml:space="preserve">prosa técnica</w:t>
      </w:r>
      <w:r>
        <w:t xml:space="preserve">”</w:t>
      </w:r>
      <w:r>
        <w:t xml:space="preserve"> </w:t>
      </w:r>
      <w:r>
        <w:t xml:space="preserve">e</w:t>
      </w:r>
      <w:r>
        <w:t xml:space="preserve"> </w:t>
      </w:r>
      <w:r>
        <w:t xml:space="preserve">“</w:t>
      </w:r>
      <w:r>
        <w:t xml:space="preserve">história infantil</w:t>
      </w:r>
      <w:r>
        <w:t xml:space="preserve">”</w:t>
      </w:r>
      <w:r>
        <w:t xml:space="preserve"> </w:t>
      </w:r>
      <w:r>
        <w:t xml:space="preserve">tem correlato quantitativo estável.</w:t>
      </w:r>
    </w:p>
    <w:p>
      <w:pPr>
        <w:pStyle w:val="BodyText"/>
      </w:pPr>
      <w:r>
        <w:t xml:space="preserve">Tabela 3 – Caracterização dos corpora (</w:t>
      </w:r>
      <m:oMath>
        <m:r>
          <m:t>V</m:t>
        </m:r>
        <m:r>
          <m:rPr>
            <m:sty m:val="p"/>
          </m:rPr>
          <m:t>=</m:t>
        </m:r>
        <m:r>
          <m:t>4096</m:t>
        </m:r>
      </m:oMath>
      <w:r>
        <w:t xml:space="preserve">).</w:t>
      </w:r>
    </w:p>
    <w:tbl>
      <w:tblPr>
        <w:tblStyle w:val="Table"/>
        <w:tblW w:type="pct" w:w="0.0"/>
        <w:tblLook w:firstRow="1" w:lastRow="0" w:firstColumn="0" w:lastColumn="0" w:noHBand="0" w:noVBand="0" w:val="0020"/>
      </w:tblPr>
      <w:tblGrid/>
      <w:tr>
        <w:tc>
          <w:p>
            <w:pPr>
              <w:pStyle w:val="Compact"/>
              <w:jc w:val="left"/>
            </w:pPr>
            <w:r>
              <w:t xml:space="preserve">Corpus</w:t>
            </w:r>
          </w:p>
        </w:tc>
        <w:tc>
          <w:p>
            <w:pPr>
              <w:pStyle w:val="Compact"/>
              <w:jc w:val="left"/>
            </w:pPr>
            <w:r>
              <w:t xml:space="preserve">Tokens</w:t>
            </w:r>
          </w:p>
        </w:tc>
        <w:tc>
          <w:p>
            <w:pPr>
              <w:pStyle w:val="Compact"/>
              <w:jc w:val="left"/>
            </w:pPr>
            <w:r>
              <w:rPr>
                <w:iCs/>
                <w:i/>
              </w:rPr>
              <w:t xml:space="preserve">Bytes</w:t>
            </w:r>
            <w:r>
              <w:t xml:space="preserve">/</w:t>
            </w:r>
            <w:r>
              <w:rPr>
                <w:iCs/>
                <w:i/>
              </w:rPr>
              <w:t xml:space="preserve">token</w:t>
            </w:r>
          </w:p>
        </w:tc>
        <w:tc>
          <w:p>
            <w:pPr>
              <w:pStyle w:val="Compact"/>
              <w:jc w:val="left"/>
            </w:pPr>
            <w:r>
              <w:t xml:space="preserve">Tipos</w:t>
            </w:r>
          </w:p>
        </w:tc>
        <w:tc>
          <w:p>
            <w:pPr>
              <w:pStyle w:val="Compact"/>
              <w:jc w:val="left"/>
            </w:pPr>
            <m:oMath>
              <m:sSub>
                <m:e>
                  <m:r>
                    <m:t>H</m:t>
                  </m:r>
                </m:e>
                <m:sub>
                  <m:r>
                    <m:t>1</m:t>
                  </m:r>
                </m:sub>
              </m:sSub>
            </m:oMath>
          </w:p>
        </w:tc>
        <w:tc>
          <w:p>
            <w:pPr>
              <w:pStyle w:val="Compact"/>
              <w:jc w:val="left"/>
            </w:pPr>
            <m:oMath>
              <m:sSub>
                <m:e>
                  <m:r>
                    <m:t>H</m:t>
                  </m:r>
                </m:e>
                <m:sub>
                  <m:r>
                    <m:t>2</m:t>
                  </m:r>
                </m:sub>
              </m:sSub>
            </m:oMath>
          </w:p>
        </w:tc>
      </w:tr>
      <w:tr>
        <w:tc>
          <w:p>
            <w:pPr>
              <w:pStyle w:val="Compact"/>
              <w:jc w:val="left"/>
            </w:pPr>
            <w:r>
              <w:t xml:space="preserve">Física de partículas</w:t>
            </w:r>
          </w:p>
        </w:tc>
        <w:tc>
          <w:p>
            <w:pPr>
              <w:pStyle w:val="Compact"/>
              <w:jc w:val="left"/>
            </w:pPr>
            <w:r>
              <w:t xml:space="preserve">415.878</w:t>
            </w:r>
          </w:p>
        </w:tc>
        <w:tc>
          <w:p>
            <w:pPr>
              <w:pStyle w:val="Compact"/>
              <w:jc w:val="left"/>
            </w:pPr>
            <w:r>
              <w:t xml:space="preserve">4,04</w:t>
            </w:r>
          </w:p>
        </w:tc>
        <w:tc>
          <w:p>
            <w:pPr>
              <w:pStyle w:val="Compact"/>
              <w:jc w:val="left"/>
            </w:pPr>
            <w:r>
              <w:t xml:space="preserve">3.859</w:t>
            </w:r>
          </w:p>
        </w:tc>
        <w:tc>
          <w:p>
            <w:pPr>
              <w:pStyle w:val="Compact"/>
              <w:jc w:val="left"/>
            </w:pPr>
            <w:r>
              <w:t xml:space="preserve">4,805</w:t>
            </w:r>
          </w:p>
        </w:tc>
        <w:tc>
          <w:p>
            <w:pPr>
              <w:pStyle w:val="Compact"/>
              <w:jc w:val="left"/>
            </w:pPr>
            <w:r>
              <w:t xml:space="preserve">3,269</w:t>
            </w:r>
          </w:p>
        </w:tc>
      </w:tr>
      <w:tr>
        <w:tc>
          <w:p>
            <w:pPr>
              <w:pStyle w:val="Compact"/>
              <w:jc w:val="left"/>
            </w:pPr>
            <w:r>
              <w:t xml:space="preserve">Machine learning</w:t>
            </w:r>
          </w:p>
        </w:tc>
        <w:tc>
          <w:p>
            <w:pPr>
              <w:pStyle w:val="Compact"/>
              <w:jc w:val="left"/>
            </w:pPr>
            <w:r>
              <w:t xml:space="preserve">590.377</w:t>
            </w:r>
          </w:p>
        </w:tc>
        <w:tc>
          <w:p>
            <w:pPr>
              <w:pStyle w:val="Compact"/>
              <w:jc w:val="left"/>
            </w:pPr>
            <w:r>
              <w:t xml:space="preserve">3,50</w:t>
            </w:r>
          </w:p>
        </w:tc>
        <w:tc>
          <w:p>
            <w:pPr>
              <w:pStyle w:val="Compact"/>
              <w:jc w:val="left"/>
            </w:pPr>
            <w:r>
              <w:t xml:space="preserve">3.900</w:t>
            </w:r>
          </w:p>
        </w:tc>
        <w:tc>
          <w:p>
            <w:pPr>
              <w:pStyle w:val="Compact"/>
              <w:jc w:val="left"/>
            </w:pPr>
            <w:r>
              <w:t xml:space="preserve">4,854</w:t>
            </w:r>
          </w:p>
        </w:tc>
        <w:tc>
          <w:p>
            <w:pPr>
              <w:pStyle w:val="Compact"/>
              <w:jc w:val="left"/>
            </w:pPr>
            <w:r>
              <w:t xml:space="preserve">3,340</w:t>
            </w:r>
          </w:p>
        </w:tc>
      </w:tr>
      <w:tr>
        <w:tc>
          <w:p>
            <w:pPr>
              <w:pStyle w:val="Compact"/>
              <w:jc w:val="left"/>
            </w:pPr>
            <w:r>
              <w:t xml:space="preserve">TinyStories</w:t>
            </w:r>
          </w:p>
        </w:tc>
        <w:tc>
          <w:p>
            <w:pPr>
              <w:pStyle w:val="Compact"/>
              <w:jc w:val="left"/>
            </w:pPr>
            <w:r>
              <w:t xml:space="preserve">2.914.240</w:t>
            </w:r>
          </w:p>
        </w:tc>
        <w:tc>
          <w:p>
            <w:pPr>
              <w:pStyle w:val="Compact"/>
              <w:jc w:val="left"/>
            </w:pPr>
            <w:r>
              <w:t xml:space="preserve">2,29</w:t>
            </w:r>
          </w:p>
        </w:tc>
        <w:tc>
          <w:p>
            <w:pPr>
              <w:pStyle w:val="Compact"/>
              <w:jc w:val="left"/>
            </w:pPr>
            <w:r>
              <w:t xml:space="preserve">3.766</w:t>
            </w:r>
          </w:p>
        </w:tc>
        <w:tc>
          <w:p>
            <w:pPr>
              <w:pStyle w:val="Compact"/>
              <w:jc w:val="left"/>
            </w:pPr>
            <w:r>
              <w:t xml:space="preserve">4,046</w:t>
            </w:r>
          </w:p>
        </w:tc>
        <w:tc>
          <w:p>
            <w:pPr>
              <w:pStyle w:val="Compact"/>
              <w:jc w:val="left"/>
            </w:pPr>
            <w:r>
              <w:t xml:space="preserve">2,995</w:t>
            </w:r>
          </w:p>
        </w:tc>
      </w:tr>
    </w:tbl>
    <w:p>
      <w:pPr>
        <w:pStyle w:val="BodyText"/>
      </w:pPr>
      <w:r>
        <w:t xml:space="preserve">Fonte: elaborada pelo autor (2026), por</w:t>
      </w:r>
      <w:r>
        <w:t xml:space="preserve"> </w:t>
      </w:r>
      <w:r>
        <w:rPr>
          <w:rStyle w:val="VerbatimChar"/>
        </w:rPr>
        <w:t xml:space="preserve">scripts/entropia_corpora.py</w:t>
      </w:r>
      <w:r>
        <w:t xml:space="preserve">.</w:t>
      </w:r>
    </w:p>
    <w:bookmarkEnd w:id="54"/>
    <w:bookmarkStart w:id="57" w:name="efeito-do-domínio-do-corpus"/>
    <w:p>
      <w:pPr>
        <w:pStyle w:val="Heading2"/>
      </w:pPr>
      <w:r>
        <w:t xml:space="preserve">4.2 Efeito do domínio do corpus</w:t>
      </w:r>
    </w:p>
    <w:p>
      <w:pPr>
        <w:pStyle w:val="FirstParagraph"/>
      </w:pPr>
      <w:r>
        <w:t xml:space="preserve">Treinado sobre os três corpora com tudo o mais idêntico, o</w:t>
      </w:r>
      <w:r>
        <w:t xml:space="preserve"> </w:t>
      </w:r>
      <w:r>
        <w:rPr>
          <w:iCs/>
          <w:i/>
        </w:rPr>
        <w:t xml:space="preserve">preset small</w:t>
      </w:r>
      <w:r>
        <w:t xml:space="preserve"> </w:t>
      </w:r>
      <w:r>
        <w:t xml:space="preserve">produz o resultado da Tabela 4 e da Figura 15: a perda permanece praticamente inalterada entre física (3,087) e</w:t>
      </w:r>
      <w:r>
        <w:t xml:space="preserve"> </w:t>
      </w:r>
      <w:r>
        <w:rPr>
          <w:iCs/>
          <w:i/>
        </w:rPr>
        <w:t xml:space="preserve">machine learning</w:t>
      </w:r>
      <w:r>
        <w:t xml:space="preserve"> </w:t>
      </w:r>
      <w:r>
        <w:t xml:space="preserve">(3,017), mas cai para 1,586 no TinyStories — redução de 48,6 % sem qualquer alteração no modelo.</w:t>
      </w:r>
    </w:p>
    <w:p>
      <w:pPr>
        <w:pStyle w:val="BodyText"/>
      </w:pPr>
      <w:r>
        <w:t xml:space="preserve">Tabela 4 – Treino do mesmo modelo (1,8 M) em três corpora.</w:t>
      </w:r>
    </w:p>
    <w:tbl>
      <w:tblPr>
        <w:tblStyle w:val="Table"/>
        <w:tblW w:type="pct" w:w="0.0"/>
        <w:tblLook w:firstRow="1" w:lastRow="0" w:firstColumn="0" w:lastColumn="0" w:noHBand="0" w:noVBand="0" w:val="0020"/>
      </w:tblPr>
      <w:tblGrid/>
      <w:tr>
        <w:tc>
          <w:p>
            <w:pPr>
              <w:pStyle w:val="Compact"/>
              <w:jc w:val="left"/>
            </w:pPr>
            <w:r>
              <w:t xml:space="preserve">Corpus</w:t>
            </w:r>
          </w:p>
        </w:tc>
        <w:tc>
          <w:p>
            <w:pPr>
              <w:pStyle w:val="Compact"/>
              <w:jc w:val="left"/>
            </w:pPr>
            <w:r>
              <w:t xml:space="preserve">Tokens</w:t>
            </w:r>
          </w:p>
        </w:tc>
        <w:tc>
          <w:p>
            <w:pPr>
              <w:pStyle w:val="Compact"/>
              <w:jc w:val="left"/>
            </w:pPr>
            <w:r>
              <w:t xml:space="preserve">Melhor</w:t>
            </w:r>
            <w:r>
              <w:t xml:space="preserve"> </w:t>
            </w:r>
            <m:oMath>
              <m:sSub>
                <m:e>
                  <m:r>
                    <m:rPr>
                      <m:sty m:val="p"/>
                      <m:scr m:val="script"/>
                    </m:rPr>
                    <m:t>L</m:t>
                  </m:r>
                </m:e>
                <m:sub>
                  <m:r>
                    <m:t>v</m:t>
                  </m:r>
                  <m:r>
                    <m:t>a</m:t>
                  </m:r>
                  <m:r>
                    <m:t>l</m:t>
                  </m:r>
                </m:sub>
              </m:sSub>
            </m:oMath>
          </w:p>
        </w:tc>
        <w:tc>
          <w:p>
            <w:pPr>
              <w:pStyle w:val="Compact"/>
              <w:jc w:val="left"/>
            </w:pPr>
            <w:r>
              <w:t xml:space="preserve">Acurácia</w:t>
            </w:r>
          </w:p>
        </w:tc>
        <w:tc>
          <w:p>
            <w:pPr>
              <w:pStyle w:val="Compact"/>
              <w:jc w:val="left"/>
            </w:pPr>
            <m:oMath>
              <m:sSub>
                <m:e>
                  <m:r>
                    <m:t>H</m:t>
                  </m:r>
                </m:e>
                <m:sub>
                  <m:r>
                    <m:t>2</m:t>
                  </m:r>
                </m:sub>
              </m:sSub>
              <m:r>
                <m:rPr>
                  <m:sty m:val="p"/>
                </m:rPr>
                <m:t>−</m:t>
              </m:r>
              <m:sSub>
                <m:e>
                  <m:r>
                    <m:rPr>
                      <m:sty m:val="p"/>
                      <m:scr m:val="script"/>
                    </m:rPr>
                    <m:t>L</m:t>
                  </m:r>
                </m:e>
                <m:sub>
                  <m:r>
                    <m:t>v</m:t>
                  </m:r>
                  <m:r>
                    <m:t>a</m:t>
                  </m:r>
                  <m:r>
                    <m:t>l</m:t>
                  </m:r>
                </m:sub>
              </m:sSub>
            </m:oMath>
          </w:p>
        </w:tc>
      </w:tr>
      <w:tr>
        <w:tc>
          <w:p>
            <w:pPr>
              <w:pStyle w:val="Compact"/>
              <w:jc w:val="left"/>
            </w:pPr>
            <w:r>
              <w:t xml:space="preserve">Física de partículas</w:t>
            </w:r>
          </w:p>
        </w:tc>
        <w:tc>
          <w:p>
            <w:pPr>
              <w:pStyle w:val="Compact"/>
              <w:jc w:val="left"/>
            </w:pPr>
            <w:r>
              <w:t xml:space="preserve">415.878</w:t>
            </w:r>
          </w:p>
        </w:tc>
        <w:tc>
          <w:p>
            <w:pPr>
              <w:pStyle w:val="Compact"/>
              <w:jc w:val="left"/>
            </w:pPr>
            <w:r>
              <w:t xml:space="preserve">3,087</w:t>
            </w:r>
          </w:p>
        </w:tc>
        <w:tc>
          <w:p>
            <w:pPr>
              <w:pStyle w:val="Compact"/>
              <w:jc w:val="left"/>
            </w:pPr>
            <w:r>
              <w:t xml:space="preserve">0,50</w:t>
            </w:r>
          </w:p>
        </w:tc>
        <w:tc>
          <w:p>
            <w:pPr>
              <w:pStyle w:val="Compact"/>
              <w:jc w:val="left"/>
            </w:pPr>
            <w:r>
              <w:t xml:space="preserve">0,18</w:t>
            </w:r>
          </w:p>
        </w:tc>
      </w:tr>
      <w:tr>
        <w:tc>
          <w:p>
            <w:pPr>
              <w:pStyle w:val="Compact"/>
              <w:jc w:val="left"/>
            </w:pPr>
            <w:r>
              <w:t xml:space="preserve">Machine learning</w:t>
            </w:r>
          </w:p>
        </w:tc>
        <w:tc>
          <w:p>
            <w:pPr>
              <w:pStyle w:val="Compact"/>
              <w:jc w:val="left"/>
            </w:pPr>
            <w:r>
              <w:t xml:space="preserve">590.377</w:t>
            </w:r>
          </w:p>
        </w:tc>
        <w:tc>
          <w:p>
            <w:pPr>
              <w:pStyle w:val="Compact"/>
              <w:jc w:val="left"/>
            </w:pPr>
            <w:r>
              <w:t xml:space="preserve">3,017</w:t>
            </w:r>
          </w:p>
        </w:tc>
        <w:tc>
          <w:p>
            <w:pPr>
              <w:pStyle w:val="Compact"/>
              <w:jc w:val="left"/>
            </w:pPr>
            <w:r>
              <w:t xml:space="preserve">0,49</w:t>
            </w:r>
          </w:p>
        </w:tc>
        <w:tc>
          <w:p>
            <w:pPr>
              <w:pStyle w:val="Compact"/>
              <w:jc w:val="left"/>
            </w:pPr>
            <w:r>
              <w:t xml:space="preserve">0,32</w:t>
            </w:r>
          </w:p>
        </w:tc>
      </w:tr>
      <w:tr>
        <w:tc>
          <w:p>
            <w:pPr>
              <w:pStyle w:val="Compact"/>
              <w:jc w:val="left"/>
            </w:pPr>
            <w:r>
              <w:rPr>
                <w:bCs/>
                <w:b/>
              </w:rPr>
              <w:t xml:space="preserve">TinyStories</w:t>
            </w:r>
          </w:p>
        </w:tc>
        <w:tc>
          <w:p>
            <w:pPr>
              <w:pStyle w:val="Compact"/>
              <w:jc w:val="left"/>
            </w:pPr>
            <w:r>
              <w:t xml:space="preserve">2.914.240</w:t>
            </w:r>
          </w:p>
        </w:tc>
        <w:tc>
          <w:p>
            <w:pPr>
              <w:pStyle w:val="Compact"/>
              <w:jc w:val="left"/>
            </w:pPr>
            <w:r>
              <w:rPr>
                <w:bCs/>
                <w:b/>
              </w:rPr>
              <w:t xml:space="preserve">1,586</w:t>
            </w:r>
          </w:p>
        </w:tc>
        <w:tc>
          <w:p>
            <w:pPr>
              <w:pStyle w:val="Compact"/>
              <w:jc w:val="left"/>
            </w:pPr>
            <w:r>
              <w:rPr>
                <w:bCs/>
                <w:b/>
              </w:rPr>
              <w:t xml:space="preserve">0,66</w:t>
            </w:r>
          </w:p>
        </w:tc>
        <w:tc>
          <w:p>
            <w:pPr>
              <w:pStyle w:val="Compact"/>
              <w:jc w:val="left"/>
            </w:pPr>
            <w:r>
              <w:rPr>
                <w:bCs/>
                <w:b/>
              </w:rPr>
              <w:t xml:space="preserve">1,41</w:t>
            </w:r>
          </w:p>
        </w:tc>
      </w:tr>
    </w:tbl>
    <w:p>
      <w:pPr>
        <w:pStyle w:val="BodyText"/>
      </w:pPr>
      <w:r>
        <w:t xml:space="preserve">Fonte: elaborada pelo autor (2026).</w:t>
      </w:r>
    </w:p>
    <w:p>
      <w:pPr>
        <w:pStyle w:val="CaptionedFigure"/>
      </w:pPr>
      <w:r>
        <w:drawing>
          <wp:inline>
            <wp:extent cx="5334000" cy="3269225"/>
            <wp:effectExtent b="0" l="0" r="0" t="0"/>
            <wp:docPr descr="Figura 15" title="" id="1" name="Picture"/>
            <a:graphic>
              <a:graphicData uri="http://schemas.openxmlformats.org/drawingml/2006/picture">
                <pic:pic>
                  <pic:nvPicPr>
                    <pic:cNvPr descr="media/rId52.png" id="0" name="Picture"/>
                    <pic:cNvPicPr>
                      <a:picLocks noChangeArrowheads="1" noChangeAspect="1"/>
                    </pic:cNvPicPr>
                  </pic:nvPicPr>
                  <pic:blipFill>
                    <a:blip r:embed="rId55"/>
                    <a:stretch>
                      <a:fillRect/>
                    </a:stretch>
                  </pic:blipFill>
                  <pic:spPr bwMode="auto">
                    <a:xfrm>
                      <a:off x="0" y="0"/>
                      <a:ext cx="5334000" cy="3269225"/>
                    </a:xfrm>
                    <a:prstGeom prst="rect">
                      <a:avLst/>
                    </a:prstGeom>
                    <a:noFill/>
                    <a:ln w="9525">
                      <a:noFill/>
                      <a:headEnd/>
                      <a:tailEnd/>
                    </a:ln>
                  </pic:spPr>
                </pic:pic>
              </a:graphicData>
            </a:graphic>
          </wp:inline>
        </w:drawing>
      </w:r>
    </w:p>
    <w:p>
      <w:pPr>
        <w:pStyle w:val="ImageCaption"/>
      </w:pPr>
      <w:r>
        <w:t xml:space="preserve">Figura 15</w:t>
      </w:r>
    </w:p>
    <w:p>
      <w:pPr>
        <w:pStyle w:val="BodyText"/>
      </w:pPr>
      <w:r>
        <w:t xml:space="preserve">Figura 15 – Melhor perda de validação do mesmo modelo de 1,8 M sobre três corpora, contra o piso trivial</w:t>
      </w:r>
      <w:r>
        <w:t xml:space="preserve"> </w:t>
      </w:r>
      <m:oMath>
        <m:r>
          <m:rPr>
            <m:nor/>
            <m:sty m:val="p"/>
          </m:rPr>
          <m:t>log</m:t>
        </m:r>
        <m:r>
          <m:rPr>
            <m:sty m:val="p"/>
          </m:rPr>
          <m:t>(</m:t>
        </m:r>
        <m:r>
          <m:t>4096</m:t>
        </m:r>
        <m:r>
          <m:rPr>
            <m:sty m:val="p"/>
          </m:rPr>
          <m:t>)</m:t>
        </m:r>
      </m:oMath>
      <w:r>
        <w:t xml:space="preserve">. Fonte: elaborada pelo autor (2026).</w:t>
      </w:r>
    </w:p>
    <w:p>
      <w:pPr>
        <w:pStyle w:val="BodyText"/>
      </w:pPr>
      <w:r>
        <w:t xml:space="preserve">A última coluna da Tabela 4 é mais informativa que a perda absoluta. Nos corpora técnicos, o modelo supera um contador de bigramas por 0,18 e 0,32</w:t>
      </w:r>
      <w:r>
        <w:t xml:space="preserve"> </w:t>
      </w:r>
      <w:r>
        <w:rPr>
          <w:iCs/>
          <w:i/>
        </w:rPr>
        <w:t xml:space="preserve">nat</w:t>
      </w:r>
      <w:r>
        <w:t xml:space="preserve"> </w:t>
      </w:r>
      <w:r>
        <w:t xml:space="preserve">— margens pequenas, e ainda por cima limites inferiores conservadores (Seção 3.4). No TinyStories a margem é de 1,41</w:t>
      </w:r>
      <w:r>
        <w:t xml:space="preserve"> </w:t>
      </w:r>
      <w:r>
        <w:rPr>
          <w:iCs/>
          <w:i/>
        </w:rPr>
        <w:t xml:space="preserve">nat</w:t>
      </w:r>
      <w:r>
        <w:t xml:space="preserve">. A leitura é qualitativa, não apenas de grau: nos textos técnicos, um modelo de 1,8 milhão de parâmetros captura pouco além de estatística de coocorrência local, enquanto no corpus de baixa entropia ele modela estrutura de alcance mais longo. Isso explica a diferença observada na geração melhor do que a perda sozinha.</w:t>
      </w:r>
    </w:p>
    <w:p>
      <w:pPr>
        <w:pStyle w:val="BodyText"/>
      </w:pPr>
      <w:r>
        <w:t xml:space="preserve">O contraste qualitativo é direto. A partir do</w:t>
      </w:r>
      <w:r>
        <w:t xml:space="preserve"> </w:t>
      </w:r>
      <w:r>
        <w:rPr>
          <w:iCs/>
          <w:i/>
        </w:rPr>
        <w:t xml:space="preserve">prompt</w:t>
      </w:r>
      <w:r>
        <w:t xml:space="preserve"> </w:t>
      </w:r>
      <w:r>
        <w:t xml:space="preserve">“</w:t>
      </w:r>
      <w:r>
        <w:rPr>
          <w:iCs/>
          <w:i/>
        </w:rPr>
        <w:t xml:space="preserve">Once upon a time</w:t>
      </w:r>
      <w:r>
        <w:t xml:space="preserve">”</w:t>
      </w:r>
      <w:r>
        <w:t xml:space="preserve">, o modelo treinado no TinyStories produz texto gramatical e coerente:</w:t>
      </w:r>
    </w:p>
    <w:p>
      <w:pPr>
        <w:pStyle w:val="BlockText"/>
      </w:pPr>
      <w:r>
        <w:rPr>
          <w:iCs/>
          <w:i/>
        </w:rPr>
        <w:t xml:space="preserve">“</w:t>
      </w:r>
      <w:r>
        <w:rPr>
          <w:iCs/>
          <w:i/>
        </w:rPr>
        <w:t xml:space="preserve">Once upon a time, there was a little girl named Lily. She loved to play outside with her dolls, but it was big and soft. One day, Lily’s mom made…</w:t>
      </w:r>
      <w:r>
        <w:rPr>
          <w:iCs/>
          <w:i/>
        </w:rPr>
        <w:t xml:space="preserve">”</w:t>
      </w:r>
    </w:p>
    <w:p>
      <w:pPr>
        <w:pStyle w:val="FirstParagraph"/>
      </w:pPr>
      <w:r>
        <w:t xml:space="preserve">Nos corpora técnicos, o mesmo modelo produz apenas jargão sintaticamente quebrado. O treino no TinyStories convergiu de forma estável, sem sinal de sobreajuste até a última época (Figura 16).</w:t>
      </w:r>
    </w:p>
    <w:p>
      <w:pPr>
        <w:pStyle w:val="CaptionedFigure"/>
      </w:pPr>
      <w:r>
        <w:drawing>
          <wp:inline>
            <wp:extent cx="5334000" cy="3269225"/>
            <wp:effectExtent b="0" l="0" r="0" t="0"/>
            <wp:docPr descr="Figura 16" title="" id="1" name="Picture"/>
            <a:graphic>
              <a:graphicData uri="http://schemas.openxmlformats.org/drawingml/2006/picture">
                <pic:pic>
                  <pic:nvPicPr>
                    <pic:cNvPr descr="media/rId53.png" id="0" name="Picture"/>
                    <pic:cNvPicPr>
                      <a:picLocks noChangeArrowheads="1" noChangeAspect="1"/>
                    </pic:cNvPicPr>
                  </pic:nvPicPr>
                  <pic:blipFill>
                    <a:blip r:embed="rId56"/>
                    <a:stretch>
                      <a:fillRect/>
                    </a:stretch>
                  </pic:blipFill>
                  <pic:spPr bwMode="auto">
                    <a:xfrm>
                      <a:off x="0" y="0"/>
                      <a:ext cx="5334000" cy="3269225"/>
                    </a:xfrm>
                    <a:prstGeom prst="rect">
                      <a:avLst/>
                    </a:prstGeom>
                    <a:noFill/>
                    <a:ln w="9525">
                      <a:noFill/>
                      <a:headEnd/>
                      <a:tailEnd/>
                    </a:ln>
                  </pic:spPr>
                </pic:pic>
              </a:graphicData>
            </a:graphic>
          </wp:inline>
        </w:drawing>
      </w:r>
    </w:p>
    <w:p>
      <w:pPr>
        <w:pStyle w:val="ImageCaption"/>
      </w:pPr>
      <w:r>
        <w:t xml:space="preserve">Figura 16</w:t>
      </w:r>
    </w:p>
    <w:p>
      <w:pPr>
        <w:pStyle w:val="BodyText"/>
      </w:pPr>
      <w:r>
        <w:t xml:space="preserve">Figura 16 – Curva de treino no TinyStories: a perda de validação decresce de forma monótona até a época 8. Fonte: elaborada pelo autor (2026).</w:t>
      </w:r>
    </w:p>
    <w:bookmarkEnd w:id="57"/>
    <w:bookmarkStart w:id="60" w:name="X6c62501491eff0a6ea363558ec8e7f7154ce1d0"/>
    <w:p>
      <w:pPr>
        <w:pStyle w:val="Heading2"/>
      </w:pPr>
      <w:r>
        <w:t xml:space="preserve">4.3 Ablação: entropia do corpus ou volume de dados?</w:t>
      </w:r>
    </w:p>
    <w:p>
      <w:pPr>
        <w:pStyle w:val="FirstParagraph"/>
      </w:pPr>
      <w:r>
        <w:t xml:space="preserve">O resultado da Seção 4.2 é compatível com duas explicações, porque o TinyStories difere do corpus de física em ambos os fatores. A ablação da Seção 3.5 os separa. Truncado a 415.878</w:t>
      </w:r>
      <w:r>
        <w:t xml:space="preserve"> </w:t>
      </w:r>
      <w:r>
        <w:rPr>
          <w:iCs/>
          <w:i/>
        </w:rPr>
        <w:t xml:space="preserve">tokens</w:t>
      </w:r>
      <w:r>
        <w:t xml:space="preserve"> </w:t>
      </w:r>
      <w:r>
        <w:t xml:space="preserve">— exatamente o volume do corpus de física — e treinado com os mesmos hiperparâmetros, o TinyStories produz perda de validação de</w:t>
      </w:r>
      <w:r>
        <w:t xml:space="preserve"> </w:t>
      </w:r>
      <w:r>
        <w:rPr>
          <w:bCs/>
          <w:b/>
        </w:rPr>
        <w:t xml:space="preserve">1,823</w:t>
      </w:r>
      <w:r>
        <w:t xml:space="preserve"> </w:t>
      </w:r>
      <w:r>
        <w:t xml:space="preserve">com acurácia de 0,632 (Tabela 5, Figura 17).</w:t>
      </w:r>
    </w:p>
    <w:p>
      <w:pPr>
        <w:pStyle w:val="BodyText"/>
      </w:pPr>
      <w:r>
        <w:t xml:space="preserve">Tabela 5 – Ablação: entropia do corpus contra volume de dados (</w:t>
      </w:r>
      <w:r>
        <w:rPr>
          <w:iCs/>
          <w:i/>
        </w:rPr>
        <w:t xml:space="preserve">preset small</w:t>
      </w:r>
      <w:r>
        <w:t xml:space="preserve">, 1,8 M).</w:t>
      </w:r>
    </w:p>
    <w:tbl>
      <w:tblPr>
        <w:tblStyle w:val="Table"/>
        <w:tblW w:type="pct" w:w="0.0"/>
        <w:tblLook w:firstRow="1" w:lastRow="0" w:firstColumn="0" w:lastColumn="0" w:noHBand="0" w:noVBand="0" w:val="0020"/>
      </w:tblPr>
      <w:tblGrid/>
      <w:tr>
        <w:tc>
          <w:p>
            <w:pPr>
              <w:pStyle w:val="Compact"/>
              <w:jc w:val="left"/>
            </w:pPr>
            <w:r>
              <w:t xml:space="preserve">Condição</w:t>
            </w:r>
          </w:p>
        </w:tc>
        <w:tc>
          <w:p>
            <w:pPr>
              <w:pStyle w:val="Compact"/>
              <w:jc w:val="left"/>
            </w:pPr>
            <w:r>
              <w:t xml:space="preserve">Tokens</w:t>
            </w:r>
          </w:p>
        </w:tc>
        <w:tc>
          <w:p>
            <w:pPr>
              <w:pStyle w:val="Compact"/>
              <w:jc w:val="left"/>
            </w:pPr>
            <m:oMath>
              <m:sSub>
                <m:e>
                  <m:r>
                    <m:t>H</m:t>
                  </m:r>
                </m:e>
                <m:sub>
                  <m:r>
                    <m:t>2</m:t>
                  </m:r>
                </m:sub>
              </m:sSub>
            </m:oMath>
          </w:p>
        </w:tc>
        <w:tc>
          <w:p>
            <w:pPr>
              <w:pStyle w:val="Compact"/>
              <w:jc w:val="left"/>
            </w:pPr>
            <m:oMath>
              <m:sSub>
                <m:e>
                  <m:r>
                    <m:rPr>
                      <m:sty m:val="p"/>
                      <m:scr m:val="script"/>
                    </m:rPr>
                    <m:t>L</m:t>
                  </m:r>
                </m:e>
                <m:sub>
                  <m:r>
                    <m:t>v</m:t>
                  </m:r>
                  <m:r>
                    <m:t>a</m:t>
                  </m:r>
                  <m:r>
                    <m:t>l</m:t>
                  </m:r>
                </m:sub>
              </m:sSub>
            </m:oMath>
          </w:p>
        </w:tc>
        <w:tc>
          <w:p>
            <w:pPr>
              <w:pStyle w:val="Compact"/>
              <w:jc w:val="left"/>
            </w:pPr>
            <w:r>
              <w:t xml:space="preserve">Acurácia</w:t>
            </w:r>
          </w:p>
        </w:tc>
      </w:tr>
      <w:tr>
        <w:tc>
          <w:p>
            <w:pPr>
              <w:pStyle w:val="Compact"/>
              <w:jc w:val="left"/>
            </w:pPr>
            <w:r>
              <w:t xml:space="preserve">Física de partículas</w:t>
            </w:r>
          </w:p>
        </w:tc>
        <w:tc>
          <w:p>
            <w:pPr>
              <w:pStyle w:val="Compact"/>
              <w:jc w:val="left"/>
            </w:pPr>
            <w:r>
              <w:t xml:space="preserve">415.878</w:t>
            </w:r>
          </w:p>
        </w:tc>
        <w:tc>
          <w:p>
            <w:pPr>
              <w:pStyle w:val="Compact"/>
              <w:jc w:val="left"/>
            </w:pPr>
            <w:r>
              <w:t xml:space="preserve">3,269</w:t>
            </w:r>
          </w:p>
        </w:tc>
        <w:tc>
          <w:p>
            <w:pPr>
              <w:pStyle w:val="Compact"/>
              <w:jc w:val="left"/>
            </w:pPr>
            <w:r>
              <w:t xml:space="preserve">3,087</w:t>
            </w:r>
          </w:p>
        </w:tc>
        <w:tc>
          <w:p>
            <w:pPr>
              <w:pStyle w:val="Compact"/>
              <w:jc w:val="left"/>
            </w:pPr>
            <w:r>
              <w:t xml:space="preserve">0,500</w:t>
            </w:r>
          </w:p>
        </w:tc>
      </w:tr>
      <w:tr>
        <w:tc>
          <w:p>
            <w:pPr>
              <w:pStyle w:val="Compact"/>
              <w:jc w:val="left"/>
            </w:pPr>
            <w:r>
              <w:t xml:space="preserve">TinyStories truncado (</w:t>
            </w:r>
            <w:r>
              <w:rPr>
                <w:bCs/>
                <w:b/>
              </w:rPr>
              <w:t xml:space="preserve">controle</w:t>
            </w:r>
            <w:r>
              <w:t xml:space="preserve">)</w:t>
            </w:r>
          </w:p>
        </w:tc>
        <w:tc>
          <w:p>
            <w:pPr>
              <w:pStyle w:val="Compact"/>
              <w:jc w:val="left"/>
            </w:pPr>
            <w:r>
              <w:t xml:space="preserve">415.878</w:t>
            </w:r>
          </w:p>
        </w:tc>
        <w:tc>
          <w:p>
            <w:pPr>
              <w:pStyle w:val="Compact"/>
              <w:jc w:val="left"/>
            </w:pPr>
            <w:r>
              <w:t xml:space="preserve">2,995</w:t>
            </w:r>
          </w:p>
        </w:tc>
        <w:tc>
          <w:p>
            <w:pPr>
              <w:pStyle w:val="Compact"/>
              <w:jc w:val="left"/>
            </w:pPr>
            <w:r>
              <w:rPr>
                <w:bCs/>
                <w:b/>
              </w:rPr>
              <w:t xml:space="preserve">1,823</w:t>
            </w:r>
          </w:p>
        </w:tc>
        <w:tc>
          <w:p>
            <w:pPr>
              <w:pStyle w:val="Compact"/>
              <w:jc w:val="left"/>
            </w:pPr>
            <w:r>
              <w:t xml:space="preserve">0,632</w:t>
            </w:r>
          </w:p>
        </w:tc>
      </w:tr>
      <w:tr>
        <w:tc>
          <w:p>
            <w:pPr>
              <w:pStyle w:val="Compact"/>
              <w:jc w:val="left"/>
            </w:pPr>
            <w:r>
              <w:t xml:space="preserve">TinyStories completo</w:t>
            </w:r>
          </w:p>
        </w:tc>
        <w:tc>
          <w:p>
            <w:pPr>
              <w:pStyle w:val="Compact"/>
              <w:jc w:val="left"/>
            </w:pPr>
            <w:r>
              <w:t xml:space="preserve">2.914.240</w:t>
            </w:r>
          </w:p>
        </w:tc>
        <w:tc>
          <w:p>
            <w:pPr>
              <w:pStyle w:val="Compact"/>
              <w:jc w:val="left"/>
            </w:pPr>
            <w:r>
              <w:t xml:space="preserve">2,995</w:t>
            </w:r>
          </w:p>
        </w:tc>
        <w:tc>
          <w:p>
            <w:pPr>
              <w:pStyle w:val="Compact"/>
              <w:jc w:val="left"/>
            </w:pPr>
            <w:r>
              <w:t xml:space="preserve">1,586</w:t>
            </w:r>
          </w:p>
        </w:tc>
        <w:tc>
          <w:p>
            <w:pPr>
              <w:pStyle w:val="Compact"/>
              <w:jc w:val="left"/>
            </w:pPr>
            <w:r>
              <w:t xml:space="preserve">0,660</w:t>
            </w:r>
          </w:p>
        </w:tc>
      </w:tr>
    </w:tbl>
    <w:p>
      <w:pPr>
        <w:pStyle w:val="BodyText"/>
      </w:pPr>
      <w:r>
        <w:t xml:space="preserve">Fonte: elaborada pelo autor (2026), por</w:t>
      </w:r>
      <w:r>
        <w:t xml:space="preserve"> </w:t>
      </w:r>
      <w:r>
        <w:rPr>
          <w:rStyle w:val="VerbatimChar"/>
        </w:rPr>
        <w:t xml:space="preserve">scripts/ablacao_entropia_volume.py</w:t>
      </w:r>
      <w:r>
        <w:t xml:space="preserve">.</w:t>
      </w:r>
    </w:p>
    <w:p>
      <w:pPr>
        <w:pStyle w:val="BodyText"/>
      </w:pPr>
      <w:r>
        <w:t xml:space="preserve">A decomposição do efeito total é imediata. A queda de 3,087 para 1,586 totaliza 1,501</w:t>
      </w:r>
      <w:r>
        <w:t xml:space="preserve"> </w:t>
      </w:r>
      <w:r>
        <w:rPr>
          <w:iCs/>
          <w:i/>
        </w:rPr>
        <w:t xml:space="preserve">nat</w:t>
      </w:r>
      <w:r>
        <w:t xml:space="preserve">. Dela:</w:t>
      </w:r>
    </w:p>
    <w:p>
      <w:pPr>
        <w:numPr>
          <w:ilvl w:val="0"/>
          <w:numId w:val="1003"/>
        </w:numPr>
        <w:pStyle w:val="Compact"/>
      </w:pPr>
      <w:r>
        <w:rPr>
          <w:bCs/>
          <w:b/>
        </w:rPr>
        <w:t xml:space="preserve">1,264</w:t>
      </w:r>
      <w:r>
        <w:rPr>
          <w:bCs/>
          <w:b/>
        </w:rPr>
        <w:t xml:space="preserve"> </w:t>
      </w:r>
      <w:r>
        <w:rPr>
          <w:iCs/>
          <w:i/>
          <w:bCs/>
          <w:b/>
        </w:rPr>
        <w:t xml:space="preserve">nat</w:t>
      </w:r>
      <w:r>
        <w:rPr>
          <w:bCs/>
          <w:b/>
        </w:rPr>
        <w:t xml:space="preserve"> </w:t>
      </w:r>
      <w:r>
        <w:rPr>
          <w:bCs/>
          <w:b/>
        </w:rPr>
        <w:t xml:space="preserve">(84 %)</w:t>
      </w:r>
      <w:r>
        <w:t xml:space="preserve"> </w:t>
      </w:r>
      <w:r>
        <w:t xml:space="preserve">ocorre entre física e TinyStories truncado, com o volume mantido fixo em 415.878</w:t>
      </w:r>
      <w:r>
        <w:t xml:space="preserve"> </w:t>
      </w:r>
      <w:r>
        <w:rPr>
          <w:iCs/>
          <w:i/>
        </w:rPr>
        <w:t xml:space="preserve">tokens</w:t>
      </w:r>
      <w:r>
        <w:t xml:space="preserve">. Nada mudou além do domínio do texto: é o efeito da entropia, isolado.</w:t>
      </w:r>
    </w:p>
    <w:p>
      <w:pPr>
        <w:numPr>
          <w:ilvl w:val="0"/>
          <w:numId w:val="1003"/>
        </w:numPr>
        <w:pStyle w:val="Compact"/>
      </w:pPr>
      <w:r>
        <w:rPr>
          <w:bCs/>
          <w:b/>
        </w:rPr>
        <w:t xml:space="preserve">0,237</w:t>
      </w:r>
      <w:r>
        <w:rPr>
          <w:bCs/>
          <w:b/>
        </w:rPr>
        <w:t xml:space="preserve"> </w:t>
      </w:r>
      <w:r>
        <w:rPr>
          <w:iCs/>
          <w:i/>
          <w:bCs/>
          <w:b/>
        </w:rPr>
        <w:t xml:space="preserve">nat</w:t>
      </w:r>
      <w:r>
        <w:rPr>
          <w:bCs/>
          <w:b/>
        </w:rPr>
        <w:t xml:space="preserve"> </w:t>
      </w:r>
      <w:r>
        <w:rPr>
          <w:bCs/>
          <w:b/>
        </w:rPr>
        <w:t xml:space="preserve">(16 %)</w:t>
      </w:r>
      <w:r>
        <w:t xml:space="preserve"> </w:t>
      </w:r>
      <w:r>
        <w:t xml:space="preserve">ocorre entre TinyStories truncado e completo, com a entropia fixa e o volume multiplicado por sete: é o efeito do volume, isolado.</w:t>
      </w:r>
    </w:p>
    <w:p>
      <w:pPr>
        <w:pStyle w:val="CaptionedFigure"/>
      </w:pPr>
      <w:r>
        <w:drawing>
          <wp:inline>
            <wp:extent cx="5334000" cy="3282461"/>
            <wp:effectExtent b="0" l="0" r="0" t="0"/>
            <wp:docPr descr="Figura 17" title="" id="1" name="Picture"/>
            <a:graphic>
              <a:graphicData uri="http://schemas.openxmlformats.org/drawingml/2006/picture">
                <pic:pic>
                  <pic:nvPicPr>
                    <pic:cNvPr descr="../results/figuras/ablacao_entropia_volume.png" id="0" name="Picture"/>
                    <pic:cNvPicPr>
                      <a:picLocks noChangeArrowheads="1" noChangeAspect="1"/>
                    </pic:cNvPicPr>
                  </pic:nvPicPr>
                  <pic:blipFill>
                    <a:blip r:embed="rId58"/>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Figura 17</w:t>
      </w:r>
    </w:p>
    <w:p>
      <w:pPr>
        <w:pStyle w:val="BodyText"/>
      </w:pPr>
      <w:r>
        <w:t xml:space="preserve">Figura 17 – Decomposição do efeito total. As duas primeiras barras e a terceira têm o mesmo volume (415.878</w:t>
      </w:r>
      <w:r>
        <w:t xml:space="preserve"> </w:t>
      </w:r>
      <w:r>
        <w:rPr>
          <w:iCs/>
          <w:i/>
        </w:rPr>
        <w:t xml:space="preserve">tokens</w:t>
      </w:r>
      <w:r>
        <w:t xml:space="preserve">): a diferença entre elas é entropia. A terceira e a quarta têm a mesma entropia: a diferença é volume. Linhas tracejadas marcam</w:t>
      </w:r>
      <w:r>
        <w:t xml:space="preserve"> </w:t>
      </w:r>
      <m:oMath>
        <m:sSub>
          <m:e>
            <m:r>
              <m:t>H</m:t>
            </m:r>
          </m:e>
          <m:sub>
            <m:r>
              <m:t>2</m:t>
            </m:r>
          </m:sub>
        </m:sSub>
      </m:oMath>
      <w:r>
        <w:t xml:space="preserve">. Fonte: elaborada pelo autor (2026).</w:t>
      </w:r>
    </w:p>
    <w:p>
      <w:pPr>
        <w:pStyle w:val="BodyText"/>
      </w:pPr>
      <w:r>
        <w:t xml:space="preserve">Três observações qualificam o número. Primeira, o efeito da entropia é subestimado: a execução de controle ainda melhorava no teto de 12 épocas (Figura 18), de modo que 1,264</w:t>
      </w:r>
      <w:r>
        <w:t xml:space="preserve"> </w:t>
      </w:r>
      <w:r>
        <w:rPr>
          <w:iCs/>
          <w:i/>
        </w:rPr>
        <w:t xml:space="preserve">nat</w:t>
      </w:r>
      <w:r>
        <w:t xml:space="preserve"> </w:t>
      </w:r>
      <w:r>
        <w:t xml:space="preserve">é um limite inferior. Segunda, a coerência da geração não depende do volume — com apenas 415.878</w:t>
      </w:r>
      <w:r>
        <w:t xml:space="preserve"> </w:t>
      </w:r>
      <w:r>
        <w:rPr>
          <w:iCs/>
          <w:i/>
        </w:rPr>
        <w:t xml:space="preserve">tokens</w:t>
      </w:r>
      <w:r>
        <w:t xml:space="preserve">, o controle já produz narrativa bem-formada (</w:t>
      </w:r>
      <w:r>
        <w:t xml:space="preserve">“</w:t>
      </w:r>
      <w:r>
        <w:rPr>
          <w:iCs/>
          <w:i/>
        </w:rPr>
        <w:t xml:space="preserve">Once upon a time, there was a little girl named Lily. She loved to play outside and explore the sky!</w:t>
      </w:r>
      <w:r>
        <w:t xml:space="preserve">”</w:t>
      </w:r>
      <w:r>
        <w:t xml:space="preserve">), o que localiza o salto qualitativo na troca de domínio, não no acúmulo de dados. Terceira, o controle supera</w:t>
      </w:r>
      <w:r>
        <w:t xml:space="preserve"> </w:t>
      </w:r>
      <m:oMath>
        <m:sSub>
          <m:e>
            <m:r>
              <m:t>H</m:t>
            </m:r>
          </m:e>
          <m:sub>
            <m:r>
              <m:t>2</m:t>
            </m:r>
          </m:sub>
        </m:sSub>
      </m:oMath>
      <w:r>
        <w:t xml:space="preserve"> </w:t>
      </w:r>
      <w:r>
        <w:t xml:space="preserve">do TinyStories por 1,17</w:t>
      </w:r>
      <w:r>
        <w:t xml:space="preserve"> </w:t>
      </w:r>
      <w:r>
        <w:rPr>
          <w:iCs/>
          <w:i/>
        </w:rPr>
        <w:t xml:space="preserve">nat</w:t>
      </w:r>
      <w:r>
        <w:t xml:space="preserve">, contra 0,18 do corpus de física com volume idêntico — a diferença de margem sobre o</w:t>
      </w:r>
      <w:r>
        <w:t xml:space="preserve"> </w:t>
      </w:r>
      <w:r>
        <w:rPr>
          <w:iCs/>
          <w:i/>
        </w:rPr>
        <w:t xml:space="preserve">baseline</w:t>
      </w:r>
      <w:r>
        <w:t xml:space="preserve"> </w:t>
      </w:r>
      <w:r>
        <w:t xml:space="preserve">de bigramas persiste quando o volume é controlado, o que descarta a hipótese de que aquela margem estreita fosse um artefato de corpus pequeno.</w:t>
      </w:r>
    </w:p>
    <w:p>
      <w:pPr>
        <w:pStyle w:val="CaptionedFigure"/>
      </w:pPr>
      <w:r>
        <w:drawing>
          <wp:inline>
            <wp:extent cx="5334000" cy="2971800"/>
            <wp:effectExtent b="0" l="0" r="0" t="0"/>
            <wp:docPr descr="Figura 18" title="" id="1" name="Picture"/>
            <a:graphic>
              <a:graphicData uri="http://schemas.openxmlformats.org/drawingml/2006/picture">
                <pic:pic>
                  <pic:nvPicPr>
                    <pic:cNvPr descr="../results/figuras/curva_controle_volume.png" id="0" name="Picture"/>
                    <pic:cNvPicPr>
                      <a:picLocks noChangeArrowheads="1" noChangeAspect="1"/>
                    </pic:cNvPicPr>
                  </pic:nvPicPr>
                  <pic:blipFill>
                    <a:blip r:embed="rId59"/>
                    <a:stretch>
                      <a:fillRect/>
                    </a:stretch>
                  </pic:blipFill>
                  <pic:spPr bwMode="auto">
                    <a:xfrm>
                      <a:off x="0" y="0"/>
                      <a:ext cx="5334000" cy="2971800"/>
                    </a:xfrm>
                    <a:prstGeom prst="rect">
                      <a:avLst/>
                    </a:prstGeom>
                    <a:noFill/>
                    <a:ln w="9525">
                      <a:noFill/>
                      <a:headEnd/>
                      <a:tailEnd/>
                    </a:ln>
                  </pic:spPr>
                </pic:pic>
              </a:graphicData>
            </a:graphic>
          </wp:inline>
        </w:drawing>
      </w:r>
    </w:p>
    <w:p>
      <w:pPr>
        <w:pStyle w:val="ImageCaption"/>
      </w:pPr>
      <w:r>
        <w:t xml:space="preserve">Figura 18</w:t>
      </w:r>
    </w:p>
    <w:p>
      <w:pPr>
        <w:pStyle w:val="BodyText"/>
      </w:pPr>
      <w:r>
        <w:t xml:space="preserve">Figura 18 – Curva da execução de controle (415.878</w:t>
      </w:r>
      <w:r>
        <w:t xml:space="preserve"> </w:t>
      </w:r>
      <w:r>
        <w:rPr>
          <w:iCs/>
          <w:i/>
        </w:rPr>
        <w:t xml:space="preserve">tokens</w:t>
      </w:r>
      <w:r>
        <w:t xml:space="preserve"> </w:t>
      </w:r>
      <w:r>
        <w:t xml:space="preserve">do TinyStories). A perda ainda decresce na última época, indicando que o valor final é um limite superior. Fonte: elaborada pelo autor (2026).</w:t>
      </w:r>
    </w:p>
    <w:bookmarkEnd w:id="60"/>
    <w:bookmarkStart w:id="62" w:name="comparação-com-o-gpt-2"/>
    <w:p>
      <w:pPr>
        <w:pStyle w:val="Heading2"/>
      </w:pPr>
      <w:r>
        <w:t xml:space="preserve">4.4 Comparação com o GPT-2</w:t>
      </w:r>
    </w:p>
    <w:p>
      <w:pPr>
        <w:pStyle w:val="FirstParagraph"/>
      </w:pPr>
      <w:r>
        <w:t xml:space="preserve">O modelo especialista foi comparado ao GPT-2 (124 milhões de parâmetros,</w:t>
      </w:r>
      <w:r>
        <w:t xml:space="preserve"> </w:t>
      </w:r>
      <w:r>
        <w:rPr>
          <w:iCs/>
          <w:i/>
        </w:rPr>
        <w:t xml:space="preserve">zero-shot</w:t>
      </w:r>
      <w:r>
        <w:t xml:space="preserve">) sobre 150 histórias inéditas, em</w:t>
      </w:r>
      <w:r>
        <w:t xml:space="preserve"> </w:t>
      </w:r>
      <w:r>
        <w:rPr>
          <w:iCs/>
          <w:i/>
        </w:rPr>
        <w:t xml:space="preserve">bits</w:t>
      </w:r>
      <w:r>
        <w:t xml:space="preserve"> </w:t>
      </w:r>
      <w:r>
        <w:t xml:space="preserve">por</w:t>
      </w:r>
      <w:r>
        <w:t xml:space="preserve"> </w:t>
      </w:r>
      <w:r>
        <w:rPr>
          <w:iCs/>
          <w:i/>
        </w:rPr>
        <w:t xml:space="preserve">byte</w:t>
      </w:r>
      <w:r>
        <w:t xml:space="preserve"> </w:t>
      </w:r>
      <w:r>
        <w:t xml:space="preserve">(Tabela 6, Figura 19).</w:t>
      </w:r>
    </w:p>
    <w:p>
      <w:pPr>
        <w:pStyle w:val="BodyText"/>
      </w:pPr>
      <w:r>
        <w:t xml:space="preserve">Tabela 6 –</w:t>
      </w:r>
      <w:r>
        <w:t xml:space="preserve"> </w:t>
      </w:r>
      <w:r>
        <w:rPr>
          <w:iCs/>
          <w:i/>
        </w:rPr>
        <w:t xml:space="preserve">Benchmark</w:t>
      </w:r>
      <w:r>
        <w:t xml:space="preserve"> </w:t>
      </w:r>
      <w:r>
        <w:t xml:space="preserve">sobre 150 histórias</w:t>
      </w:r>
      <w:r>
        <w:t xml:space="preserve"> </w:t>
      </w:r>
      <w:r>
        <w:rPr>
          <w:iCs/>
          <w:i/>
        </w:rPr>
        <w:t xml:space="preserve">held-out</w:t>
      </w:r>
      <w:r>
        <w:t xml:space="preserve"> </w:t>
      </w:r>
      <w:r>
        <w:t xml:space="preserve">do TinyStories.</w:t>
      </w:r>
    </w:p>
    <w:tbl>
      <w:tblPr>
        <w:tblStyle w:val="Table"/>
        <w:tblW w:type="pct" w:w="0.0"/>
        <w:tblLook w:firstRow="1" w:lastRow="0" w:firstColumn="0" w:lastColumn="0" w:noHBand="0" w:noVBand="0" w:val="0020"/>
      </w:tblPr>
      <w:tblGrid/>
      <w:tr>
        <w:tc>
          <w:p>
            <w:pPr>
              <w:pStyle w:val="Compact"/>
              <w:jc w:val="left"/>
            </w:pPr>
            <w:r>
              <w:t xml:space="preserve">Métrica</w:t>
            </w:r>
          </w:p>
        </w:tc>
        <w:tc>
          <w:p>
            <w:pPr>
              <w:pStyle w:val="Compact"/>
              <w:jc w:val="left"/>
            </w:pPr>
            <w:r>
              <w:t xml:space="preserve">TucanoCE</w:t>
            </w:r>
          </w:p>
        </w:tc>
        <w:tc>
          <w:p>
            <w:pPr>
              <w:pStyle w:val="Compact"/>
              <w:jc w:val="left"/>
            </w:pPr>
            <w:r>
              <w:t xml:space="preserve">GPT-2</w:t>
            </w:r>
          </w:p>
        </w:tc>
      </w:tr>
      <w:tr>
        <w:tc>
          <w:p>
            <w:pPr>
              <w:pStyle w:val="Compact"/>
              <w:jc w:val="left"/>
            </w:pPr>
            <w:r>
              <w:t xml:space="preserve">Parâmetros</w:t>
            </w:r>
          </w:p>
        </w:tc>
        <w:tc>
          <w:p>
            <w:pPr>
              <w:pStyle w:val="Compact"/>
              <w:jc w:val="left"/>
            </w:pPr>
            <w:r>
              <w:t xml:space="preserve">1.803.904</w:t>
            </w:r>
          </w:p>
        </w:tc>
        <w:tc>
          <w:p>
            <w:pPr>
              <w:pStyle w:val="Compact"/>
              <w:jc w:val="left"/>
            </w:pPr>
            <w:r>
              <w:t xml:space="preserve">124.439.808</w:t>
            </w:r>
          </w:p>
        </w:tc>
      </w:tr>
      <w:tr>
        <w:tc>
          <w:p>
            <w:pPr>
              <w:pStyle w:val="Compact"/>
              <w:jc w:val="left"/>
            </w:pPr>
            <w:r>
              <w:t xml:space="preserve">Treinou em TinyStories?</w:t>
            </w:r>
          </w:p>
        </w:tc>
        <w:tc>
          <w:p>
            <w:pPr>
              <w:pStyle w:val="Compact"/>
              <w:jc w:val="left"/>
            </w:pPr>
            <w:r>
              <w:t xml:space="preserve">sim</w:t>
            </w:r>
          </w:p>
        </w:tc>
        <w:tc>
          <w:p>
            <w:pPr>
              <w:pStyle w:val="Compact"/>
              <w:jc w:val="left"/>
            </w:pPr>
            <w:r>
              <w:t xml:space="preserve">não (</w:t>
            </w:r>
            <w:r>
              <w:rPr>
                <w:iCs/>
                <w:i/>
              </w:rPr>
              <w:t xml:space="preserve">zero-shot</w:t>
            </w:r>
            <w:r>
              <w:t xml:space="preserve">)</w:t>
            </w:r>
          </w:p>
        </w:tc>
      </w:tr>
      <w:tr>
        <w:tc>
          <w:p>
            <w:pPr>
              <w:pStyle w:val="Compact"/>
              <w:jc w:val="left"/>
            </w:pPr>
            <w:r>
              <w:t xml:space="preserve">Contexto (</w:t>
            </w:r>
            <w:r>
              <w:rPr>
                <w:iCs/>
                <w:i/>
              </w:rPr>
              <w:t xml:space="preserve">tokens</w:t>
            </w:r>
            <w:r>
              <w:t xml:space="preserve">)</w:t>
            </w:r>
          </w:p>
        </w:tc>
        <w:tc>
          <w:p>
            <w:pPr>
              <w:pStyle w:val="Compact"/>
              <w:jc w:val="left"/>
            </w:pPr>
            <w:r>
              <w:t xml:space="preserve">128</w:t>
            </w:r>
          </w:p>
        </w:tc>
        <w:tc>
          <w:p>
            <w:pPr>
              <w:pStyle w:val="Compact"/>
              <w:jc w:val="left"/>
            </w:pPr>
            <w:r>
              <w:t xml:space="preserve">1024</w:t>
            </w:r>
          </w:p>
        </w:tc>
      </w:tr>
      <w:tr>
        <w:tc>
          <w:p>
            <w:pPr>
              <w:pStyle w:val="Compact"/>
              <w:jc w:val="left"/>
            </w:pPr>
            <w:r>
              <w:rPr>
                <w:bCs/>
                <w:b/>
              </w:rPr>
              <w:t xml:space="preserve">BPB (bits/byte)</w:t>
            </w:r>
            <w:r>
              <w:t xml:space="preserve"> </w:t>
            </w:r>
            <w:r>
              <w:t xml:space="preserve">↓</w:t>
            </w:r>
          </w:p>
        </w:tc>
        <w:tc>
          <w:p>
            <w:pPr>
              <w:pStyle w:val="Compact"/>
              <w:jc w:val="left"/>
            </w:pPr>
            <w:r>
              <w:t xml:space="preserve">1,013</w:t>
            </w:r>
          </w:p>
        </w:tc>
        <w:tc>
          <w:p>
            <w:pPr>
              <w:pStyle w:val="Compact"/>
              <w:jc w:val="left"/>
            </w:pPr>
            <w:r>
              <w:rPr>
                <w:bCs/>
                <w:b/>
              </w:rPr>
              <w:t xml:space="preserve">0,772</w:t>
            </w:r>
          </w:p>
        </w:tc>
      </w:tr>
      <w:tr>
        <w:tc>
          <w:p>
            <w:pPr>
              <w:pStyle w:val="Compact"/>
              <w:jc w:val="left"/>
            </w:pPr>
            <w:r>
              <w:t xml:space="preserve">Geração (</w:t>
            </w:r>
            <w:r>
              <w:rPr>
                <w:iCs/>
                <w:i/>
              </w:rPr>
              <w:t xml:space="preserve">tokens</w:t>
            </w:r>
            <w:r>
              <w:t xml:space="preserve">/s, CPU) ↑</w:t>
            </w:r>
          </w:p>
        </w:tc>
        <w:tc>
          <w:p>
            <w:pPr>
              <w:pStyle w:val="Compact"/>
              <w:jc w:val="left"/>
            </w:pPr>
            <w:r>
              <w:rPr>
                <w:bCs/>
                <w:b/>
              </w:rPr>
              <w:t xml:space="preserve">371,5</w:t>
            </w:r>
          </w:p>
        </w:tc>
        <w:tc>
          <w:p>
            <w:pPr>
              <w:pStyle w:val="Compact"/>
              <w:jc w:val="left"/>
            </w:pPr>
            <w:r>
              <w:t xml:space="preserve">33,6</w:t>
            </w:r>
          </w:p>
        </w:tc>
      </w:tr>
    </w:tbl>
    <w:p>
      <w:pPr>
        <w:pStyle w:val="BodyText"/>
      </w:pPr>
      <w:r>
        <w:t xml:space="preserve">Fonte: elaborada pelo autor (2026).</w:t>
      </w:r>
    </w:p>
    <w:p>
      <w:pPr>
        <w:pStyle w:val="CaptionedFigure"/>
      </w:pPr>
      <w:r>
        <w:drawing>
          <wp:inline>
            <wp:extent cx="5334000" cy="2252133"/>
            <wp:effectExtent b="0" l="0" r="0" t="0"/>
            <wp:docPr descr="Figura 19" title="" id="1" name="Picture"/>
            <a:graphic>
              <a:graphicData uri="http://schemas.openxmlformats.org/drawingml/2006/picture">
                <pic:pic>
                  <pic:nvPicPr>
                    <pic:cNvPr descr="media/rId55.png" id="0" name="Picture"/>
                    <pic:cNvPicPr>
                      <a:picLocks noChangeArrowheads="1" noChangeAspect="1"/>
                    </pic:cNvPicPr>
                  </pic:nvPicPr>
                  <pic:blipFill>
                    <a:blip r:embed="rId61"/>
                    <a:stretch>
                      <a:fillRect/>
                    </a:stretch>
                  </pic:blipFill>
                  <pic:spPr bwMode="auto">
                    <a:xfrm>
                      <a:off x="0" y="0"/>
                      <a:ext cx="5334000" cy="2252133"/>
                    </a:xfrm>
                    <a:prstGeom prst="rect">
                      <a:avLst/>
                    </a:prstGeom>
                    <a:noFill/>
                    <a:ln w="9525">
                      <a:noFill/>
                      <a:headEnd/>
                      <a:tailEnd/>
                    </a:ln>
                  </pic:spPr>
                </pic:pic>
              </a:graphicData>
            </a:graphic>
          </wp:inline>
        </w:drawing>
      </w:r>
    </w:p>
    <w:p>
      <w:pPr>
        <w:pStyle w:val="ImageCaption"/>
      </w:pPr>
      <w:r>
        <w:t xml:space="preserve">Figura 19</w:t>
      </w:r>
    </w:p>
    <w:p>
      <w:pPr>
        <w:pStyle w:val="BodyText"/>
      </w:pPr>
      <w:r>
        <w:t xml:space="preserve">Figura 19 – Comparação TucanoCE contra GPT-2 no</w:t>
      </w:r>
      <w:r>
        <w:t xml:space="preserve"> </w:t>
      </w:r>
      <w:r>
        <w:rPr>
          <w:iCs/>
          <w:i/>
        </w:rPr>
        <w:t xml:space="preserve">held-out</w:t>
      </w:r>
      <w:r>
        <w:t xml:space="preserve">: BPB (esquerda, menor é melhor) e velocidade de geração em CPU (direita, maior é melhor). Fonte: elaborada pelo autor (2026).</w:t>
      </w:r>
    </w:p>
    <w:p>
      <w:pPr>
        <w:pStyle w:val="BodyText"/>
      </w:pPr>
      <w:r>
        <w:t xml:space="preserve">O GPT-2 obtém BPB menor, o que é o esperado de um modelo 69 vezes maior. Três ressalvas qualificam a leitura desse número. Primeira, parte da vantagem é</w:t>
      </w:r>
      <w:r>
        <w:t xml:space="preserve"> </w:t>
      </w:r>
      <w:r>
        <w:rPr>
          <w:bCs/>
          <w:b/>
        </w:rPr>
        <w:t xml:space="preserve">estrutural</w:t>
      </w:r>
      <w:r>
        <w:t xml:space="preserve"> </w:t>
      </w:r>
      <w:r>
        <w:t xml:space="preserve">e não decorre de melhor modelagem: o GPT-2 dispõe de contexto oito vezes maior e de um vocabulário de 50.257</w:t>
      </w:r>
      <w:r>
        <w:t xml:space="preserve"> </w:t>
      </w:r>
      <w:r>
        <w:rPr>
          <w:iCs/>
          <w:i/>
        </w:rPr>
        <w:t xml:space="preserve">tokens</w:t>
      </w:r>
      <w:r>
        <w:t xml:space="preserve">, que fragmenta menos o texto e reduz</w:t>
      </w:r>
      <w:r>
        <w:t xml:space="preserve"> </w:t>
      </w:r>
      <w:r>
        <w:rPr>
          <w:iCs/>
          <w:i/>
        </w:rPr>
        <w:t xml:space="preserve">bits</w:t>
      </w:r>
      <w:r>
        <w:t xml:space="preserve"> </w:t>
      </w:r>
      <w:r>
        <w:t xml:space="preserve">por</w:t>
      </w:r>
      <w:r>
        <w:t xml:space="preserve"> </w:t>
      </w:r>
      <w:r>
        <w:rPr>
          <w:iCs/>
          <w:i/>
        </w:rPr>
        <w:t xml:space="preserve">byte</w:t>
      </w:r>
      <w:r>
        <w:t xml:space="preserve"> </w:t>
      </w:r>
      <w:r>
        <w:t xml:space="preserve">quase mecanicamente. Segunda, o BPB mede</w:t>
      </w:r>
      <w:r>
        <w:t xml:space="preserve"> </w:t>
      </w:r>
      <w:r>
        <w:rPr>
          <w:bCs/>
          <w:b/>
        </w:rPr>
        <w:t xml:space="preserve">compressão, não adequação à tarefa</w:t>
      </w:r>
      <w:r>
        <w:t xml:space="preserve">: solicitado a gerar uma história a partir do mesmo</w:t>
      </w:r>
      <w:r>
        <w:t xml:space="preserve"> </w:t>
      </w:r>
      <w:r>
        <w:rPr>
          <w:iCs/>
          <w:i/>
        </w:rPr>
        <w:t xml:space="preserve">prompt</w:t>
      </w:r>
      <w:r>
        <w:t xml:space="preserve">, o GPT-2 ignora o gênero e entra em laço incoerente (</w:t>
      </w:r>
      <w:r>
        <w:t xml:space="preserve">“</w:t>
      </w:r>
      <w:r>
        <w:rPr>
          <w:iCs/>
          <w:i/>
        </w:rPr>
        <w:t xml:space="preserve">…the evil human mind of the evil human mind…</w:t>
      </w:r>
      <w:r>
        <w:t xml:space="preserve">”</w:t>
      </w:r>
      <w:r>
        <w:t xml:space="preserve">), enquanto o especialista de 1,8 milhão produz narrativa no estilo correto. Terceira, o especialista fica a cerca de 31 % do BPB do GPT-2 tendo visto aproximadamente cinco mil vezes menos dados, e gera texto cerca de onze vezes mais rápido em CPU.</w:t>
      </w:r>
    </w:p>
    <w:bookmarkEnd w:id="62"/>
    <w:bookmarkEnd w:id="63"/>
    <w:bookmarkStart w:id="64" w:name="discussão"/>
    <w:p>
      <w:pPr>
        <w:pStyle w:val="Heading1"/>
      </w:pPr>
      <w:r>
        <w:t xml:space="preserve">5 Discussão</w:t>
      </w:r>
    </w:p>
    <w:p>
      <w:pPr>
        <w:pStyle w:val="FirstParagraph"/>
      </w:pPr>
      <w:r>
        <w:t xml:space="preserve">A ablação da Seção 4.3 sustenta a hipótese formulada na Seção 2.8: em regime de capacidade severamente limitada, a complexidade estatística do corpus é a alavanca dominante, respondendo por 84 % da variação observada contra 16 % do volume de dados. A afirmação que o estudo de corpora isolado permitiria —</w:t>
      </w:r>
      <w:r>
        <w:t xml:space="preserve"> </w:t>
      </w:r>
      <w:r>
        <w:t xml:space="preserve">“</w:t>
      </w:r>
      <w:r>
        <w:t xml:space="preserve">trocar de corpus melhorou o resultado</w:t>
      </w:r>
      <w:r>
        <w:t xml:space="preserve">”</w:t>
      </w:r>
      <w:r>
        <w:t xml:space="preserve"> </w:t>
      </w:r>
      <w:r>
        <w:t xml:space="preserve">— é fraca, porque compatível com a explicação de escala. A afirmação que a ablação permite é substantivamente diferente, porque o fator concorrente foi mantido constante por construção.</w:t>
      </w:r>
    </w:p>
    <w:p>
      <w:pPr>
        <w:pStyle w:val="BodyText"/>
      </w:pPr>
      <w:r>
        <w:t xml:space="preserve">Esse resultado não contradiz a literatura de escalonamento; delimita seu domínio de aplicação. Hoffmann et al. (2022) caracterizam a fronteira eficiente tomando a distribuição dos dados como dada, e Cunha (2026), operando com modelos de 24 a 117 vezes a capacidade do usado aqui, encontra o volume como gargalo — um modelo de 43 milhões superando um de 211 milhões sobre o mesmo corpus. Os dois achados são consistentes se lidos como pontos distintos da mesma superfície: onde a capacidade é suficiente para que o termo</w:t>
      </w:r>
      <w:r>
        <w:t xml:space="preserve"> </w:t>
      </w:r>
      <m:oMath>
        <m:sSub>
          <m:e>
            <m:r>
              <m:t>D</m:t>
            </m:r>
          </m:e>
          <m:sub>
            <m:r>
              <m:rPr>
                <m:sty m:val="p"/>
              </m:rPr>
              <m:t>K</m:t>
            </m:r>
            <m:r>
              <m:rPr>
                <m:sty m:val="p"/>
              </m:rPr>
              <m:t>L</m:t>
            </m:r>
          </m:sub>
        </m:sSub>
      </m:oMath>
      <w:r>
        <w:t xml:space="preserve"> </w:t>
      </w:r>
      <w:r>
        <w:t xml:space="preserve">esteja próximo do que os dados permitem, mais dados é o que resta a fazer; onde a capacidade é o fator escasso, reduzir a complexidade do alvo rende mais que aumentá-la. Qual das duas leituras se aplica é uma questão empírica sobre a posição do sistema, não uma escolha de doutrina — e a consequência prática para quem tem pouco</w:t>
      </w:r>
      <w:r>
        <w:t xml:space="preserve"> </w:t>
      </w:r>
      <w:r>
        <w:rPr>
          <w:iCs/>
          <w:i/>
        </w:rPr>
        <w:t xml:space="preserve">compute</w:t>
      </w:r>
      <w:r>
        <w:t xml:space="preserve"> </w:t>
      </w:r>
      <w:r>
        <w:t xml:space="preserve">é que curar dados é mais barato que consegui-los ou processá-los.</w:t>
      </w:r>
    </w:p>
    <w:p>
      <w:pPr>
        <w:pStyle w:val="BodyText"/>
      </w:pPr>
      <w:r>
        <w:t xml:space="preserve">A introdução de</w:t>
      </w:r>
      <w:r>
        <w:t xml:space="preserve"> </w:t>
      </w:r>
      <m:oMath>
        <m:sSub>
          <m:e>
            <m:r>
              <m:t>H</m:t>
            </m:r>
          </m:e>
          <m:sub>
            <m:r>
              <m:t>2</m:t>
            </m:r>
          </m:sub>
        </m:sSub>
      </m:oMath>
      <w:r>
        <w:t xml:space="preserve"> </w:t>
      </w:r>
      <w:r>
        <w:t xml:space="preserve">como referência de avaliação foi metodologicamente mais produtiva que o piso trivial. A margem sobre um contador de bigramas revelou algo que a perda absoluta oculta: nos corpora técnicos, o modelo de 1,8 milhão de parâmetros mal supera coocorrência local (0,18 e 0,32</w:t>
      </w:r>
      <w:r>
        <w:t xml:space="preserve"> </w:t>
      </w:r>
      <w:r>
        <w:rPr>
          <w:iCs/>
          <w:i/>
        </w:rPr>
        <w:t xml:space="preserve">nat</w:t>
      </w:r>
      <w:r>
        <w:t xml:space="preserve">), o que explica a incoerência da geração de forma mecanicista, e não por analogia. Uma perda de 3,087 parece razoável contra um piso de 8,32; contra um piso de 3,269, revela-se quase vazia. A escolha da régua muda a conclusão, e a régua frouxa é a que a prática costuma adotar.</w:t>
      </w:r>
    </w:p>
    <w:p>
      <w:pPr>
        <w:pStyle w:val="BodyText"/>
      </w:pPr>
      <w:r>
        <w:t xml:space="preserve">A curadoria de dados confirmou-se como decisão de primeira ordem. A constatação de que 28 % do corpus de física era marcação, e de que sua remoção eliminou um modo de falha concreto, ilustra que a qualidade dos dados condiciona o comportamento do modelo tanto quanto a arquitetura — observação transferível a qualquer projeto de aprendizado de máquina.</w:t>
      </w:r>
    </w:p>
    <w:p>
      <w:pPr>
        <w:pStyle w:val="BodyText"/>
      </w:pPr>
      <w:r>
        <w:t xml:space="preserve">Quanto à avaliação comparativa, a escolha do BPB em lugar da</w:t>
      </w:r>
      <w:r>
        <w:t xml:space="preserve"> </w:t>
      </w:r>
      <w:r>
        <w:rPr>
          <w:iCs/>
          <w:i/>
        </w:rPr>
        <w:t xml:space="preserve">perplexity</w:t>
      </w:r>
      <w:r>
        <w:t xml:space="preserve"> </w:t>
      </w:r>
      <w:r>
        <w:t xml:space="preserve">é o que torna legítima a comparação entre tokenizadores distintos, e a distinção entre compressão e adequação à tarefa evita a conclusão simplista de que o modelo de menor BPB é o melhor. Um especialista pequeno treinado em domínio produz saída utilizável naquele domínio a uma fração do custo de um generalista grande — compromisso relevante para implantação sob restrição de recursos.</w:t>
      </w:r>
    </w:p>
    <w:p>
      <w:pPr>
        <w:pStyle w:val="BodyText"/>
      </w:pPr>
      <w:r>
        <w:t xml:space="preserve">Reconhecem-se limitações. O desenho experimental cobre um único ponto de capacidade (1,8 milhão de parâmetros); a decomposição 84/16 não deve ser extrapolada para outras escalas sem medição, e o esperado é justamente que a fração atribuível ao volume cresça com a capacidade. A execução de controle não foi levada à convergência, o que torna o efeito da entropia uma estimativa conservadora, mas também impede afirmar o valor exato. A manipulação de entropia foi feita por troca de domínio, e não por controle direto de uma variável de complexidade, de modo que efeitos correlacionados ao domínio — comprimento de sentença, repetição de estruturas narrativas — não estão separados uns dos outros. A comparação com o GPT-2 é</w:t>
      </w:r>
      <w:r>
        <w:t xml:space="preserve"> </w:t>
      </w:r>
      <w:r>
        <w:rPr>
          <w:iCs/>
          <w:i/>
        </w:rPr>
        <w:t xml:space="preserve">zero-shot</w:t>
      </w:r>
      <w:r>
        <w:t xml:space="preserve">; um ajuste fino no TinyStories forneceria um segundo ponto de referência mais informativo. Finalmente, os corpora são pequenos e o treino em CPU, o que impede reproduzir números de</w:t>
      </w:r>
      <w:r>
        <w:t xml:space="preserve"> </w:t>
      </w:r>
      <w:r>
        <w:rPr>
          <w:iCs/>
          <w:i/>
        </w:rPr>
        <w:t xml:space="preserve">benchmarks</w:t>
      </w:r>
      <w:r>
        <w:t xml:space="preserve"> </w:t>
      </w:r>
      <w:r>
        <w:t xml:space="preserve">padronizados.</w:t>
      </w:r>
    </w:p>
    <w:bookmarkEnd w:id="64"/>
    <w:bookmarkStart w:id="65" w:name="conclusão"/>
    <w:p>
      <w:pPr>
        <w:pStyle w:val="Heading1"/>
      </w:pPr>
      <w:r>
        <w:t xml:space="preserve">6 Conclusão</w:t>
      </w:r>
    </w:p>
    <w:p>
      <w:pPr>
        <w:pStyle w:val="FirstParagraph"/>
      </w:pPr>
      <w:r>
        <w:t xml:space="preserve">Este trabalho apresentou o TucanoCE, uma reimplementação verificável de um modelo de linguagem autoregressivo que parte do GPT-2, adota as modernizações do padrão LLaMA e é treinável em hardware de consumo, validada por 78 testes de invariância organizados por propriedade verificada em vez de por módulo.</w:t>
      </w:r>
    </w:p>
    <w:p>
      <w:pPr>
        <w:pStyle w:val="BodyText"/>
      </w:pPr>
      <w:r>
        <w:t xml:space="preserve">A contribuição principal é experimental. Formulou-se, a partir da decomposição da entropia cruzada em entropia irredutível do corpus mais divergência de Kullback-Leibler, a hipótese de que em regime de baixa capacidade a complexidade estatística do texto domina seu volume; caracterizou-se essa complexidade por quatro proxies mensuráveis; e testou-se a hipótese por ablação, com o volume de dados mantido fixo por construção. Com 415.878</w:t>
      </w:r>
      <w:r>
        <w:t xml:space="preserve"> </w:t>
      </w:r>
      <w:r>
        <w:rPr>
          <w:iCs/>
          <w:i/>
        </w:rPr>
        <w:t xml:space="preserve">tokens</w:t>
      </w:r>
      <w:r>
        <w:t xml:space="preserve"> </w:t>
      </w:r>
      <w:r>
        <w:t xml:space="preserve">em ambas as condições, trocar prosa técnica por texto de baixa entropia reduziu a perda de validação de 3,087 para 1,823</w:t>
      </w:r>
      <w:r>
        <w:t xml:space="preserve"> </w:t>
      </w:r>
      <w:r>
        <w:rPr>
          <w:iCs/>
          <w:i/>
        </w:rPr>
        <w:t xml:space="preserve">nats</w:t>
      </w:r>
      <w:r>
        <w:t xml:space="preserve">/</w:t>
      </w:r>
      <w:r>
        <w:rPr>
          <w:iCs/>
          <w:i/>
        </w:rPr>
        <w:t xml:space="preserve">token</w:t>
      </w:r>
      <w:r>
        <w:t xml:space="preserve"> </w:t>
      </w:r>
      <w:r>
        <w:t xml:space="preserve">— 84 % do efeito total observado —, enquanto multiplicar os dados por sete acrescentou 0,237, ou 16 %. A adoção de</w:t>
      </w:r>
      <w:r>
        <w:t xml:space="preserve"> </w:t>
      </w:r>
      <m:oMath>
        <m:sSub>
          <m:e>
            <m:r>
              <m:t>H</m:t>
            </m:r>
          </m:e>
          <m:sub>
            <m:r>
              <m:t>2</m:t>
            </m:r>
          </m:sub>
        </m:sSub>
      </m:oMath>
      <w:r>
        <w:t xml:space="preserve">, a perda de um contador de bigramas, como referência de avaliação mostrou que nos corpora técnicos o modelo mal supera coocorrência local, explicando a incoerência da geração de forma mecanicista.</w:t>
      </w:r>
    </w:p>
    <w:p>
      <w:pPr>
        <w:pStyle w:val="BodyText"/>
      </w:pPr>
      <w:r>
        <w:t xml:space="preserve">A implicação prática para engenharia sob restrição de recursos é direta: antes de buscar mais dados ou mais capacidade, vale medir a complexidade do corpus e questionar se ela é compatível com o modelo disponível. É a intervenção mais barata das três, e neste regime foi a mais eficaz.</w:t>
      </w:r>
    </w:p>
    <w:p>
      <w:pPr>
        <w:pStyle w:val="BodyText"/>
      </w:pPr>
      <w:r>
        <w:t xml:space="preserve">Os trabalhos futuros ordenam-se pelas limitações declaradas: repetir a ablação em dois ou três pontos de capacidade, para estimar como a fração atribuível ao volume varia com a escala; levar a execução de controle à convergência; manipular complexidade dentro de um mesmo domínio, de modo a separá-la de efeitos correlacionados; treinar os</w:t>
      </w:r>
      <w:r>
        <w:t xml:space="preserve"> </w:t>
      </w:r>
      <w:r>
        <w:rPr>
          <w:iCs/>
          <w:i/>
        </w:rPr>
        <w:t xml:space="preserve">presets</w:t>
      </w:r>
      <w:r>
        <w:t xml:space="preserve"> </w:t>
      </w:r>
      <w:r>
        <w:t xml:space="preserve">maiores em GPU, tendo Cunha (2026) como referência de comparação; e, além do pré-treino, o ajuste fino supervisionado com LoRA para conversão do modelo base em assistente.</w:t>
      </w:r>
    </w:p>
    <w:bookmarkEnd w:id="65"/>
    <w:bookmarkStart w:id="66" w:name="referências"/>
    <w:p>
      <w:pPr>
        <w:pStyle w:val="Heading1"/>
      </w:pPr>
      <w:r>
        <w:t xml:space="preserve">Referências</w:t>
      </w:r>
    </w:p>
    <w:p>
      <w:pPr>
        <w:pStyle w:val="FirstParagraph"/>
      </w:pPr>
      <w:r>
        <w:t xml:space="preserve">CUNHA, Pedro Henrique dos Santos.</w:t>
      </w:r>
      <w:r>
        <w:t xml:space="preserve"> </w:t>
      </w:r>
      <w:r>
        <w:rPr>
          <w:bCs/>
          <w:b/>
        </w:rPr>
        <w:t xml:space="preserve">Gepeto-2: construção educacional de um modelo de linguagem estilo LLaMA em GPU de consumo</w:t>
      </w:r>
      <w:r>
        <w:t xml:space="preserve">. 2026. Trabalho não publicado.</w:t>
      </w:r>
    </w:p>
    <w:p>
      <w:pPr>
        <w:pStyle w:val="BodyText"/>
      </w:pPr>
      <w:r>
        <w:t xml:space="preserve">DAUPHIN, Y. et al. Language modeling with gated convolutional networks. In:</w:t>
      </w:r>
      <w:r>
        <w:t xml:space="preserve"> </w:t>
      </w:r>
      <w:r>
        <w:rPr>
          <w:bCs/>
          <w:b/>
        </w:rPr>
        <w:t xml:space="preserve">Proceedings of the 34th International Conference on Machine Learning (ICML)</w:t>
      </w:r>
      <w:r>
        <w:t xml:space="preserve">, 2017.</w:t>
      </w:r>
    </w:p>
    <w:p>
      <w:pPr>
        <w:pStyle w:val="BodyText"/>
      </w:pPr>
      <w:r>
        <w:t xml:space="preserve">ELDAN, R.; LI, Y.</w:t>
      </w:r>
      <w:r>
        <w:t xml:space="preserve"> </w:t>
      </w:r>
      <w:r>
        <w:rPr>
          <w:bCs/>
          <w:b/>
        </w:rPr>
        <w:t xml:space="preserve">TinyStories: how small can language models be and still speak coherent English?</w:t>
      </w:r>
      <w:r>
        <w:t xml:space="preserve"> </w:t>
      </w:r>
      <w:r>
        <w:t xml:space="preserve">arXiv:2305.07759, 2023.</w:t>
      </w:r>
    </w:p>
    <w:p>
      <w:pPr>
        <w:pStyle w:val="BodyText"/>
      </w:pPr>
      <w:r>
        <w:t xml:space="preserve">HENDRYCKS, D.; GIMPEL, K.</w:t>
      </w:r>
      <w:r>
        <w:t xml:space="preserve"> </w:t>
      </w:r>
      <w:r>
        <w:rPr>
          <w:bCs/>
          <w:b/>
        </w:rPr>
        <w:t xml:space="preserve">Gaussian error linear units (GELUs)</w:t>
      </w:r>
      <w:r>
        <w:t xml:space="preserve">. arXiv:1606.08415, 2016.</w:t>
      </w:r>
    </w:p>
    <w:p>
      <w:pPr>
        <w:pStyle w:val="BodyText"/>
      </w:pPr>
      <w:r>
        <w:t xml:space="preserve">HOFFMANN, J. et al. </w:t>
      </w:r>
      <w:r>
        <w:rPr>
          <w:bCs/>
          <w:b/>
        </w:rPr>
        <w:t xml:space="preserve">Training compute-optimal large language models</w:t>
      </w:r>
      <w:r>
        <w:t xml:space="preserve">. arXiv:2203.15556, 2022.</w:t>
      </w:r>
    </w:p>
    <w:p>
      <w:pPr>
        <w:pStyle w:val="BodyText"/>
      </w:pPr>
      <w:r>
        <w:t xml:space="preserve">LOSHCHILOV, I.; HUTTER, F.</w:t>
      </w:r>
      <w:r>
        <w:t xml:space="preserve"> </w:t>
      </w:r>
      <w:r>
        <w:rPr>
          <w:bCs/>
          <w:b/>
        </w:rPr>
        <w:t xml:space="preserve">SGDR: stochastic gradient descent with warm restarts</w:t>
      </w:r>
      <w:r>
        <w:t xml:space="preserve">. In: International Conference on Learning Representations (ICLR), 2017.</w:t>
      </w:r>
    </w:p>
    <w:p>
      <w:pPr>
        <w:pStyle w:val="BodyText"/>
      </w:pPr>
      <w:r>
        <w:t xml:space="preserve">LOSHCHILOV, I.; HUTTER, F.</w:t>
      </w:r>
      <w:r>
        <w:t xml:space="preserve"> </w:t>
      </w:r>
      <w:r>
        <w:rPr>
          <w:bCs/>
          <w:b/>
        </w:rPr>
        <w:t xml:space="preserve">Decoupled weight decay regularization</w:t>
      </w:r>
      <w:r>
        <w:t xml:space="preserve">. In: International Conference on Learning Representations (ICLR), 2019.</w:t>
      </w:r>
    </w:p>
    <w:p>
      <w:pPr>
        <w:pStyle w:val="BodyText"/>
      </w:pPr>
      <w:r>
        <w:t xml:space="preserve">PASCANU, R.; MIKOLOV, T.; BENGIO, Y. On the difficulty of training recurrent neural networks. In:</w:t>
      </w:r>
      <w:r>
        <w:t xml:space="preserve"> </w:t>
      </w:r>
      <w:r>
        <w:rPr>
          <w:bCs/>
          <w:b/>
        </w:rPr>
        <w:t xml:space="preserve">Proceedings of the 30th International Conference on Machine Learning (ICML)</w:t>
      </w:r>
      <w:r>
        <w:t xml:space="preserve">, 2013.</w:t>
      </w:r>
    </w:p>
    <w:p>
      <w:pPr>
        <w:pStyle w:val="BodyText"/>
      </w:pPr>
      <w:r>
        <w:t xml:space="preserve">RADFORD, A. et al. </w:t>
      </w:r>
      <w:r>
        <w:rPr>
          <w:bCs/>
          <w:b/>
        </w:rPr>
        <w:t xml:space="preserve">Language models are unsupervised multitask learners</w:t>
      </w:r>
      <w:r>
        <w:t xml:space="preserve">. OpenAI Technical Report, 2019.</w:t>
      </w:r>
    </w:p>
    <w:p>
      <w:pPr>
        <w:pStyle w:val="BodyText"/>
      </w:pPr>
      <w:r>
        <w:t xml:space="preserve">SENNRICH, R.; HADDOW, B.; BIRCH, A. Neural machine translation of rare words with subword units. In:</w:t>
      </w:r>
      <w:r>
        <w:t xml:space="preserve"> </w:t>
      </w:r>
      <w:r>
        <w:rPr>
          <w:bCs/>
          <w:b/>
        </w:rPr>
        <w:t xml:space="preserve">Proceedings of the 54th Annual Meeting of the Association for Computational Linguistics (ACL)</w:t>
      </w:r>
      <w:r>
        <w:t xml:space="preserve">, 2016.</w:t>
      </w:r>
    </w:p>
    <w:p>
      <w:pPr>
        <w:pStyle w:val="BodyText"/>
      </w:pPr>
      <w:r>
        <w:t xml:space="preserve">SHAZEER, N.</w:t>
      </w:r>
      <w:r>
        <w:t xml:space="preserve"> </w:t>
      </w:r>
      <w:r>
        <w:rPr>
          <w:bCs/>
          <w:b/>
        </w:rPr>
        <w:t xml:space="preserve">GLU variants improve Transformer</w:t>
      </w:r>
      <w:r>
        <w:t xml:space="preserve">. arXiv:2002.05202, 2020.</w:t>
      </w:r>
    </w:p>
    <w:p>
      <w:pPr>
        <w:pStyle w:val="BodyText"/>
      </w:pPr>
      <w:r>
        <w:t xml:space="preserve">SU, J. et al. </w:t>
      </w:r>
      <w:r>
        <w:rPr>
          <w:bCs/>
          <w:b/>
        </w:rPr>
        <w:t xml:space="preserve">RoFormer: enhanced Transformer with rotary position embedding</w:t>
      </w:r>
      <w:r>
        <w:t xml:space="preserve">. arXiv:2104.09864, 2021.</w:t>
      </w:r>
    </w:p>
    <w:p>
      <w:pPr>
        <w:pStyle w:val="BodyText"/>
      </w:pPr>
      <w:r>
        <w:t xml:space="preserve">TOUVRON, H. et al. </w:t>
      </w:r>
      <w:r>
        <w:rPr>
          <w:bCs/>
          <w:b/>
        </w:rPr>
        <w:t xml:space="preserve">LLaMA: open and efficient foundation language models</w:t>
      </w:r>
      <w:r>
        <w:t xml:space="preserve">. arXiv:2302.13971, 2023.</w:t>
      </w:r>
    </w:p>
    <w:p>
      <w:pPr>
        <w:pStyle w:val="BodyText"/>
      </w:pPr>
      <w:r>
        <w:t xml:space="preserve">VASWANI, A. et al. Attention is all you need. In:</w:t>
      </w:r>
      <w:r>
        <w:t xml:space="preserve"> </w:t>
      </w:r>
      <w:r>
        <w:rPr>
          <w:bCs/>
          <w:b/>
        </w:rPr>
        <w:t xml:space="preserve">Advances in Neural Information Processing Systems (NeurIPS)</w:t>
      </w:r>
      <w:r>
        <w:t xml:space="preserve">, 2017.</w:t>
      </w:r>
    </w:p>
    <w:p>
      <w:pPr>
        <w:pStyle w:val="BodyText"/>
      </w:pPr>
      <w:r>
        <w:t xml:space="preserve">ZHANG, B.; SENNRICH, R. Root mean square layer normalization. In:</w:t>
      </w:r>
      <w:r>
        <w:t xml:space="preserve"> </w:t>
      </w:r>
      <w:r>
        <w:rPr>
          <w:bCs/>
          <w:b/>
        </w:rPr>
        <w:t xml:space="preserve">Advances in Neural Information Processing Systems (NeurIPS)</w:t>
      </w:r>
      <w:r>
        <w:t xml:space="preserve">, 2019.</w:t>
      </w:r>
    </w:p>
    <w:bookmarkEnd w:id="66"/>
    <w:sectPr>
      <w:pgMar w:bottom="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proofState w:grammar="clean" w:spelling="clean"/>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jc w:val="both"/>
    </w:pPr>
    <w:rPr>
      <w:rFonts w:ascii="Times New Roman" w:cs="Times New Roman" w:hAnsi="Times New Roman"/>
      <w:sz w:val="24"/>
    </w:rPr>
  </w:style>
  <w:style w:styleId="BodyText" w:type="paragraph">
    <w:name w:val="Body Text"/>
    <w:basedOn w:val="Normal"/>
    <w:link w:val="BodyTextChar"/>
    <w:pPr>
      <w:spacing w:after="120" w:before="0" w:line="360" w:lineRule="auto"/>
      <w:ind w:firstLine="709"/>
      <w:jc w:val="both"/>
    </w:pPr>
    <w:qFormat/>
    <w:rPr>
      <w:rFonts w:ascii="Times New Roman" w:cs="Times New Roman" w:hAnsi="Times New Roman"/>
      <w:sz w:val="24"/>
    </w:rPr>
  </w:style>
  <w:style w:customStyle="1" w:styleId="FirstParagraph" w:type="paragraph">
    <w:name w:val="First Paragraph"/>
    <w:basedOn w:val="BodyText"/>
    <w:next w:val="BodyText"/>
    <w:qFormat/>
    <w:pPr>
      <w:spacing w:after="120" w:before="0" w:line="360" w:lineRule="auto"/>
      <w:ind w:firstLine="709"/>
      <w:jc w:val="both"/>
    </w:pPr>
    <w:rPr>
      <w:rFonts w:ascii="Times New Roman" w:cs="Times New Roman" w:hAnsi="Times New Roman"/>
      <w:sz w:val="24"/>
    </w:rPr>
  </w:style>
  <w:style w:customStyle="1" w:styleId="Compact" w:type="paragraph">
    <w:name w:val="Compact"/>
    <w:basedOn w:val="BodyText"/>
    <w:qFormat/>
    <w:pPr>
      <w:spacing w:after="0" w:before="0" w:line="360" w:lineRule="auto"/>
    </w:pPr>
    <w:rPr>
      <w:rFonts w:ascii="Times New Roman" w:cs="Times New Roman" w:hAnsi="Times New Roman"/>
      <w:sz w:val="24"/>
    </w:rPr>
  </w:style>
  <w:style w:styleId="Title" w:type="paragraph">
    <w:name w:val="Title"/>
    <w:basedOn w:val="Normal"/>
    <w:next w:val="BodyText"/>
    <w:qFormat/>
    <w:pPr>
      <w:keepNext/>
      <w:keepLines/>
      <w:spacing w:after="240" w:before="0" w:line="36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28"/>
      <w:szCs w:val="36"/>
    </w:rPr>
  </w:style>
  <w:style w:styleId="Subtitle" w:type="paragraph">
    <w:name w:val="Subtitle"/>
    <w:basedOn w:val="Title"/>
    <w:next w:val="BodyText"/>
    <w:qFormat/>
    <w:pPr>
      <w:keepNext/>
      <w:keepLines/>
      <w:spacing w:after="120" w:before="240"/>
      <w:jc w:val="center"/>
    </w:pPr>
    <w:rPr>
      <w:rFonts w:ascii="Times New Roman" w:cs="Times New Roman" w:hAnsi="Times New Roman"/>
      <w:b w:val="0"/>
      <w:sz w:val="24"/>
      <w:szCs w:val="30"/>
    </w:rPr>
  </w:style>
  <w:style w:customStyle="1" w:styleId="Author" w:type="paragraph">
    <w:name w:val="Author"/>
    <w:next w:val="BodyText"/>
    <w:qFormat/>
    <w:pPr>
      <w:keepNext/>
      <w:keepLines/>
      <w:spacing w:after="0" w:line="360" w:lineRule="auto"/>
      <w:jc w:val="center"/>
    </w:pPr>
    <w:rPr>
      <w:rFonts w:ascii="Times New Roman" w:cs="Times New Roman" w:hAnsi="Times New Roman"/>
      <w:sz w:val="24"/>
    </w:rPr>
  </w:style>
  <w:style w:styleId="Date" w:type="paragraph">
    <w:name w:val="Date"/>
    <w:next w:val="BodyText"/>
    <w:qFormat/>
    <w:pPr>
      <w:keepNext/>
      <w:keepLines/>
      <w:spacing w:after="0" w:line="360" w:lineRule="auto"/>
      <w:jc w:val="center"/>
    </w:pPr>
    <w:rPr>
      <w:rFonts w:ascii="Times New Roman" w:cs="Times New Roman" w:hAnsi="Times New Roman"/>
      <w:sz w:val="24"/>
    </w:rPr>
  </w:style>
  <w:style w:customStyle="1" w:styleId="Abstract" w:type="paragraph">
    <w:name w:val="Abstract"/>
    <w:basedOn w:val="Normal"/>
    <w:next w:val="BodyText"/>
    <w:qFormat/>
    <w:pPr>
      <w:keepNext/>
      <w:keepLines/>
      <w:spacing w:after="120" w:before="120" w:line="360" w:lineRule="auto"/>
      <w:ind w:firstLine="0"/>
      <w:jc w:val="both"/>
    </w:pPr>
    <w:rPr>
      <w:rFonts w:ascii="Times New Roman" w:cs="Times New Roman" w:hAnsi="Times New Roman"/>
      <w:sz w:val="24"/>
      <w:szCs w:val="20"/>
    </w:rPr>
  </w:style>
  <w:style w:styleId="Bibliography" w:type="paragraph">
    <w:name w:val="Bibliography"/>
    <w:basedOn w:val="Normal"/>
    <w:next w:val="Bibliography"/>
    <w:qFormat/>
    <w:pPr>
      <w:spacing w:after="120" w:line="360" w:lineRule="auto"/>
      <w:ind w:firstLine="0"/>
      <w:jc w:val="both"/>
    </w:pPr>
    <w:rPr>
      <w:rFonts w:ascii="Times New Roman" w:cs="Times New Roman" w:hAnsi="Times New Roman"/>
      <w:sz w:val="24"/>
    </w:rPr>
  </w:style>
  <w:style w:styleId="Heading1" w:type="paragraph">
    <w:name w:val="Heading 1"/>
    <w:basedOn w:val="Normal"/>
    <w:next w:val="BodyText"/>
    <w:uiPriority w:val="9"/>
    <w:qFormat/>
    <w:pPr>
      <w:keepNext/>
      <w:keepLines/>
      <w:spacing w:after="120" w:before="360" w:line="360" w:lineRule="auto"/>
      <w:ind w:firstLine="0"/>
      <w:jc w:val="left"/>
      <w:outlineLvl w:val="0"/>
    </w:pPr>
    <w:rPr>
      <w:rFonts w:ascii="Times New Roman" w:asciiTheme="majorHAnsi" w:cs="Times New Roman" w:cstheme="majorBidi"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120" w:before="240" w:line="360" w:lineRule="auto"/>
      <w:ind w:firstLine="0"/>
      <w:jc w:val="left"/>
      <w:outlineLvl w:val="1"/>
    </w:pPr>
    <w:rPr>
      <w:rFonts w:ascii="Times New Roman" w:asciiTheme="majorHAnsi" w:cs="Times New Roman" w:cstheme="majorBidi"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120" w:before="240" w:line="360" w:lineRule="auto"/>
      <w:ind w:firstLine="0"/>
      <w:jc w:val="left"/>
      <w:outlineLvl w:val="2"/>
    </w:pPr>
    <w:rPr>
      <w:rFonts w:ascii="Times New Roman" w:asciiTheme="majorHAnsi" w:cs="Times New Roman" w:cstheme="majorBidi"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40" w:before="40" w:line="240" w:lineRule="auto"/>
      <w:ind w:firstLine="0"/>
      <w:jc w:val="center"/>
    </w:pPr>
    <w:rPr>
      <w:rFonts w:ascii="Times New Roman" w:cs="Times New Roman" w:hAnsi="Times New Roman"/>
      <w:i/>
      <w:sz w:val="20"/>
    </w:rPr>
  </w:style>
  <w:style w:customStyle="1" w:styleId="TableCaption" w:type="paragraph">
    <w:name w:val="Table Caption"/>
    <w:basedOn w:val="Caption"/>
    <w:pPr>
      <w:keepNext/>
      <w:spacing w:after="40" w:before="40" w:line="240" w:lineRule="auto"/>
      <w:ind w:firstLine="0"/>
      <w:jc w:val="center"/>
    </w:pPr>
    <w:rPr>
      <w:rFonts w:ascii="Times New Roman" w:cs="Times New Roman" w:hAnsi="Times New Roman"/>
      <w:sz w:val="20"/>
    </w:rPr>
  </w:style>
  <w:style w:customStyle="1" w:styleId="ImageCaption" w:type="paragraph">
    <w:name w:val="Image Caption"/>
    <w:basedOn w:val="Caption"/>
    <w:pPr>
      <w:spacing w:after="40" w:before="40" w:line="240" w:lineRule="auto"/>
      <w:ind w:firstLine="0"/>
      <w:jc w:val="center"/>
    </w:pPr>
    <w:rPr>
      <w:rFonts w:ascii="Times New Roman" w:cs="Times New Roman" w:hAnsi="Times New Roman"/>
      <w:sz w:val="20"/>
    </w:rPr>
  </w:style>
  <w:style w:customStyle="1" w:styleId="Figure" w:type="paragraph">
    <w:name w:val="Figure"/>
    <w:basedOn w:val="Normal"/>
    <w:pPr>
      <w:spacing w:after="40" w:before="40" w:line="240" w:lineRule="auto"/>
      <w:ind w:firstLine="0"/>
      <w:jc w:val="center"/>
    </w:pPr>
    <w:rPr>
      <w:rFonts w:ascii="Times New Roman" w:cs="Times New Roman" w:hAnsi="Times New Roman"/>
      <w:sz w:val="20"/>
    </w:rPr>
  </w:style>
  <w:style w:customStyle="1" w:styleId="CaptionedFigure" w:type="paragraph">
    <w:name w:val="Captioned Figure"/>
    <w:basedOn w:val="Figure"/>
    <w:pPr>
      <w:keepNext/>
      <w:spacing w:after="40" w:before="40" w:line="240" w:lineRule="auto"/>
      <w:ind w:firstLine="0"/>
      <w:jc w:val="center"/>
    </w:pPr>
    <w:rPr>
      <w:rFonts w:ascii="Times New Roman" w:cs="Times New Roman" w:hAnsi="Times New Roman"/>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59" Target="media/rId59.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24" Target="media/rId24.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0" Target="media/rId30.png" /><Relationship Type="http://schemas.openxmlformats.org/officeDocument/2006/relationships/image" Id="rId31" Target="media/rId3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6" Target="media/rId36.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56" Target="media/rId56.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2026-08-03T16:42:45Z</dcterms:created>
  <dcterms:modified xsi:type="dcterms:W3CDTF">2026-08-03T16:42:45Z</dcterms:modified>
</cp:coreProperties>
</file>

<file path=docProps/custom.xml><?xml version="1.0" encoding="utf-8"?>
<Properties xmlns="http://schemas.openxmlformats.org/officeDocument/2006/custom-properties" xmlns:vt="http://schemas.openxmlformats.org/officeDocument/2006/docPropsVTypes"/>
</file>