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5.png" ContentType="image/png"/>
  <Override PartName="/word/media/rId26.png" ContentType="image/png"/>
  <Override PartName="/word/media/rId28.png" ContentType="image/png"/>
  <Override PartName="/word/media/rId29.png" ContentType="image/png"/>
  <Override PartName="/word/media/rId44.png" ContentType="image/png"/>
  <Override PartName="/word/media/rId31.png" ContentType="image/png"/>
  <Override PartName="/word/media/rId32.png" ContentType="image/png"/>
  <Override PartName="/word/media/rId35.png" ContentType="image/png"/>
  <Override PartName="/word/media/rId36.png" ContentType="image/png"/>
  <Override PartName="/word/media/rId38.png" ContentType="image/png"/>
  <Override PartName="/word/media/rId46.png" ContentType="image/png"/>
  <Override PartName="/word/media/rId48.png" ContentType="image/png"/>
  <Override PartName="/word/media/rId55.png" ContentType="image/png"/>
  <Override PartName="/word/media/rId53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TucanoCE:</w:t>
      </w:r>
      <w:r>
        <w:t xml:space="preserve"> </w:t>
      </w:r>
      <w:r>
        <w:t xml:space="preserve">Reimplementação</w:t>
      </w:r>
      <w:r>
        <w:t xml:space="preserve"> </w:t>
      </w:r>
      <w:r>
        <w:t xml:space="preserve">Didática</w:t>
      </w:r>
      <w:r>
        <w:t xml:space="preserve"> </w:t>
      </w:r>
      <w:r>
        <w:t xml:space="preserve">de</w:t>
      </w:r>
      <w:r>
        <w:t xml:space="preserve"> </w:t>
      </w:r>
      <w:r>
        <w:t xml:space="preserve">um</w:t>
      </w:r>
      <w:r>
        <w:t xml:space="preserve"> </w:t>
      </w:r>
      <w:r>
        <w:t xml:space="preserve">Modelo</w:t>
      </w:r>
      <w:r>
        <w:t xml:space="preserve"> </w:t>
      </w:r>
      <w:r>
        <w:t xml:space="preserve">de</w:t>
      </w:r>
      <w:r>
        <w:t xml:space="preserve"> </w:t>
      </w:r>
      <w:r>
        <w:t xml:space="preserve">Linguagem</w:t>
      </w:r>
      <w:r>
        <w:t xml:space="preserve"> </w:t>
      </w:r>
      <w:r>
        <w:t xml:space="preserve">Autoregressivo</w:t>
      </w:r>
      <w:r>
        <w:t xml:space="preserve"> </w:t>
      </w:r>
      <w:r>
        <w:t xml:space="preserve">com</w:t>
      </w:r>
      <w:r>
        <w:t xml:space="preserve"> </w:t>
      </w:r>
      <w:r>
        <w:t xml:space="preserve">Modernizações</w:t>
      </w:r>
      <w:r>
        <w:t xml:space="preserve"> </w:t>
      </w:r>
      <w:r>
        <w:t xml:space="preserve">do</w:t>
      </w:r>
      <w:r>
        <w:t xml:space="preserve"> </w:t>
      </w:r>
      <w:r>
        <w:t xml:space="preserve">LLaMA</w:t>
      </w:r>
      <w:r>
        <w:t xml:space="preserve"> </w:t>
      </w:r>
      <w:r>
        <w:t xml:space="preserve">sob</w:t>
      </w:r>
      <w:r>
        <w:t xml:space="preserve"> </w:t>
      </w:r>
      <w:r>
        <w:t xml:space="preserve">Restrição</w:t>
      </w:r>
      <w:r>
        <w:t xml:space="preserve"> </w:t>
      </w:r>
      <w:r>
        <w:t xml:space="preserve">de</w:t>
      </w:r>
      <w:r>
        <w:t xml:space="preserve"> </w:t>
      </w:r>
      <w:r>
        <w:t xml:space="preserve">Hardware</w:t>
      </w:r>
      <w:r>
        <w:t xml:space="preserve"> </w:t>
      </w:r>
      <w:r>
        <w:t xml:space="preserve">de</w:t>
      </w:r>
      <w:r>
        <w:t xml:space="preserve"> </w:t>
      </w:r>
      <w:r>
        <w:t xml:space="preserve">Consumo</w:t>
      </w:r>
    </w:p>
    <w:p>
      <w:pPr>
        <w:pStyle w:val="Author"/>
      </w:pPr>
      <w:r>
        <w:t xml:space="preserve">Renan</w:t>
      </w:r>
      <w:r>
        <w:t xml:space="preserve"> </w:t>
      </w:r>
      <w:r>
        <w:t xml:space="preserve">Saraiva</w:t>
      </w:r>
      <w:r>
        <w:t xml:space="preserve"> </w:t>
      </w:r>
      <w:r>
        <w:t xml:space="preserve">(Prysmo)</w:t>
      </w:r>
    </w:p>
    <w:p>
      <w:pPr>
        <w:pStyle w:val="Date"/>
      </w:pPr>
      <w:r>
        <w:t xml:space="preserve">24</w:t>
      </w:r>
      <w:r>
        <w:t xml:space="preserve"> </w:t>
      </w:r>
      <w:r>
        <w:t xml:space="preserve">de</w:t>
      </w:r>
      <w:r>
        <w:t xml:space="preserve"> </w:t>
      </w:r>
      <w:r>
        <w:t xml:space="preserve">julho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A construção de modelos de linguagem de larga escala é frequentemente tratada como uma caixa-preta acessível apenas a laboratórios com infraestrutura de treinamento massiva. Este trabalho descreve o</w:t>
      </w:r>
      <w:r>
        <w:t xml:space="preserve"> </w:t>
      </w:r>
      <w:r>
        <w:rPr>
          <w:bCs/>
          <w:b/>
        </w:rPr>
        <w:t xml:space="preserve">TucanoCE</w:t>
      </w:r>
      <w:r>
        <w:t xml:space="preserve">, uma reimplementação didática, do zero e componente a componente, de um modelo de linguagem autoregressivo</w:t>
      </w:r>
      <w:r>
        <w:t xml:space="preserve"> </w:t>
      </w:r>
      <w:r>
        <w:rPr>
          <w:iCs/>
          <w:i/>
        </w:rPr>
        <w:t xml:space="preserve">decoder-only</w:t>
      </w:r>
      <w:r>
        <w:t xml:space="preserve">, que parte da arquitetura do GPT-2 e a moderniza para o padrão introduzido pela família LLaMA — normalização por RMSNorm, ativação SwiGLU, codificação posicional rotacional (RoPE) e cache de chaves/valores (KV-cache). O objetivo não é competir em desempenho absoluto, mas expor cada decisão de arquitetura de forma verificável e reprodutível em uma única GPU de consumo. A metodologia combina uma camada educacional de oito</w:t>
      </w:r>
      <w:r>
        <w:t xml:space="preserve"> </w:t>
      </w:r>
      <w:r>
        <w:rPr>
          <w:iCs/>
          <w:i/>
        </w:rPr>
        <w:t xml:space="preserve">notebooks</w:t>
      </w:r>
      <w:r>
        <w:t xml:space="preserve"> </w:t>
      </w:r>
      <w:r>
        <w:t xml:space="preserve">que derivam cada peça em PyTorch com um pacote de produção organizado por estágio de</w:t>
      </w:r>
      <w:r>
        <w:t xml:space="preserve"> </w:t>
      </w:r>
      <w:r>
        <w:rPr>
          <w:iCs/>
          <w:i/>
        </w:rPr>
        <w:t xml:space="preserve">pipeline</w:t>
      </w:r>
      <w:r>
        <w:t xml:space="preserve">, validado por 78 testes de invariância. Um estudo controlado treinou o mesmo modelo de 1,8 milhão de parâmetros sobre três corpora de entropias distintas (física de partículas,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 </w:t>
      </w:r>
      <w:r>
        <w:t xml:space="preserve">e o TinyStories), evidenciando que</w:t>
      </w:r>
      <w:r>
        <w:t xml:space="preserve"> </w:t>
      </w:r>
      <w:r>
        <w:rPr>
          <w:bCs/>
          <w:b/>
        </w:rPr>
        <w:t xml:space="preserve">casar a entropia do corpus com a capacidade do modelo</w:t>
      </w:r>
      <w:r>
        <w:t xml:space="preserve"> </w:t>
      </w:r>
      <w:r>
        <w:t xml:space="preserve">é determinante: a perda de validação caiu de 3,09 para 1,59</w:t>
      </w:r>
      <w:r>
        <w:t xml:space="preserve"> </w:t>
      </w:r>
      <w:r>
        <w:rPr>
          <w:iCs/>
          <w:i/>
        </w:rPr>
        <w:t xml:space="preserve">nats</w:t>
      </w:r>
      <w:r>
        <w:t xml:space="preserve">/</w:t>
      </w:r>
      <w:r>
        <w:rPr>
          <w:iCs/>
          <w:i/>
        </w:rPr>
        <w:t xml:space="preserve">token</w:t>
      </w:r>
      <w:r>
        <w:t xml:space="preserve"> </w:t>
      </w:r>
      <w:r>
        <w:t xml:space="preserve">apenas ao trocar o domínio para texto simples, sem alterar o modelo. Por fim, um</w:t>
      </w:r>
      <w:r>
        <w:t xml:space="preserve"> </w:t>
      </w:r>
      <w:r>
        <w:rPr>
          <w:iCs/>
          <w:i/>
        </w:rPr>
        <w:t xml:space="preserve">benchmark</w:t>
      </w:r>
      <w:r>
        <w:t xml:space="preserve"> </w:t>
      </w:r>
      <w:r>
        <w:t xml:space="preserve">honesto, em bits por byte, comparou o modelo especialista ao GPT-2 (124 M,</w:t>
      </w:r>
      <w:r>
        <w:t xml:space="preserve"> </w:t>
      </w:r>
      <w:r>
        <w:rPr>
          <w:iCs/>
          <w:i/>
        </w:rPr>
        <w:t xml:space="preserve">zero-shot</w:t>
      </w:r>
      <w:r>
        <w:t xml:space="preserve">) sobre histórias inéditas, discutindo o compromisso entre capacidade de compressão e adequação à tarefa. Conclui-se que a reimplementação transparente é um caminho eficaz para o aprendizado arquitetural e para a internalização de princípios de escalonamento e de adequação de dados que orientam decisões de engenharia em sistemas reais.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modelos de linguagem;</w:t>
      </w:r>
      <w:r>
        <w:t xml:space="preserve"> </w:t>
      </w:r>
      <w:r>
        <w:rPr>
          <w:iCs/>
          <w:i/>
        </w:rPr>
        <w:t xml:space="preserve">Transformer</w:t>
      </w:r>
      <w:r>
        <w:t xml:space="preserve">; LLaMA; leis de escalonamento; entropia de dados; reprodutibilidade.</w:t>
      </w:r>
    </w:p>
    <w:bookmarkEnd w:id="20"/>
    <w:bookmarkStart w:id="21" w:name="introdução"/>
    <w:p>
      <w:pPr>
        <w:pStyle w:val="Heading1"/>
      </w:pPr>
      <w:r>
        <w:t xml:space="preserve">1 Introdução</w:t>
      </w:r>
    </w:p>
    <w:p>
      <w:pPr>
        <w:pStyle w:val="FirstParagraph"/>
      </w:pPr>
      <w:r>
        <w:t xml:space="preserve">Os modelos de linguagem baseados na arquitetura</w:t>
      </w:r>
      <w:r>
        <w:t xml:space="preserve"> </w:t>
      </w:r>
      <w:r>
        <w:rPr>
          <w:iCs/>
          <w:i/>
        </w:rPr>
        <w:t xml:space="preserve">Transformer</w:t>
      </w:r>
      <w:r>
        <w:t xml:space="preserve"> </w:t>
      </w:r>
      <w:r>
        <w:t xml:space="preserve">tornaram-se o substrato dominante para tarefas de processamento de linguagem natural desde a introdução do mecanismo de atenção (VASWANI et al., 2017) e sua aplicação em geração autoregressiva pelo GPT-2 (RADFORD et al., 2019). A evolução subsequente da arquitetura, consolidada pela família LLaMA (TOUVRON et al., 2023), substituiu componentes clássicos por variantes mais estáveis e eficientes, estabelecendo um padrão de fato para modelos treinados a partir de recursos limitados.</w:t>
      </w:r>
    </w:p>
    <w:p>
      <w:pPr>
        <w:pStyle w:val="BodyText"/>
      </w:pPr>
      <w:r>
        <w:t xml:space="preserve">Apesar da ampla disponibilidade de bibliotecas de alto nível, persiste uma lacuna pedagógica entre utilizar um modelo pré-treinado e compreender, em nível de implementação, por que cada componente arquitetural existe e quais compromissos ele resolve. Essa opacidade dificulta a formação de profissionais capazes de tomar decisões arquiteturais fundamentadas, em oposição à mera reutilização de configurações herdadas.</w:t>
      </w:r>
    </w:p>
    <w:p>
      <w:pPr>
        <w:pStyle w:val="BodyText"/>
      </w:pPr>
      <w:r>
        <w:t xml:space="preserve">Embora existam diversos tutoriais que reconstroem</w:t>
      </w:r>
      <w:r>
        <w:t xml:space="preserve"> </w:t>
      </w:r>
      <w:r>
        <w:rPr>
          <w:iCs/>
          <w:i/>
        </w:rPr>
        <w:t xml:space="preserve">Transformers</w:t>
      </w:r>
      <w:r>
        <w:t xml:space="preserve">, a maioria detém-se na arquitetura GPT-2 original ou omite a ponte explícita entre a matemática de cada componente, seu código executável e os princípios que governam a qualidade final do modelo. Poucos materiais integram, em um único fluxo reprodutível, a modernização para o padrão LLaMA, a engenharia do</w:t>
      </w:r>
      <w:r>
        <w:t xml:space="preserve"> </w:t>
      </w:r>
      <w:r>
        <w:rPr>
          <w:iCs/>
          <w:i/>
        </w:rPr>
        <w:t xml:space="preserve">pipeline</w:t>
      </w:r>
      <w:r>
        <w:t xml:space="preserve"> </w:t>
      </w:r>
      <w:r>
        <w:t xml:space="preserve">de dados e a verificação empírica das leis de escalonamento e de adequação de dados sob restrição de hardware.</w:t>
      </w:r>
    </w:p>
    <w:p>
      <w:pPr>
        <w:pStyle w:val="BodyText"/>
      </w:pPr>
      <w:r>
        <w:t xml:space="preserve">Diante dessa lacuna, este trabalho propõe o TucanoCE, uma reimplementação didática e verificável de um modelo de linguagem autoregressivo que parte do GPT-2, moderniza-o para o padrão LLaMA e é treinável em uma GPU de consumo (NVIDIA RTX 5070, 12 GB). O objetivo é triplo: derivar cada componente de forma transparente, do fundamento matemático ao código de produção; demonstrar empiricamente como a adequação entre a entropia do corpus e a capacidade do modelo governa a qualidade em regime pequeno; e situar o modelo resultante frente a uma referência estabelecida (GPT-2) por meio de uma métrica justa.</w:t>
      </w:r>
    </w:p>
    <w:bookmarkEnd w:id="21"/>
    <w:bookmarkStart w:id="42" w:name="fundamentação-teórica"/>
    <w:p>
      <w:pPr>
        <w:pStyle w:val="Heading1"/>
      </w:pPr>
      <w:r>
        <w:t xml:space="preserve">2 Fundamentação Teórica</w:t>
      </w:r>
    </w:p>
    <w:bookmarkStart w:id="24" w:name="X526a294c81f340842439ac58a75df30ea15039e"/>
    <w:p>
      <w:pPr>
        <w:pStyle w:val="Heading2"/>
      </w:pPr>
      <w:r>
        <w:t xml:space="preserve">2.1 Modelo autoregressivo, embeddings e atenção</w:t>
      </w:r>
    </w:p>
    <w:p>
      <w:pPr>
        <w:pStyle w:val="FirstParagraph"/>
      </w:pPr>
      <w:r>
        <w:t xml:space="preserve">Um modelo de linguagem autoregressivo resolve uma única tarefa: dado um prefixo de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 atribuir uma distribuição de probabilidade sobre o próximo</w:t>
      </w:r>
      <w:r>
        <w:t xml:space="preserve"> </w:t>
      </w:r>
      <w:r>
        <w:rPr>
          <w:iCs/>
          <w:i/>
        </w:rPr>
        <w:t xml:space="preserve">token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geração de texto é o laço que amostra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dessa distribuição, concatena-o ao prefixo e repete. Cada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é mapeado a um vetor de dimensão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sua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— por uma tabela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V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na qual</w:t>
      </w:r>
      <w:r>
        <w:t xml:space="preserve"> </w:t>
      </w:r>
      <w:r>
        <w:rPr>
          <w:bCs/>
          <w:b/>
        </w:rPr>
        <w:t xml:space="preserve">direções</w:t>
      </w:r>
      <w:r>
        <w:t xml:space="preserve"> </w:t>
      </w:r>
      <w:r>
        <w:t xml:space="preserve">carregam significado. A ferramenta que mede o alinhamento entre direções é o produto interno,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⋅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"/>
          </m:rPr>
          <m:t>u</m:t>
        </m:r>
        <m:r>
          <m:rPr>
            <m:sty m:val="p"/>
          </m:rPr>
          <m:t>∥</m:t>
        </m:r>
        <m:r>
          <m:t> </m:t>
        </m:r>
        <m:r>
          <m:rPr>
            <m:sty m:val="p"/>
          </m:rPr>
          <m:t>∥</m:t>
        </m:r>
        <m:r>
          <m:rPr>
            <m:sty m:val="b"/>
          </m:rPr>
          <m:t>v</m:t>
        </m:r>
        <m:r>
          <m:rPr>
            <m:sty m:val="p"/>
          </m:rPr>
          <m:t>∥</m:t>
        </m:r>
        <m:r>
          <m:rPr>
            <m:nor/>
            <m:sty m:val="p"/>
          </m:rPr>
          <m:t>cos</m:t>
        </m:r>
        <m:r>
          <m:t>θ</m:t>
        </m:r>
      </m:oMath>
      <w:r>
        <w:t xml:space="preserve">, operação que a arquitetura precisa que predomine em sua computação interna.</w:t>
      </w:r>
    </w:p>
    <w:p>
      <w:pPr>
        <w:pStyle w:val="BodyText"/>
      </w:pPr>
      <w:r>
        <w:t xml:space="preserve">O mecanismo de atenção calcula a saída de cada posição como uma média ponderada das entradas de todas as posições,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t</m:t>
            </m:r>
            <m:r>
              <m:rPr>
                <m:sty m:val="p"/>
              </m:rPr>
              <m:t>′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r>
          <m:t> </m:t>
        </m:r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  <m:r>
              <m:rPr>
                <m:sty m:val="p"/>
              </m:rPr>
              <m:t>′</m:t>
            </m:r>
          </m:sub>
        </m:sSub>
      </m:oMath>
      <w:r>
        <w:t xml:space="preserve">, com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t</m:t>
            </m:r>
            <m:r>
              <m:rPr>
                <m:sty m:val="p"/>
              </m:rPr>
              <m:t>′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 A matriz de pesos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é gerada a partir da própria sequência, projetando cada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por matrizes aprendidas de</w:t>
      </w:r>
      <w:r>
        <w:t xml:space="preserve"> </w:t>
      </w:r>
      <w:r>
        <w:rPr>
          <w:iCs/>
          <w:i/>
        </w:rPr>
        <w:t xml:space="preserve">query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key</w:t>
      </w:r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rPr>
                <m:sty m:val="b"/>
              </m:rP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 cujo alinhamento normalizado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′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softmax</m:t>
              </m:r>
            </m:e>
            <m:sub>
              <m:r>
                <m:t>t</m:t>
              </m:r>
              <m:r>
                <m:rPr>
                  <m:sty m:val="p"/>
                </m:rPr>
                <m:t>′</m:t>
              </m:r>
            </m:sub>
          </m:sSub>
          <m:r>
            <m:t>​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"/>
                        </m:rPr>
                        <m:t>q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k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ra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divisão por</w:t>
      </w:r>
      <w:r>
        <w:t xml:space="preserve"> </w:t>
      </w:r>
      <m:oMath>
        <m:rad>
          <m:radPr>
            <m:degHide m:val="1"/>
          </m:radPr>
          <m:deg/>
          <m:e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e>
        </m:rad>
      </m:oMath>
      <w:r>
        <w:t xml:space="preserve"> </w:t>
      </w:r>
      <w:r>
        <w:t xml:space="preserve">estabiliza a variância do produto interno antes do</w:t>
      </w:r>
      <w:r>
        <w:t xml:space="preserve"> </w:t>
      </w:r>
      <w:r>
        <w:rPr>
          <w:iCs/>
          <w:i/>
        </w:rPr>
        <w:t xml:space="preserve">softmax</w:t>
      </w:r>
      <w:r>
        <w:t xml:space="preserve">. Uma terceira projeção produz o</w:t>
      </w:r>
      <w:r>
        <w:t xml:space="preserve"> </w:t>
      </w:r>
      <w:r>
        <w:rPr>
          <w:iCs/>
          <w:i/>
        </w:rPr>
        <w:t xml:space="preserve">value</w:t>
      </w:r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t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  <m:r>
              <m:rPr>
                <m:sty m:val="p"/>
              </m:rPr>
              <m:t>′</m:t>
            </m:r>
          </m:sub>
        </m:sSub>
        <m:sSub>
          <m:e>
            <m:r>
              <m:t>W</m:t>
            </m:r>
          </m:e>
          <m:sub>
            <m:r>
              <m:t>V</m:t>
            </m:r>
          </m:sub>
        </m:sSub>
      </m:oMath>
      <w:r>
        <w:t xml:space="preserve">, e a atualização de cada posição é</w:t>
      </w:r>
      <w:r>
        <w:t xml:space="preserve"> </w:t>
      </w:r>
      <m:oMath>
        <m:r>
          <m:t>Δ</m:t>
        </m:r>
        <m:sSub>
          <m:e>
            <m:r>
              <m:rPr>
                <m:sty m:val="b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>t</m:t>
            </m:r>
            <m:r>
              <m:rPr>
                <m:sty m:val="p"/>
              </m:rPr>
              <m:t>′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′</m:t>
                </m:r>
              </m:sub>
            </m:sSub>
          </m:e>
        </m:nary>
        <m:r>
          <m:t> </m:t>
        </m:r>
        <m:sSub>
          <m:e>
            <m:r>
              <m:rPr>
                <m:sty m:val="b"/>
              </m:rPr>
              <m:t>v</m:t>
            </m:r>
          </m:e>
          <m:sub>
            <m:r>
              <m:t>t</m:t>
            </m:r>
            <m:r>
              <m:rPr>
                <m:sty m:val="p"/>
              </m:rPr>
              <m:t>′</m:t>
            </m:r>
          </m:sub>
        </m:sSub>
      </m:oMath>
      <w:r>
        <w:t xml:space="preserve">, isto é,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por cabeça.</w:t>
      </w:r>
    </w:p>
    <w:p>
      <w:pPr>
        <w:pStyle w:val="BodyText"/>
      </w:pPr>
      <w:r>
        <w:t xml:space="preserve">Como o modelo é autoregressivo, a posição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não pode atender a posições futuras</w:t>
      </w:r>
      <w:r>
        <w:t xml:space="preserve">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t</m:t>
        </m:r>
      </m:oMath>
      <w:r>
        <w:t xml:space="preserve">, sob pena de vazar a resposta durante o treino. A máscara causal soma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às entradas futuras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</w:t>
      </w:r>
      <w:r>
        <w:t xml:space="preserve"> </w:t>
      </w:r>
      <w:r>
        <w:rPr>
          <w:iCs/>
          <w:i/>
        </w:rPr>
        <w:t xml:space="preserve">softmax</w:t>
      </w:r>
      <w:r>
        <w:t xml:space="preserve">: como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essas entradas anulam-se sem quebrar a normalização das linhas. A Figura 1 contrasta a matriz de atenção sem e com a máscara causal.</w:t>
      </w:r>
    </w:p>
    <w:p>
      <w:pPr>
        <w:pStyle w:val="CaptionedFigure"/>
      </w:pPr>
      <w:r>
        <w:drawing>
          <wp:inline>
            <wp:extent cx="5334000" cy="2248929"/>
            <wp:effectExtent b="0" l="0" r="0" t="0"/>
            <wp:docPr descr="Figura 1 – Matriz de atenção A sem máscara (esquerda) e com máscara causal (direita). No caso causal, o triângulo superior é anulado: a query t só enxerga keys t'\le t, e cada linha continua somando 1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1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8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– Matriz de atenção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sem máscara (esquerda) e com máscara causal (direita). No caso causal, o triângulo superior é anulado: a</w:t>
      </w:r>
      <w:r>
        <w:t xml:space="preserve"> </w:t>
      </w:r>
      <w:r>
        <w:rPr>
          <w:iCs/>
          <w:i/>
        </w:rPr>
        <w:t xml:space="preserve">query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só enxerga</w:t>
      </w:r>
      <w:r>
        <w:t xml:space="preserve"> </w:t>
      </w:r>
      <w:r>
        <w:rPr>
          <w:iCs/>
          <w:i/>
        </w:rPr>
        <w:t xml:space="preserve">keys</w:t>
      </w:r>
      <w:r>
        <w:t xml:space="preserve"> </w:t>
      </w:r>
      <m:oMath>
        <m:r>
          <m:t>t</m:t>
        </m:r>
        <m:r>
          <m:rPr>
            <m:sty m:val="p"/>
          </m:rPr>
          <m:t>′</m:t>
        </m:r>
        <m:r>
          <m:rPr>
            <m:sty m:val="p"/>
          </m:rPr>
          <m:t>≤</m:t>
        </m:r>
        <m:r>
          <m:t>t</m:t>
        </m:r>
      </m:oMath>
      <w:r>
        <w:t xml:space="preserve">, e cada linha continua somando 1. Fonte: elaborada pelo autor a partir dos notebooks do projeto (2026).</w:t>
      </w:r>
    </w:p>
    <w:p>
      <w:pPr>
        <w:pStyle w:val="BodyText"/>
      </w:pPr>
      <w:r>
        <w:t xml:space="preserve">Para permitir que o modelo capture múltiplos padrões relacionais em paralelo, executam-se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cabeças independentes, cujas saídas são concatenadas e projetadas por</w:t>
      </w:r>
      <w:r>
        <w:t xml:space="preserve"> </w:t>
      </w:r>
      <m:oMath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MHSA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Concat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head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head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r>
              <m:t>W</m:t>
            </m:r>
          </m:e>
          <m:sub>
            <m:r>
              <m:t>O</m:t>
            </m:r>
          </m:sub>
        </m:sSub>
      </m:oMath>
      <w:r>
        <w:t xml:space="preserve">. Após os blocos, uma matriz de</w:t>
      </w:r>
      <w:r>
        <w:t xml:space="preserve"> </w:t>
      </w:r>
      <w:r>
        <w:rPr>
          <w:iCs/>
          <w:i/>
        </w:rPr>
        <w:t xml:space="preserve">unembedding</w:t>
      </w:r>
      <w:r>
        <w:t xml:space="preserve"> </w:t>
      </w:r>
      <w:r>
        <w:t xml:space="preserve">mapeia a representação final aos</w:t>
      </w:r>
      <w:r>
        <w:t xml:space="preserve"> </w:t>
      </w:r>
      <w:r>
        <w:rPr>
          <w:iCs/>
          <w:i/>
        </w:rPr>
        <w:t xml:space="preserve">logits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, convertidos em probabilidade por um</w:t>
      </w:r>
      <w:r>
        <w:t xml:space="preserve"> </w:t>
      </w:r>
      <w:r>
        <w:rPr>
          <w:iCs/>
          <w:i/>
        </w:rPr>
        <w:t xml:space="preserve">softmax</w:t>
      </w:r>
      <w:r>
        <w:t xml:space="preserve"> </w:t>
      </w:r>
      <w:r>
        <w:t xml:space="preserve">com temperatura</w:t>
      </w:r>
      <w:r>
        <w:t xml:space="preserve"> </w:t>
      </w:r>
      <m:oMath>
        <m:r>
          <m:t>τ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 ilustra a Figura 2, valores baixos de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concentram a massa no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mais provável (texto determinístico), enquanto valores altos achatam a distribuição (mais diversidade, maior risco de incoerência).</w:t>
      </w:r>
    </w:p>
    <w:p>
      <w:pPr>
        <w:pStyle w:val="CaptionedFigure"/>
      </w:pPr>
      <w:r>
        <w:drawing>
          <wp:inline>
            <wp:extent cx="5334000" cy="1557586"/>
            <wp:effectExtent b="0" l="0" r="0" t="0"/>
            <wp:docPr descr="Figura 2 – A mesma distribuição de logits sob três temperaturas. \tau=0{,}2 concentra quase toda a massa no token mais provável; \tau=3{,}0 aproxima-se da uniforme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1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– A mesma distribuição de</w:t>
      </w:r>
      <w:r>
        <w:t xml:space="preserve"> </w:t>
      </w:r>
      <w:r>
        <w:rPr>
          <w:iCs/>
          <w:i/>
        </w:rPr>
        <w:t xml:space="preserve">logits</w:t>
      </w:r>
      <w:r>
        <w:t xml:space="preserve"> </w:t>
      </w:r>
      <w:r>
        <w:t xml:space="preserve">sob três temperaturas.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concentra quase toda a massa no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mais provável;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aproxima-se da uniforme. Fonte: elaborada pelo autor a partir dos notebooks do projeto (2026).</w:t>
      </w:r>
    </w:p>
    <w:bookmarkEnd w:id="24"/>
    <w:bookmarkStart w:id="27" w:name="tokenização-por-byte-pair-encoding"/>
    <w:p>
      <w:pPr>
        <w:pStyle w:val="Heading2"/>
      </w:pPr>
      <w:r>
        <w:t xml:space="preserve">2.2 Tokenização por</w:t>
      </w:r>
      <w:r>
        <w:t xml:space="preserve"> </w:t>
      </w:r>
      <w:r>
        <w:rPr>
          <w:iCs/>
          <w:i/>
        </w:rPr>
        <w:t xml:space="preserve">Byte-Pair Encoding</w:t>
      </w:r>
    </w:p>
    <w:p>
      <w:pPr>
        <w:pStyle w:val="FirstParagraph"/>
      </w:pPr>
      <w:r>
        <w:t xml:space="preserve">Antes de atingir a</w:t>
      </w:r>
      <w:r>
        <w:t xml:space="preserve"> </w:t>
      </w:r>
      <w:r>
        <w:rPr>
          <w:iCs/>
          <w:i/>
        </w:rPr>
        <w:t xml:space="preserve">embedding</w:t>
      </w:r>
      <w:r>
        <w:t xml:space="preserve">, o texto é segmentado em</w:t>
      </w:r>
      <w:r>
        <w:t xml:space="preserve"> </w:t>
      </w:r>
      <w:r>
        <w:rPr>
          <w:iCs/>
          <w:i/>
        </w:rPr>
        <w:t xml:space="preserve">tokens</w:t>
      </w:r>
      <w:r>
        <w:t xml:space="preserve">. O TucanoCE emprega</w:t>
      </w:r>
      <w:r>
        <w:t xml:space="preserve"> </w:t>
      </w:r>
      <w:r>
        <w:rPr>
          <w:iCs/>
          <w:i/>
        </w:rPr>
        <w:t xml:space="preserve">Byte-Pair Encoding</w:t>
      </w:r>
      <w:r>
        <w:t xml:space="preserve"> </w:t>
      </w:r>
      <w:r>
        <w:t xml:space="preserve">(BPE) em nível de</w:t>
      </w:r>
      <w:r>
        <w:t xml:space="preserve"> </w:t>
      </w:r>
      <w:r>
        <w:rPr>
          <w:iCs/>
          <w:i/>
        </w:rPr>
        <w:t xml:space="preserve">byte</w:t>
      </w:r>
      <w:r>
        <w:t xml:space="preserve">, que parte dos 256</w:t>
      </w:r>
      <w:r>
        <w:t xml:space="preserve"> </w:t>
      </w:r>
      <w:r>
        <w:rPr>
          <w:iCs/>
          <w:i/>
        </w:rPr>
        <w:t xml:space="preserve">bytes</w:t>
      </w:r>
      <w:r>
        <w:t xml:space="preserve"> </w:t>
      </w:r>
      <w:r>
        <w:t xml:space="preserve">possíveis e funde iterativamente o par de símbolos adjacentes mais frequente, formando um vocabulário de subpalavras. A compressão — medida em</w:t>
      </w:r>
      <w:r>
        <w:t xml:space="preserve"> </w:t>
      </w:r>
      <w:r>
        <w:rPr>
          <w:iCs/>
          <w:i/>
        </w:rPr>
        <w:t xml:space="preserve">bytes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— cresce com o número de fusões aplicadas e satura, ao passo que palavras frequentes tendem a ocupar um único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e palavras raras se fragmentam (Figura 3).</w:t>
      </w:r>
    </w:p>
    <w:p>
      <w:pPr>
        <w:pStyle w:val="CaptionedFigure"/>
      </w:pPr>
      <w:r>
        <w:drawing>
          <wp:inline>
            <wp:extent cx="5334000" cy="1910247"/>
            <wp:effectExtent b="0" l="0" r="0" t="0"/>
            <wp:docPr descr="Figura 3 – À esquerda, a razão de compressão (bytes/token) cresce e satura com o número de fusões BPE aplicadas. À direita, palavras frequentes ocupam um token, enquanto termos raros se fragmentam em vários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2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– À esquerda, a razão de compressão (</w:t>
      </w:r>
      <w:r>
        <w:rPr>
          <w:iCs/>
          <w:i/>
        </w:rPr>
        <w:t xml:space="preserve">bytes</w:t>
      </w:r>
      <w:r>
        <w:t xml:space="preserve">/</w:t>
      </w:r>
      <w:r>
        <w:rPr>
          <w:iCs/>
          <w:i/>
        </w:rPr>
        <w:t xml:space="preserve">token</w:t>
      </w:r>
      <w:r>
        <w:t xml:space="preserve">) cresce e satura com o número de fusões BPE aplicadas. À direita, palavras frequentes ocupam um</w:t>
      </w:r>
      <w:r>
        <w:t xml:space="preserve"> </w:t>
      </w:r>
      <w:r>
        <w:rPr>
          <w:iCs/>
          <w:i/>
        </w:rPr>
        <w:t xml:space="preserve">token</w:t>
      </w:r>
      <w:r>
        <w:t xml:space="preserve">, enquanto termos raros se fragmentam em vários. Fonte: elaborada pelo autor a partir dos notebooks do projeto (2026).</w:t>
      </w:r>
    </w:p>
    <w:p>
      <w:pPr>
        <w:pStyle w:val="BodyText"/>
      </w:pPr>
      <w:r>
        <w:t xml:space="preserve">A escolha do tamanho de vocabulário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é uma decisão de custo: a tabela de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tem</w:t>
      </w:r>
      <w:r>
        <w:t xml:space="preserve"> </w:t>
      </w:r>
      <m:oMath>
        <m:r>
          <m:t>V</m:t>
        </m:r>
        <m:r>
          <m:rPr>
            <m:sty m:val="p"/>
          </m:rPr>
          <m:t>⋅</m:t>
        </m:r>
        <m:r>
          <m:t>d</m:t>
        </m:r>
      </m:oMath>
      <w:r>
        <w:t xml:space="preserve"> </w:t>
      </w:r>
      <w:r>
        <w:t xml:space="preserve">parâmetros, de modo que um vocabulário grande consome fração expressiva de um modelo pequeno. Por isso adotou-se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nos experimentos, deliberadamente compacto para corpora reduzidos (Figura 4).</w:t>
      </w:r>
    </w:p>
    <w:p>
      <w:pPr>
        <w:pStyle w:val="CaptionedFigure"/>
      </w:pPr>
      <w:r>
        <w:drawing>
          <wp:inline>
            <wp:extent cx="4319999" cy="2855593"/>
            <wp:effectExtent b="0" l="0" r="0" t="0"/>
            <wp:docPr descr="Figura 4 – Custo da tabela de embedding (V\cdot d) como percentual dos parâmetros de um modelo de 43 M (d=512), em função de V. Vocabulários compactos mantêm o custo controlado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2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5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– Custo da tabela de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(</w:t>
      </w:r>
      <m:oMath>
        <m:r>
          <m:t>V</m:t>
        </m:r>
        <m:r>
          <m:rPr>
            <m:sty m:val="p"/>
          </m:rPr>
          <m:t>⋅</m:t>
        </m:r>
        <m:r>
          <m:t>d</m:t>
        </m:r>
      </m:oMath>
      <w:r>
        <w:t xml:space="preserve">) como percentual dos parâmetros de um modelo de 43 M (</w:t>
      </w:r>
      <m:oMath>
        <m:r>
          <m:t>d</m:t>
        </m:r>
        <m:r>
          <m:rPr>
            <m:sty m:val="p"/>
          </m:rPr>
          <m:t>=</m:t>
        </m:r>
        <m:r>
          <m:t>512</m:t>
        </m:r>
      </m:oMath>
      <w:r>
        <w:t xml:space="preserve">), em função de</w:t>
      </w:r>
      <w:r>
        <w:t xml:space="preserve"> </w:t>
      </w:r>
      <m:oMath>
        <m:r>
          <m:t>V</m:t>
        </m:r>
      </m:oMath>
      <w:r>
        <w:t xml:space="preserve">. Vocabulários compactos mantêm o custo controlado. Fonte: elaborada pelo autor a partir dos notebooks do projeto (2026).</w:t>
      </w:r>
    </w:p>
    <w:bookmarkEnd w:id="27"/>
    <w:bookmarkStart w:id="30" w:name="arquitetura-decoder-only-base"/>
    <w:p>
      <w:pPr>
        <w:pStyle w:val="Heading2"/>
      </w:pPr>
      <w:r>
        <w:t xml:space="preserve">2.3 Arquitetura</w:t>
      </w:r>
      <w:r>
        <w:t xml:space="preserve"> </w:t>
      </w:r>
      <w:r>
        <w:rPr>
          <w:iCs/>
          <w:i/>
        </w:rPr>
        <w:t xml:space="preserve">decoder-only</w:t>
      </w:r>
      <w:r>
        <w:t xml:space="preserve"> </w:t>
      </w:r>
      <w:r>
        <w:t xml:space="preserve">base</w:t>
      </w:r>
    </w:p>
    <w:p>
      <w:pPr>
        <w:pStyle w:val="FirstParagraph"/>
      </w:pPr>
      <w:r>
        <w:t xml:space="preserve">A arquitetura base é fiel ao GPT-2. Dado um lote de identificadores de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B</m:t>
            </m:r>
            <m:r>
              <m:rPr>
                <m:sty m:val="p"/>
              </m:rPr>
              <m:t>×</m:t>
            </m:r>
            <m:r>
              <m:t>T</m:t>
            </m:r>
          </m:sup>
        </m:sSup>
      </m:oMath>
      <w:r>
        <w:t xml:space="preserve">, o</w:t>
      </w:r>
      <w:r>
        <w:t xml:space="preserve"> </w:t>
      </w:r>
      <w:r>
        <w:rPr>
          <w:iCs/>
          <w:i/>
        </w:rPr>
        <w:t xml:space="preserve">forward</w:t>
      </w:r>
      <w:r>
        <w:t xml:space="preserve"> </w:t>
      </w:r>
      <w:r>
        <w:t xml:space="preserve">é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Embed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PosEmbed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Attn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Norm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nor/>
                        <m:sty m:val="p"/>
                      </m:rPr>
                      <m:t>MLP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nor/>
                    <m:sty m:val="p"/>
                  </m:rPr>
                  <m:t>Norm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nor/>
                    <m:sty m:val="p"/>
                  </m:rPr>
                  <m:t>logits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Norm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e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Duas decisões de projeto merecem destaque. A primeira é o posicionamento da normalização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estágio (</w:t>
      </w:r>
      <w:r>
        <w:rPr>
          <w:iCs/>
          <w:i/>
        </w:rPr>
        <w:t xml:space="preserve">pre-norm</w:t>
      </w:r>
      <w:r>
        <w:t xml:space="preserve">),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rPr>
            <m:nor/>
            <m:sty m:val="p"/>
          </m:rPr>
          <m:t>Attn</m:t>
        </m:r>
        <m:r>
          <m:rPr>
            <m:sty m:val="p"/>
          </m:rPr>
          <m:t>(</m:t>
        </m:r>
        <m:r>
          <m:rPr>
            <m:nor/>
            <m:sty m:val="p"/>
          </m:rPr>
          <m:t>Norm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em vez de depois da soma (</w:t>
      </w:r>
      <w:r>
        <w:rPr>
          <w:iCs/>
          <w:i/>
        </w:rPr>
        <w:t xml:space="preserve">post-norm</w:t>
      </w:r>
      <w:r>
        <w:t xml:space="preserve">). No</w:t>
      </w:r>
      <w:r>
        <w:t xml:space="preserve"> </w:t>
      </w:r>
      <w:r>
        <w:rPr>
          <w:iCs/>
          <w:i/>
        </w:rPr>
        <w:t xml:space="preserve">pre-norm</w:t>
      </w:r>
      <w:r>
        <w:t xml:space="preserve"> </w:t>
      </w:r>
      <w:r>
        <w:t xml:space="preserve">o caminho residual é uma</w:t>
      </w:r>
      <w:r>
        <w:t xml:space="preserve"> </w:t>
      </w:r>
      <w:r>
        <w:t xml:space="preserve">“</w:t>
      </w:r>
      <w:r>
        <w:t xml:space="preserve">rodovia</w:t>
      </w:r>
      <w:r>
        <w:t xml:space="preserve">”</w:t>
      </w:r>
      <w:r>
        <w:t xml:space="preserve"> </w:t>
      </w:r>
      <w:r>
        <w:t xml:space="preserve">limpa, o que preserva o gradiente ao longo da profundidade; no</w:t>
      </w:r>
      <w:r>
        <w:t xml:space="preserve"> </w:t>
      </w:r>
      <w:r>
        <w:rPr>
          <w:iCs/>
          <w:i/>
        </w:rPr>
        <w:t xml:space="preserve">post-norm</w:t>
      </w:r>
      <w:r>
        <w:t xml:space="preserve">, o gradiente que chega às primeiras camadas desestabiliza-se à medida que se empilham blocos. A Figura 5 mede empiricamente essa diferença.</w:t>
      </w:r>
    </w:p>
    <w:p>
      <w:pPr>
        <w:pStyle w:val="CaptionedFigure"/>
      </w:pPr>
      <w:r>
        <w:drawing>
          <wp:inline>
            <wp:extent cx="4679999" cy="3093559"/>
            <wp:effectExtent b="0" l="0" r="0" t="0"/>
            <wp:docPr descr="Figura 5 – Norma do gradiente que sobrevive até a entrada, em função da profundidade L (eixo vertical em escala logarítmica). O pre-norm mantém-se próximo de O(1); o post-norm decai ordens de grandeza — o vanishing gradient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3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9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 – Norma do gradiente que sobrevive até a entrada, em função da profundidade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(eixo vertical em escala logarítmica). O</w:t>
      </w:r>
      <w:r>
        <w:t xml:space="preserve"> </w:t>
      </w:r>
      <w:r>
        <w:rPr>
          <w:iCs/>
          <w:i/>
        </w:rPr>
        <w:t xml:space="preserve">pre-norm</w:t>
      </w:r>
      <w:r>
        <w:t xml:space="preserve"> </w:t>
      </w:r>
      <w:r>
        <w:t xml:space="preserve">mantém-se próximo de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; o</w:t>
      </w:r>
      <w:r>
        <w:t xml:space="preserve"> </w:t>
      </w:r>
      <w:r>
        <w:rPr>
          <w:iCs/>
          <w:i/>
        </w:rPr>
        <w:t xml:space="preserve">post-norm</w:t>
      </w:r>
      <w:r>
        <w:t xml:space="preserve"> </w:t>
      </w:r>
      <w:r>
        <w:t xml:space="preserve">decai ordens de grandeza — o</w:t>
      </w:r>
      <w:r>
        <w:t xml:space="preserve"> </w:t>
      </w:r>
      <w:r>
        <w:rPr>
          <w:iCs/>
          <w:i/>
        </w:rPr>
        <w:t xml:space="preserve">vanishing gradient</w:t>
      </w:r>
      <w:r>
        <w:t xml:space="preserve">. Fonte: elaborada pelo autor a partir dos notebooks do projeto (2026).</w:t>
      </w:r>
    </w:p>
    <w:p>
      <w:pPr>
        <w:pStyle w:val="BodyText"/>
      </w:pPr>
      <w:r>
        <w:t xml:space="preserve">A segunda é a inicialização. Os pesos lineares seguem</w:t>
      </w:r>
      <w:r>
        <w:t xml:space="preserve"> </w:t>
      </w:r>
      <m:oMath>
        <m:r>
          <m:rPr>
            <m:sty m:val="p"/>
            <m:scr m:val="script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sSup>
          <m:e>
            <m:r>
              <m:t>02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mas as projeções residuais — a projeção de saída da atenção e a projeção de redução da MLP — recebem uma escala adicional,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out_proj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mlp_down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r>
            <m:t>​</m:t>
          </m:r>
          <m:d>
            <m:dPr>
              <m:begChr m:val="(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d>
                    <m:dPr>
                      <m:begChr m:val="(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02</m:t>
                          </m:r>
                        </m:num>
                        <m:den>
                          <m:rad>
                            <m:radPr>
                              <m:degHide m:val="1"/>
                            </m:radPr>
                            <m:deg/>
                            <m:e>
                              <m:r>
                                <m:t>2</m:t>
                              </m:r>
                              <m:r>
                                <m:t>L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razão é a soma na rodovia residual: cada bloco adiciona dois ramos, totalizando</w:t>
      </w:r>
      <w:r>
        <w:t xml:space="preserve"> </w:t>
      </w:r>
      <m:oMath>
        <m:r>
          <m:t>2</m:t>
        </m:r>
        <m:r>
          <m:t>L</m:t>
        </m:r>
      </m:oMath>
      <w:r>
        <w:t xml:space="preserve">; se cada ramo contribui com variância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 norma do fluxo residual cresce como</w:t>
      </w:r>
      <w:r>
        <w:t xml:space="preserve"> </w:t>
      </w:r>
      <m:oMath>
        <m:rad>
          <m:radPr>
            <m:degHide m:val="1"/>
          </m:radPr>
          <m:deg/>
          <m:e>
            <m:r>
              <m:t>2</m:t>
            </m:r>
            <m:r>
              <m:t>L</m:t>
            </m:r>
          </m:e>
        </m:rad>
      </m:oMath>
      <w:r>
        <w:t xml:space="preserve">. O fator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2</m:t>
            </m:r>
            <m:r>
              <m:t>L</m:t>
            </m:r>
          </m:e>
        </m:rad>
      </m:oMath>
      <w:r>
        <w:t xml:space="preserve"> </w:t>
      </w:r>
      <w:r>
        <w:t xml:space="preserve">cancela exatamente esse crescimento, mantendo a norma em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no início do treino (Figura 6).</w:t>
      </w:r>
    </w:p>
    <w:p>
      <w:pPr>
        <w:pStyle w:val="CaptionedFigure"/>
      </w:pPr>
      <w:r>
        <w:drawing>
          <wp:inline>
            <wp:extent cx="4679999" cy="3098811"/>
            <wp:effectExtent b="0" l="0" r="0" t="0"/>
            <wp:docPr descr="Figura 6 – Crescimento da norma do estado residual à medida que ramos são somados. Sem escala, a norma cresce como \sqrt{1+2L} (linha tracejada, teórica); com a escala 1/\sqrt{2L}, mantém-se plana em O(1)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3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9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6 – Crescimento da norma do estado residual à medida que ramos são somados. Sem escala, a norma cresce como</w:t>
      </w:r>
      <w:r>
        <w:t xml:space="preserve"> </w:t>
      </w:r>
      <m:oMath>
        <m:rad>
          <m:radPr>
            <m:degHide m:val="1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L</m:t>
            </m:r>
          </m:e>
        </m:rad>
      </m:oMath>
      <w:r>
        <w:t xml:space="preserve"> </w:t>
      </w:r>
      <w:r>
        <w:t xml:space="preserve">(linha tracejada, teórica); com a escala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t>2</m:t>
            </m:r>
            <m:r>
              <m:t>L</m:t>
            </m:r>
          </m:e>
        </m:rad>
      </m:oMath>
      <w:r>
        <w:t xml:space="preserve">, mantém-se plana em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 Fonte: elaborada pelo autor a partir dos notebooks do projeto (2026).</w:t>
      </w:r>
    </w:p>
    <w:bookmarkEnd w:id="30"/>
    <w:bookmarkStart w:id="40" w:name="modernizações-do-padrão-llama"/>
    <w:p>
      <w:pPr>
        <w:pStyle w:val="Heading2"/>
      </w:pPr>
      <w:r>
        <w:t xml:space="preserve">2.4 Modernizações do padrão LLaMA</w:t>
      </w:r>
    </w:p>
    <w:bookmarkStart w:id="33" w:name="rmsnorm"/>
    <w:p>
      <w:pPr>
        <w:pStyle w:val="Heading3"/>
      </w:pPr>
      <w:r>
        <w:t xml:space="preserve">2.4.1 RMSNorm</w:t>
      </w:r>
    </w:p>
    <w:p>
      <w:pPr>
        <w:pStyle w:val="FirstParagraph"/>
      </w:pPr>
      <w:r>
        <w:t xml:space="preserve">A LayerNorm normaliza cada vetor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por sua média e desvio,</w:t>
      </w:r>
      <w:r>
        <w:t xml:space="preserve"> </w:t>
      </w:r>
      <m:oMath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⊙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ε</m:t>
            </m:r>
          </m:e>
        </m:rad>
        <m:r>
          <m:rPr>
            <m:sty m:val="p"/>
          </m:rPr>
          <m:t>+</m:t>
        </m:r>
        <m:r>
          <m:t>β</m:t>
        </m:r>
      </m:oMath>
      <w:r>
        <w:t xml:space="preserve">, executando duas operações: re-centralizar e re-escalar. A observação de Zhang e Sennrich (2019) é que a raiz da média dos quadrados satisfaz a identidade</w:t>
      </w:r>
      <w:r>
        <w:t xml:space="preserve"> </w:t>
      </w:r>
      <m:oMath>
        <m:r>
          <m:rPr>
            <m:nor/>
            <m:sty m:val="p"/>
          </m:rPr>
          <m:t>RMS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 de modo que RMS coincide com o desvio quando a média é nula. A RMSNorm descarta a centralização e o</w:t>
      </w:r>
      <w:r>
        <w:t xml:space="preserve"> </w:t>
      </w:r>
      <w:r>
        <w:rPr>
          <w:iCs/>
          <w:i/>
        </w:rPr>
        <w:t xml:space="preserve">bias</w:t>
      </w:r>
      <w:r>
        <w:t xml:space="preserve">, mantendo apenas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RMSNorm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⊙</m:t>
          </m:r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1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1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Geometricamente, como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d</m:t>
            </m:r>
          </m:e>
        </m:rad>
        <m:r>
          <m:rPr>
            <m:sty m:val="p"/>
          </m:rPr>
          <m:t>⋅</m:t>
        </m:r>
        <m:r>
          <m:rPr>
            <m:nor/>
            <m:sty m:val="p"/>
          </m:rPr>
          <m:t>RMS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 operação projeta o vetor na esfera de raio</w:t>
      </w:r>
      <w:r>
        <w:t xml:space="preserve"> </w:t>
      </w:r>
      <m:oMath>
        <m:rad>
          <m:radPr>
            <m:degHide m:val="1"/>
          </m:radPr>
          <m:deg/>
          <m:e>
            <m:r>
              <m:t>d</m:t>
            </m:r>
          </m:e>
        </m:rad>
      </m:oMath>
      <w:r>
        <w:t xml:space="preserve">, preservando a direção e descartando a magnitude (Figura 7). O descarte da centralização é justificável porque a camada afim seguinte pode reintroduzir qualquer média por meio de seu</w:t>
      </w:r>
      <w:r>
        <w:t xml:space="preserve"> </w:t>
      </w:r>
      <w:r>
        <w:rPr>
          <w:iCs/>
          <w:i/>
        </w:rPr>
        <w:t xml:space="preserve">bias</w:t>
      </w:r>
      <w:r>
        <w:t xml:space="preserve">, tornando a centralização redundante; o que desestabiliza o treino em</w:t>
      </w:r>
      <w:r>
        <w:t xml:space="preserve"> </w:t>
      </w:r>
      <w:r>
        <w:rPr>
          <w:iCs/>
          <w:i/>
        </w:rPr>
        <w:t xml:space="preserve">Transformers</w:t>
      </w:r>
      <w:r>
        <w:t xml:space="preserve"> </w:t>
      </w:r>
      <w:r>
        <w:t xml:space="preserve">é a explosão de magnitude, que o RMS controla. A Figura 8 evidencia a diferença de comportamento entre as duas normalizações. Por exigir cerca de</w:t>
      </w:r>
      <w:r>
        <w:t xml:space="preserve"> </w:t>
      </w:r>
      <m:oMath>
        <m:r>
          <m:t>3</m:t>
        </m:r>
        <m:r>
          <m:t>d</m:t>
        </m:r>
      </m:oMath>
      <w:r>
        <w:t xml:space="preserve"> </w:t>
      </w:r>
      <w:r>
        <w:t xml:space="preserve">operações contra</w:t>
      </w:r>
      <w:r>
        <w:t xml:space="preserve"> </w:t>
      </w:r>
      <m:oMath>
        <m:r>
          <m:t>5</m:t>
        </m:r>
        <m:r>
          <m:t>d</m:t>
        </m:r>
      </m:oMath>
      <w:r>
        <w:t xml:space="preserve"> </w:t>
      </w:r>
      <w:r>
        <w:t xml:space="preserve">da LayerNorm, a RMSNorm é 10–15% mais rápida em GPU. Ressalva de precisão: a soma de quadrados é computada em FP32 mesmo sob treino em BF16, para evitar acúmulo de erro.</w:t>
      </w:r>
    </w:p>
    <w:p>
      <w:pPr>
        <w:pStyle w:val="CaptionedFigure"/>
      </w:pPr>
      <w:r>
        <w:drawing>
          <wp:inline>
            <wp:extent cx="5334000" cy="2682416"/>
            <wp:effectExtent b="0" l="0" r="0" t="0"/>
            <wp:docPr descr="Figura 7 – A normalização RMS como projeção radial na esfera de raio \sqrt{d}. À esquerda, vetores de magnitudes distintas têm o comprimento alterado, mas o ângulo preservado. À direita, vetores colineares colapsam no mesmo ponto: a magnitude é descartada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4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7 – A normalização RMS como projeção radial na esfera de raio</w:t>
      </w:r>
      <w:r>
        <w:t xml:space="preserve"> </w:t>
      </w:r>
      <m:oMath>
        <m:rad>
          <m:radPr>
            <m:degHide m:val="1"/>
          </m:radPr>
          <m:deg/>
          <m:e>
            <m:r>
              <m:t>d</m:t>
            </m:r>
          </m:e>
        </m:rad>
      </m:oMath>
      <w:r>
        <w:t xml:space="preserve">. À esquerda, vetores de magnitudes distintas têm o comprimento alterado, mas o ângulo preservado. À direita, vetores colineares colapsam no mesmo ponto: a magnitude é descartada. Fonte: elaborada pelo autor a partir dos notebooks do projeto (2026).</w:t>
      </w:r>
    </w:p>
    <w:p>
      <w:pPr>
        <w:pStyle w:val="CaptionedFigure"/>
      </w:pPr>
      <w:r>
        <w:drawing>
          <wp:inline>
            <wp:extent cx="5039999" cy="2494416"/>
            <wp:effectExtent b="0" l="0" r="0" t="0"/>
            <wp:docPr descr="Figura 8 – Efeito das duas normalizações sobre um vetor de entrada com média elevada: a LayerNorm centraliza (média \approx 0), a RMSNorm não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4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49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8 – Efeito das duas normalizações sobre um vetor de entrada com média elevada: a LayerNorm centraliza (média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), a RMSNorm não. Fonte: elaborada pelo autor a partir dos notebooks do projeto (2026).</w:t>
      </w:r>
    </w:p>
    <w:bookmarkEnd w:id="33"/>
    <w:bookmarkStart w:id="34" w:name="swiglu"/>
    <w:p>
      <w:pPr>
        <w:pStyle w:val="Heading3"/>
      </w:pPr>
      <w:r>
        <w:t xml:space="preserve">2.4.2 SwiGLU</w:t>
      </w:r>
    </w:p>
    <w:p>
      <w:pPr>
        <w:pStyle w:val="FirstParagraph"/>
      </w:pPr>
      <w:r>
        <w:t xml:space="preserve">A MLP do GPT-2 é</w:t>
      </w:r>
      <w:r>
        <w:t xml:space="preserve"> </w:t>
      </w:r>
      <m:oMath>
        <m:r>
          <m:rPr>
            <m:nor/>
            <m:sty m:val="p"/>
          </m:rPr>
          <m:t>GELU</m:t>
        </m:r>
        <m:r>
          <m:rPr>
            <m:sty m:val="p"/>
          </m:rPr>
          <m:t>(</m:t>
        </m:r>
        <m:r>
          <m:t>x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com expansão de fator 4 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t>4</m:t>
        </m:r>
        <m:r>
          <m:t>d</m:t>
        </m:r>
        <m:r>
          <m:rPr>
            <m:sty m:val="p"/>
          </m:rPr>
          <m:t>=</m:t>
        </m:r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parâmetros por camada. A família</w:t>
      </w:r>
      <w:r>
        <w:t xml:space="preserve"> </w:t>
      </w:r>
      <w:r>
        <w:rPr>
          <w:iCs/>
          <w:i/>
        </w:rPr>
        <w:t xml:space="preserve">Gated Linear Units</w:t>
      </w:r>
      <w:r>
        <w:t xml:space="preserve"> </w:t>
      </w:r>
      <w:r>
        <w:t xml:space="preserve">introduz um ramo multiplicativo paralelo,</w:t>
      </w:r>
      <w:r>
        <w:t xml:space="preserve"> </w:t>
      </w:r>
      <m:oMath>
        <m:r>
          <m:rPr>
            <m:nor/>
            <m:sty m:val="p"/>
          </m:rPr>
          <m:t>GLU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x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⊙</m:t>
        </m:r>
        <m:r>
          <m:rPr>
            <m:sty m:val="p"/>
          </m:rPr>
          <m:t>(</m:t>
        </m:r>
        <m:r>
          <m:t>x</m:t>
        </m:r>
        <m:r>
          <m:t>V</m:t>
        </m:r>
        <m:r>
          <m:rPr>
            <m:sty m:val="p"/>
          </m:rPr>
          <m:t>)</m:t>
        </m:r>
      </m:oMath>
      <w:r>
        <w:t xml:space="preserve">, em que um ramo funciona como filtro do outro. A variante SwiGLU, adotada pelo LLaMA, usa a ativação SiLU e três projeções sem</w:t>
      </w:r>
      <w:r>
        <w:t xml:space="preserve"> </w:t>
      </w:r>
      <w:r>
        <w:rPr>
          <w:iCs/>
          <w:i/>
        </w:rPr>
        <w:t xml:space="preserve">bias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SwiGLU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SiLU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⊙</m:t>
          </m:r>
          <m:r>
            <m:rPr>
              <m:sty m:val="p"/>
            </m:rPr>
            <m:t>(</m:t>
          </m:r>
          <m:r>
            <m:t>x</m:t>
          </m:r>
          <m:sSub>
            <m:e>
              <m:r>
                <m:t>W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b>
            <m:e>
              <m:r>
                <m:t>W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preservar a contagem de parâmetros da MLP GELU-4d, impõe-se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t>h</m:t>
        </m:r>
        <m:r>
          <m:rPr>
            <m:sty m:val="p"/>
          </m:rPr>
          <m:t>=</m:t>
        </m:r>
        <m:r>
          <m:t>8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, donde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8</m:t>
        </m:r>
        <m:r>
          <m:t>d</m:t>
        </m:r>
        <m:r>
          <m:rPr>
            <m:sty m:val="p"/>
          </m:rPr>
          <m:t>/</m:t>
        </m:r>
        <m:r>
          <m:t>3</m:t>
        </m:r>
      </m:oMath>
      <w:r>
        <w:t xml:space="preserve">. Na prática,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é arredondado ao múltiplo de 64 superior mais próximo,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⋅</m:t>
        </m:r>
        <m:r>
          <m:rPr>
            <m:sty m:val="p"/>
          </m:rPr>
          <m:t>⌈</m:t>
        </m:r>
        <m:r>
          <m:rPr>
            <m:sty m:val="p"/>
          </m:rPr>
          <m:t>(</m:t>
        </m:r>
        <m:r>
          <m:t>8</m:t>
        </m:r>
        <m:r>
          <m:t>d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64</m:t>
        </m:r>
        <m:r>
          <m:rPr>
            <m:sty m:val="p"/>
          </m:rPr>
          <m:t>⌉</m:t>
        </m:r>
      </m:oMath>
      <w:r>
        <w:t xml:space="preserve">, para alinhar-se ao tamanho de</w:t>
      </w:r>
      <w:r>
        <w:t xml:space="preserve"> </w:t>
      </w:r>
      <w:r>
        <w:rPr>
          <w:iCs/>
          <w:i/>
        </w:rPr>
        <w:t xml:space="preserve">tile</w:t>
      </w:r>
      <w:r>
        <w:t xml:space="preserve"> </w:t>
      </w:r>
      <w:r>
        <w:t xml:space="preserve">dos</w:t>
      </w:r>
      <w:r>
        <w:t xml:space="preserve"> </w:t>
      </w:r>
      <w:r>
        <w:rPr>
          <w:iCs/>
          <w:i/>
        </w:rPr>
        <w:t xml:space="preserve">tensor cores</w:t>
      </w:r>
      <w:r>
        <w:t xml:space="preserve"> </w:t>
      </w:r>
      <w:r>
        <w:t xml:space="preserve">da NVIDIA. O ganho do SwiGLU não decorre de mais parâmetros, e sim de melhor uso deles: o</w:t>
      </w:r>
      <w:r>
        <w:t xml:space="preserve"> </w:t>
      </w:r>
      <w:r>
        <w:rPr>
          <w:iCs/>
          <w:i/>
        </w:rPr>
        <w:t xml:space="preserve">gating</w:t>
      </w:r>
      <w:r>
        <w:t xml:space="preserve"> </w:t>
      </w:r>
      <w:r>
        <w:t xml:space="preserve">multiplicativo oferece uma rota linear direta e maior expressividade por parâmetro.</w:t>
      </w:r>
    </w:p>
    <w:bookmarkEnd w:id="34"/>
    <w:bookmarkStart w:id="37" w:name="rope"/>
    <w:p>
      <w:pPr>
        <w:pStyle w:val="Heading3"/>
      </w:pPr>
      <w:r>
        <w:t xml:space="preserve">2.4.3 RoPE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posicional somada do GPT-2,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Embed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nor/>
            <m:sty m:val="p"/>
          </m:rPr>
          <m:t>PosEmbed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entrelaça conteúdo e posição, não extrapola além de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 </w:t>
      </w:r>
      <w:r>
        <w:t xml:space="preserve">e consome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⋅</m:t>
        </m:r>
        <m:r>
          <m:t>d</m:t>
        </m:r>
      </m:oMath>
      <w:r>
        <w:t xml:space="preserve"> </w:t>
      </w:r>
      <w:r>
        <w:t xml:space="preserve">parâmetros. A codificação posicional rotacional (SU et al., 2021) descarta a soma e, em seu lugar,</w:t>
      </w:r>
      <w:r>
        <w:t xml:space="preserve"> </w:t>
      </w:r>
      <w:r>
        <w:rPr>
          <w:bCs/>
          <w:b/>
        </w:rPr>
        <w:t xml:space="preserve">rotaciona</w:t>
      </w:r>
      <w:r>
        <w:t xml:space="preserve"> </w:t>
      </w:r>
      <w:r>
        <w:t xml:space="preserve">as projeções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por um ângulo dependente da posição. Para um par de dimensões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i</m:t>
        </m:r>
        <m:r>
          <m:rPr>
            <m:sty m:val="p"/>
          </m:rPr>
          <m:t>,</m:t>
        </m:r>
        <m:r>
          <m:t>2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aplica-se a rotação plana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cos</m:t>
                    </m:r>
                    <m:r>
                      <m:t>θ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sin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sin</m:t>
                    </m:r>
                    <m:r>
                      <m:t>θ</m:t>
                    </m:r>
                  </m:e>
                  <m:e>
                    <m:r>
                      <m:rPr>
                        <m:nor/>
                        <m:sty m:val="p"/>
                      </m:rPr>
                      <m:t>cos</m:t>
                    </m:r>
                    <m:r>
                      <m:t>θ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 frequências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 </w:t>
      </w:r>
      <w:r>
        <w:t xml:space="preserve">e base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10000</m:t>
        </m:r>
      </m:oMath>
      <w:r>
        <w:t xml:space="preserve">. As dimensões baixas giram rápido (ordem local) e as altas giram devagar (estrutura de longo alcance), como mostra a Figura 9.</w:t>
      </w:r>
    </w:p>
    <w:p>
      <w:pPr>
        <w:pStyle w:val="CaptionedFigure"/>
      </w:pPr>
      <w:r>
        <w:drawing>
          <wp:inline>
            <wp:extent cx="5334000" cy="2021632"/>
            <wp:effectExtent b="0" l="0" r="0" t="0"/>
            <wp:docPr descr="Figura 9 – RoPE como rotação. À esquerda, o mesmo vetor rotacionado por posições crescentes m. À direita, as frequências \theta_i = b^{-2i/d_h} em escala semilogarítmica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4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9 – RoPE como rotação. À esquerda, o mesmo vetor rotacionado por posições crescentes</w:t>
      </w:r>
      <w:r>
        <w:t xml:space="preserve"> </w:t>
      </w:r>
      <m:oMath>
        <m:r>
          <m:t>m</m:t>
        </m:r>
      </m:oMath>
      <w:r>
        <w:t xml:space="preserve">. À direita, as frequências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h</m:t>
                </m:r>
              </m:sub>
            </m:sSub>
          </m:sup>
        </m:sSup>
      </m:oMath>
      <w:r>
        <w:t xml:space="preserve"> </w:t>
      </w:r>
      <w:r>
        <w:t xml:space="preserve">em escala semilogarítmica. Fonte: elaborada pelo autor a partir dos notebooks do projeto (2026).</w:t>
      </w:r>
    </w:p>
    <w:p>
      <w:pPr>
        <w:pStyle w:val="BodyText"/>
      </w:pPr>
      <w:r>
        <w:t xml:space="preserve">A propriedade central é que a pontuação de atenção passa a depender apenas da posição</w:t>
      </w:r>
      <w:r>
        <w:t xml:space="preserve"> </w:t>
      </w:r>
      <w:r>
        <w:rPr>
          <w:bCs/>
          <w:b/>
        </w:rPr>
        <w:t xml:space="preserve">relativa</w:t>
      </w:r>
      <w:r>
        <w:t xml:space="preserve">. Com</w:t>
      </w:r>
      <w:r>
        <w:t xml:space="preserve"> </w:t>
      </w:r>
      <m:oMath>
        <m:r>
          <m:t>Q</m:t>
        </m:r>
        <m:sSub>
          <m:e>
            <m:r>
              <m:rPr>
                <m:sty m:val="p"/>
              </m:rPr>
              <m:t>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</m:sub>
        </m:sSub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Q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  <m:r>
            <m:t>K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Sup>
            <m:e>
              <m:r>
                <m:t>R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R</m:t>
              </m:r>
            </m:e>
            <m:sub>
              <m:r>
                <m:t>n</m:t>
              </m:r>
            </m:sub>
          </m:sSub>
          <m:sSub>
            <m:e>
              <m:r>
                <m:t>K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Q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</m:sub>
          </m:sSub>
          <m:sSub>
            <m:e>
              <m:r>
                <m:t>K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pois</w:t>
      </w:r>
      <w:r>
        <w:t xml:space="preserve"> </w:t>
      </w:r>
      <m:oMath>
        <m:sSubSup>
          <m:e>
            <m:r>
              <m:t>R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. A Figura 10 verifica numericamente que a pontuação depende só de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t xml:space="preserve">, o que confere robustez à extrapolação de contexto.</w:t>
      </w:r>
    </w:p>
    <w:p>
      <w:pPr>
        <w:pStyle w:val="CaptionedFigure"/>
      </w:pPr>
      <w:r>
        <w:drawing>
          <wp:inline>
            <wp:extent cx="4679999" cy="3093559"/>
            <wp:effectExtent b="0" l="0" r="0" t="0"/>
            <wp:docPr descr="Figura 10 – Produto interno \langle R_m q, R_n k\rangle em função da distância relativa n-m. Os pontos, calculados para posições absolutas distintas, caem sobre a mesma curva: só a distância importa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4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9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 – Produto interno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R</m:t>
            </m:r>
          </m:e>
          <m:sub>
            <m:r>
              <m:t>m</m:t>
            </m:r>
          </m:sub>
        </m:sSub>
        <m:r>
          <m:t>q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t xml:space="preserve">em função da distância relativa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t xml:space="preserve">. Os pontos, calculados para posições absolutas distintas, caem sobre a mesma curva: só a distância importa. Fonte: elaborada pelo autor a partir dos notebooks do projeto (2026).</w:t>
      </w:r>
    </w:p>
    <w:bookmarkEnd w:id="37"/>
    <w:bookmarkStart w:id="39" w:name="kv-cache"/>
    <w:p>
      <w:pPr>
        <w:pStyle w:val="Heading3"/>
      </w:pPr>
      <w:r>
        <w:t xml:space="preserve">2.4.4 KV-cache</w:t>
      </w:r>
    </w:p>
    <w:p>
      <w:pPr>
        <w:pStyle w:val="FirstParagraph"/>
      </w:pPr>
      <w:r>
        <w:t xml:space="preserve">Na geração autoregressiva ingênua, o</w:t>
      </w:r>
      <w:r>
        <w:t xml:space="preserve"> </w:t>
      </w:r>
      <w:r>
        <w:rPr>
          <w:iCs/>
          <w:i/>
        </w:rPr>
        <w:t xml:space="preserve">forward</w:t>
      </w:r>
      <w:r>
        <w:t xml:space="preserve"> </w:t>
      </w:r>
      <w:r>
        <w:t xml:space="preserve">é refeito a cada passo, recomputando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para todos os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anteriores, o que resulta em custo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— quadrático no número de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gerados</w:t>
      </w:r>
      <w:r>
        <w:t xml:space="preserve"> </w:t>
      </w:r>
      <m:oMath>
        <m:r>
          <m:t>N</m:t>
        </m:r>
      </m:oMath>
      <w:r>
        <w:t xml:space="preserve">. Como a máscara causal garante que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 qualquer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t</m:t>
        </m:r>
      </m:oMath>
      <w:r>
        <w:t xml:space="preserve"> </w:t>
      </w:r>
      <w:r>
        <w:t xml:space="preserve">não se alteram ao processar posições posteriores, é possível armazenar (cachear) esses tensores e, a cada passo, calcular apenas a linha nova. O custo cai para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— linear (Figura 11). Dois detalhes evitam implementações incorretas: no</w:t>
      </w:r>
      <w:r>
        <w:t xml:space="preserve"> </w:t>
      </w:r>
      <w:r>
        <w:rPr>
          <w:iCs/>
          <w:i/>
        </w:rPr>
        <w:t xml:space="preserve">decode</w:t>
      </w:r>
      <w:r>
        <w:t xml:space="preserve"> </w:t>
      </w:r>
      <w:r>
        <w:t xml:space="preserve">com cache a</w:t>
      </w:r>
      <w:r>
        <w:t xml:space="preserve"> </w:t>
      </w:r>
      <w:r>
        <w:rPr>
          <w:iCs/>
          <w:i/>
        </w:rPr>
        <w:t xml:space="preserve">query</w:t>
      </w:r>
      <w:r>
        <w:t xml:space="preserve"> </w:t>
      </w:r>
      <w:r>
        <w:t xml:space="preserve">tem comprimento 1 enquanto as</w:t>
      </w:r>
      <w:r>
        <w:t xml:space="preserve"> </w:t>
      </w:r>
      <w:r>
        <w:rPr>
          <w:iCs/>
          <w:i/>
        </w:rPr>
        <w:t xml:space="preserve">keys</w:t>
      </w:r>
      <w:r>
        <w:t xml:space="preserve"> </w:t>
      </w:r>
      <w:r>
        <w:t xml:space="preserve">têm comprimento crescente, de modo que a máscara causal só se aplica quando</w:t>
      </w:r>
      <w:r>
        <w:t xml:space="preserve"> 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</m:oMath>
      <w:r>
        <w:t xml:space="preserve">; e a rotação RoPE do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novo deve usar o deslocamento posicional global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k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4679999" cy="3098811"/>
            <wp:effectExtent b="0" l="0" r="0" t="0"/>
            <wp:docPr descr="Figura 11 – Custo acumulado das projeções Q,K,V para gerar N tokens: sem cache, o crescimento é quadrático; com cache, linear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4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9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 – Custo acumulado das projeções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para gerar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iCs/>
          <w:i/>
        </w:rPr>
        <w:t xml:space="preserve">tokens</w:t>
      </w:r>
      <w:r>
        <w:t xml:space="preserve">: sem cache, o crescimento é quadrático; com cache, linear. Fonte: elaborada pelo autor a partir dos notebooks do projeto (2026).</w:t>
      </w:r>
    </w:p>
    <w:bookmarkEnd w:id="39"/>
    <w:bookmarkEnd w:id="40"/>
    <w:bookmarkStart w:id="41" w:name="leis-de-escalonamento"/>
    <w:p>
      <w:pPr>
        <w:pStyle w:val="Heading2"/>
      </w:pPr>
      <w:r>
        <w:t xml:space="preserve">2.5 Leis de escalonamento</w:t>
      </w:r>
    </w:p>
    <w:p>
      <w:pPr>
        <w:pStyle w:val="FirstParagraph"/>
      </w:pPr>
      <w:r>
        <w:t xml:space="preserve">As leis de escalonamento relacionam desempenho, número de parâmetros e volume de dados. Hoffmann et al. (2022) demonstraram que o ótimo de</w:t>
      </w:r>
      <w:r>
        <w:t xml:space="preserve"> </w:t>
      </w:r>
      <w:r>
        <w:rPr>
          <w:iCs/>
          <w:i/>
        </w:rPr>
        <w:t xml:space="preserve">compute</w:t>
      </w:r>
      <w:r>
        <w:t xml:space="preserve"> </w:t>
      </w:r>
      <w:r>
        <w:t xml:space="preserve">de um modelo de linguagem ocorre quando o número de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de treino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 o número de parâmetros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satisfazem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≈</m:t>
          </m:r>
          <m:r>
            <m:t>20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razão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diagnostica o regime: valores muito abaixo de 20 indicam</w:t>
      </w:r>
      <w:r>
        <w:t xml:space="preserve"> </w:t>
      </w:r>
      <w:r>
        <w:rPr>
          <w:iCs/>
          <w:i/>
        </w:rPr>
        <w:t xml:space="preserve">compute constrained</w:t>
      </w:r>
      <w:r>
        <w:t xml:space="preserve"> </w:t>
      </w:r>
      <w:r>
        <w:t xml:space="preserve">(parâmetros em excesso para os dados disponíveis); valores muito acima indicam</w:t>
      </w:r>
      <w:r>
        <w:t xml:space="preserve"> </w:t>
      </w:r>
      <w:r>
        <w:rPr>
          <w:iCs/>
          <w:i/>
        </w:rPr>
        <w:t xml:space="preserve">data constrained</w:t>
      </w:r>
      <w:r>
        <w:t xml:space="preserve">. Complementarmente, Eldan e Li (2023), no trabalho TinyStories, mostraram que modelos muito pequenos (1 a 33 milhões de parâmetros) produzem texto fluente quando a distribuição do corpus é suficientemente simples — resultado que motiva o estudo controlado de corpora deste trabalho.</w:t>
      </w:r>
    </w:p>
    <w:bookmarkEnd w:id="41"/>
    <w:bookmarkEnd w:id="42"/>
    <w:bookmarkStart w:id="51" w:name="metodologia"/>
    <w:p>
      <w:pPr>
        <w:pStyle w:val="Heading1"/>
      </w:pPr>
      <w:r>
        <w:t xml:space="preserve">3 Metodologia</w:t>
      </w:r>
    </w:p>
    <w:bookmarkStart w:id="43" w:name="organização-do-sistema"/>
    <w:p>
      <w:pPr>
        <w:pStyle w:val="Heading2"/>
      </w:pPr>
      <w:r>
        <w:t xml:space="preserve">3.1 Organização do sistema</w:t>
      </w:r>
    </w:p>
    <w:p>
      <w:pPr>
        <w:pStyle w:val="FirstParagraph"/>
      </w:pPr>
      <w:r>
        <w:t xml:space="preserve">O sistema foi organizado por estágio de</w:t>
      </w:r>
      <w:r>
        <w:t xml:space="preserve"> </w:t>
      </w:r>
      <w:r>
        <w:rPr>
          <w:iCs/>
          <w:i/>
        </w:rPr>
        <w:t xml:space="preserve">pipeline</w:t>
      </w:r>
      <w:r>
        <w:t xml:space="preserve">, e não por tipo de arquivo, de modo que a estrutura do código espelhe o fluxo do problema:</w:t>
      </w:r>
      <w:r>
        <w:t xml:space="preserve"> </w:t>
      </w:r>
      <w:r>
        <w:rPr>
          <w:rStyle w:val="VerbatimChar"/>
        </w:rPr>
        <w:t xml:space="preserve">tokenizer → data → model → training → inference</w:t>
      </w:r>
      <w:r>
        <w:t xml:space="preserve">. Cada estágio é importável e testável isoladamente, os hiperparâmetros residem em uma camada de configuração única (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e arquivos YAML) e todo ponto de entrada e saída recebe o caminho por injeção. Essa decisão corrige dois antipadrões recorrentes —</w:t>
      </w:r>
      <w:r>
        <w:t xml:space="preserve"> </w:t>
      </w:r>
      <w:r>
        <w:rPr>
          <w:iCs/>
          <w:i/>
        </w:rPr>
        <w:t xml:space="preserve">defaults</w:t>
      </w:r>
      <w:r>
        <w:t xml:space="preserve"> </w:t>
      </w:r>
      <w:r>
        <w:t xml:space="preserve">fixos espalhados pelo código e serialização frágil por</w:t>
      </w:r>
      <w:r>
        <w:t xml:space="preserve"> </w:t>
      </w:r>
      <w:r>
        <w:rPr>
          <w:iCs/>
          <w:i/>
        </w:rPr>
        <w:t xml:space="preserve">pickle</w:t>
      </w:r>
      <w:r>
        <w:t xml:space="preserve"> </w:t>
      </w:r>
      <w:r>
        <w:t xml:space="preserve">—, priorizando reprodutibilidade e testabilidade. O projeto materializa-se em duas camadas: uma educacional, com oito</w:t>
      </w:r>
      <w:r>
        <w:t xml:space="preserve"> </w:t>
      </w:r>
      <w:r>
        <w:rPr>
          <w:iCs/>
          <w:i/>
        </w:rPr>
        <w:t xml:space="preserve">notebooks</w:t>
      </w:r>
      <w:r>
        <w:t xml:space="preserve"> </w:t>
      </w:r>
      <w:r>
        <w:t xml:space="preserve">numerados que derivam cada componente com a matemática ao lado do código executável e são regeneráveis a partir de</w:t>
      </w:r>
      <w:r>
        <w:t xml:space="preserve"> </w:t>
      </w:r>
      <w:r>
        <w:rPr>
          <w:iCs/>
          <w:i/>
        </w:rPr>
        <w:t xml:space="preserve">builders</w:t>
      </w:r>
      <w:r>
        <w:t xml:space="preserve"> </w:t>
      </w:r>
      <w:r>
        <w:t xml:space="preserve">versionados; e uma de produção, o pacote</w:t>
      </w:r>
      <w:r>
        <w:t xml:space="preserve"> </w:t>
      </w:r>
      <w:r>
        <w:rPr>
          <w:rStyle w:val="VerbatimChar"/>
        </w:rPr>
        <w:t xml:space="preserve">src/tucanoce/</w:t>
      </w:r>
      <w:r>
        <w:t xml:space="preserve">, preenchida a partir do que se deriva em cada</w:t>
      </w:r>
      <w:r>
        <w:t xml:space="preserve"> </w:t>
      </w:r>
      <w:r>
        <w:rPr>
          <w:iCs/>
          <w:i/>
        </w:rPr>
        <w:t xml:space="preserve">notebook</w:t>
      </w:r>
      <w:r>
        <w:t xml:space="preserve">.</w:t>
      </w:r>
    </w:p>
    <w:bookmarkEnd w:id="43"/>
    <w:bookmarkStart w:id="45" w:name="arquitetura-e-presets"/>
    <w:p>
      <w:pPr>
        <w:pStyle w:val="Heading2"/>
      </w:pPr>
      <w:r>
        <w:t xml:space="preserve">3.2 Arquitetura e presets</w:t>
      </w:r>
    </w:p>
    <w:p>
      <w:pPr>
        <w:pStyle w:val="FirstParagraph"/>
      </w:pPr>
      <w:r>
        <w:t xml:space="preserve">O modelo implementado é um</w:t>
      </w:r>
      <w:r>
        <w:t xml:space="preserve"> </w:t>
      </w:r>
      <w:r>
        <w:rPr>
          <w:iCs/>
          <w:i/>
        </w:rPr>
        <w:t xml:space="preserve">Transformer decoder-only</w:t>
      </w:r>
      <w:r>
        <w:t xml:space="preserve"> </w:t>
      </w:r>
      <w:r>
        <w:t xml:space="preserve">com as quatro modernizações descritas na Seção 2.4. Os hiperparâmetros são parametrizados por</w:t>
      </w:r>
      <w:r>
        <w:t xml:space="preserve"> </w:t>
      </w:r>
      <w:r>
        <w:rPr>
          <w:iCs/>
          <w:i/>
        </w:rPr>
        <w:t xml:space="preserve">presets</w:t>
      </w:r>
      <w:r>
        <w:t xml:space="preserve"> </w:t>
      </w:r>
      <w:r>
        <w:t xml:space="preserve">derivados da tabela de escalonamento adotada, variando do</w:t>
      </w:r>
      <w:r>
        <w:t xml:space="preserve"> </w:t>
      </w:r>
      <w:r>
        <w:rPr>
          <w:iCs/>
          <w:i/>
        </w:rPr>
        <w:t xml:space="preserve">small</w:t>
      </w:r>
      <w:r>
        <w:t xml:space="preserve"> </w:t>
      </w:r>
      <w:r>
        <w:t xml:space="preserve">ao</w:t>
      </w:r>
      <w:r>
        <w:t xml:space="preserve"> </w:t>
      </w:r>
      <w:r>
        <w:rPr>
          <w:iCs/>
          <w:i/>
        </w:rPr>
        <w:t xml:space="preserve">xl</w:t>
      </w:r>
      <w:r>
        <w:t xml:space="preserve"> </w:t>
      </w:r>
      <w:r>
        <w:t xml:space="preserve">(Tabela 1). Essa parametrização permite variar a capacidade mantendo constante o restante do</w:t>
      </w:r>
      <w:r>
        <w:t xml:space="preserve"> </w:t>
      </w:r>
      <w:r>
        <w:rPr>
          <w:iCs/>
          <w:i/>
        </w:rPr>
        <w:t xml:space="preserve">pipeline</w:t>
      </w:r>
      <w:r>
        <w:t xml:space="preserve">, condição necessária para isolar o efeito da escala. A distribuição de parâmetros por componente (Figura 12) confirma que a maior parte reside na MLP, seguida da atenção — não na</w:t>
      </w:r>
      <w:r>
        <w:t xml:space="preserve"> </w:t>
      </w:r>
      <w:r>
        <w:rPr>
          <w:iCs/>
          <w:i/>
        </w:rPr>
        <w:t xml:space="preserve">embedding</w:t>
      </w:r>
      <w:r>
        <w:t xml:space="preserve">, cujo peso é compartilhado com a projeção de saída (</w:t>
      </w:r>
      <w:r>
        <w:rPr>
          <w:iCs/>
          <w:i/>
        </w:rPr>
        <w:t xml:space="preserve">weight tying</w:t>
      </w:r>
      <w:r>
        <w:t xml:space="preserve">).</w:t>
      </w:r>
    </w:p>
    <w:p>
      <w:pPr>
        <w:pStyle w:val="BodyText"/>
      </w:pPr>
      <w:r>
        <w:t xml:space="preserve">Tabela 1 –</w:t>
      </w:r>
      <w:r>
        <w:t xml:space="preserve"> </w:t>
      </w:r>
      <w:r>
        <w:rPr>
          <w:iCs/>
          <w:i/>
        </w:rPr>
        <w:t xml:space="preserve">Presets</w:t>
      </w:r>
      <w:r>
        <w:t xml:space="preserve"> </w:t>
      </w:r>
      <w:r>
        <w:t xml:space="preserve">de arquitetura derivados da tabela de escalonamento.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Preset</w:t>
            </w:r>
          </w:p>
        </w:tc>
        <w:tc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(embed)</w:t>
            </w:r>
          </w:p>
        </w:tc>
        <w:tc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(camadas)</w:t>
            </w:r>
          </w:p>
        </w:tc>
        <w:tc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(cabeças)</w:t>
            </w:r>
          </w:p>
        </w:tc>
        <w:tc>
          <w:p>
            <w:pPr>
              <w:pStyle w:val="Compact"/>
              <w:jc w:val="center"/>
            </w:pPr>
            <w:r>
              <w:t xml:space="preserve">Parâmetros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≈ 1,8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center"/>
            </w:pPr>
            <w:r>
              <w:t xml:space="preserve">512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42,7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p>
            <w:pPr>
              <w:pStyle w:val="Compact"/>
              <w:jc w:val="center"/>
            </w:pPr>
            <w:r>
              <w:t xml:space="preserve">768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p>
            <w:pPr>
              <w:pStyle w:val="Compact"/>
              <w:jc w:val="center"/>
            </w:pPr>
            <w:r>
              <w:t xml:space="preserve">91,2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p>
            <w:pPr>
              <w:pStyle w:val="Compact"/>
              <w:jc w:val="center"/>
            </w:pPr>
            <w:r>
              <w:t xml:space="preserve">210,8 M</w:t>
            </w:r>
          </w:p>
        </w:tc>
      </w:tr>
    </w:tbl>
    <w:p>
      <w:pPr>
        <w:pStyle w:val="BodyText"/>
      </w:pPr>
      <w:r>
        <w:t xml:space="preserve">Fonte: elaborada pelo autor (2026).</w:t>
      </w:r>
    </w:p>
    <w:p>
      <w:pPr>
        <w:pStyle w:val="CaptionedFigure"/>
      </w:pPr>
      <w:r>
        <w:drawing>
          <wp:inline>
            <wp:extent cx="4679999" cy="3093559"/>
            <wp:effectExtent b="0" l="0" r="0" t="0"/>
            <wp:docPr descr="Figura 12 – Distribuição de parâmetros por componente. A MLP concentra a maior parcela, seguida da atenção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3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9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 – Distribuição de parâmetros por componente. A MLP concentra a maior parcela, seguida da atenção. Fonte: elaborada pelo autor a partir dos notebooks do projeto (2026).</w:t>
      </w:r>
    </w:p>
    <w:p>
      <w:pPr>
        <w:pStyle w:val="BodyText"/>
      </w:pPr>
      <w:r>
        <w:t xml:space="preserve">Os experimentos deste trabalho utilizam o</w:t>
      </w:r>
      <w:r>
        <w:t xml:space="preserve"> </w:t>
      </w:r>
      <w:r>
        <w:rPr>
          <w:iCs/>
          <w:i/>
        </w:rPr>
        <w:t xml:space="preserve">preset small</w:t>
      </w:r>
      <w:r>
        <w:t xml:space="preserve"> </w:t>
      </w:r>
      <w:r>
        <w:t xml:space="preserve">(1.803.904 parâmetros), o único treinável em tempo hábil em CPU, mantido fixo em todo o estudo de corpora para isolar o efeito dos dados.</w:t>
      </w:r>
    </w:p>
    <w:bookmarkEnd w:id="45"/>
    <w:bookmarkStart w:id="47" w:name="pipeline-de-dados-e-a-jornada-de-corpora"/>
    <w:p>
      <w:pPr>
        <w:pStyle w:val="Heading2"/>
      </w:pPr>
      <w:r>
        <w:t xml:space="preserve">3.3</w:t>
      </w:r>
      <w:r>
        <w:t xml:space="preserve"> </w:t>
      </w:r>
      <w:r>
        <w:rPr>
          <w:iCs/>
          <w:i/>
        </w:rPr>
        <w:t xml:space="preserve">Pipeline</w:t>
      </w:r>
      <w:r>
        <w:t xml:space="preserve"> </w:t>
      </w:r>
      <w:r>
        <w:t xml:space="preserve">de dados e a jornada de corpora</w:t>
      </w:r>
    </w:p>
    <w:p>
      <w:pPr>
        <w:pStyle w:val="FirstParagraph"/>
      </w:pPr>
      <w:r>
        <w:t xml:space="preserve">O corpus é processado por um</w:t>
      </w:r>
      <w:r>
        <w:t xml:space="preserve"> </w:t>
      </w:r>
      <w:r>
        <w:rPr>
          <w:iCs/>
          <w:i/>
        </w:rPr>
        <w:t xml:space="preserve">pipeline</w:t>
      </w:r>
      <w:r>
        <w:t xml:space="preserve"> </w:t>
      </w:r>
      <w:r>
        <w:t xml:space="preserve">comum a todos os experimentos: coleta, limpeza, tokenização por BPE em nível de</w:t>
      </w:r>
      <w:r>
        <w:t xml:space="preserve"> </w:t>
      </w:r>
      <w:r>
        <w:rPr>
          <w:iCs/>
          <w:i/>
        </w:rPr>
        <w:t xml:space="preserve">byte</w:t>
      </w:r>
      <w:r>
        <w:t xml:space="preserve"> </w:t>
      </w:r>
      <w:r>
        <w:t xml:space="preserve">— cujo artefato versionado são as regras de fusão — e particionamento em janelas. A decisão de maior impacto no particionamento é a estratégia de janelas de tamanho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t</m:t>
            </m:r>
            <m:r>
              <m:t>x</m:t>
            </m:r>
          </m:sub>
        </m:sSub>
      </m:oMath>
      <w:r>
        <w:t xml:space="preserve">. A abordagem por janela deslizante (</w:t>
      </w:r>
      <w:r>
        <w:rPr>
          <w:iCs/>
          <w:i/>
        </w:rPr>
        <w:t xml:space="preserve">sliding</w:t>
      </w:r>
      <w:r>
        <w:t xml:space="preserve">, passo 1) gera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  <m:scr m:val="script"/>
          </m:rPr>
          <m:t>D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c</m:t>
            </m:r>
            <m:r>
              <m:t>t</m:t>
            </m:r>
            <m:r>
              <m:t>x</m:t>
            </m:r>
          </m:sub>
        </m:sSub>
      </m:oMath>
      <w:r>
        <w:t xml:space="preserve"> </w:t>
      </w:r>
      <w:r>
        <w:t xml:space="preserve">amostras; a contígua (</w:t>
      </w:r>
      <w:r>
        <w:rPr>
          <w:iCs/>
          <w:i/>
        </w:rPr>
        <w:t xml:space="preserve">chunked</w:t>
      </w:r>
      <w:r>
        <w:t xml:space="preserve">, passo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t</m:t>
            </m:r>
            <m:r>
              <m:t>x</m:t>
            </m:r>
          </m:sub>
        </m:sSub>
      </m:oMath>
      <w:r>
        <w:t xml:space="preserve">) gera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  <m:scr m:val="script"/>
            </m:rPr>
            <m:t>D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nor/>
                  <m:sty m:val="p"/>
                </m:rPr>
                <m:t>chunked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  <m:r>
                        <m:t>t</m:t>
                      </m:r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amostras, com cada</w:t>
      </w:r>
      <w:r>
        <w:t xml:space="preserve"> </w:t>
      </w:r>
      <w:r>
        <w:rPr>
          <w:iCs/>
          <w:i/>
        </w:rPr>
        <w:t xml:space="preserve">token</w:t>
      </w:r>
      <w:r>
        <w:t xml:space="preserve"> </w:t>
      </w:r>
      <w:r>
        <w:t xml:space="preserve">visto uma única vez por época. A razão entre as duas é aproximadamente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t</m:t>
            </m:r>
            <m:r>
              <m:t>x</m:t>
            </m:r>
          </m:sub>
        </m:sSub>
      </m:oMath>
      <w:r>
        <w:t xml:space="preserve"> </w:t>
      </w:r>
      <w:r>
        <w:t xml:space="preserve">(Figura 13); adotou-se a</w:t>
      </w:r>
      <w:r>
        <w:t xml:space="preserve"> </w:t>
      </w:r>
      <w:r>
        <w:rPr>
          <w:iCs/>
          <w:i/>
        </w:rPr>
        <w:t xml:space="preserve">chunked</w:t>
      </w:r>
      <w:r>
        <w:t xml:space="preserve">, que reduz o custo por época em cerca de duas ordens de grandeza sem perda mensurável de qualidade.</w:t>
      </w:r>
    </w:p>
    <w:p>
      <w:pPr>
        <w:pStyle w:val="CaptionedFigure"/>
      </w:pPr>
      <w:r>
        <w:drawing>
          <wp:inline>
            <wp:extent cx="5334000" cy="2940000"/>
            <wp:effectExtent b="0" l="0" r="0" t="0"/>
            <wp:docPr descr="Figura 13 – Particionamento do mesmo fluxo de tokens (N=16, T_{ctx}=4). O modo chunked (topo) usa janelas contíguas sem sobreposição; o sliding (base) desliza de um em um, gerando janelas quase idênticas e redundantes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5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 – Particionamento do mesmo fluxo de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  <m:r>
              <m:t>t</m:t>
            </m:r>
            <m:r>
              <m:t>x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). O modo</w:t>
      </w:r>
      <w:r>
        <w:t xml:space="preserve"> </w:t>
      </w:r>
      <w:r>
        <w:rPr>
          <w:iCs/>
          <w:i/>
        </w:rPr>
        <w:t xml:space="preserve">chunked</w:t>
      </w:r>
      <w:r>
        <w:t xml:space="preserve"> </w:t>
      </w:r>
      <w:r>
        <w:t xml:space="preserve">(topo) usa janelas contíguas sem sobreposição; o</w:t>
      </w:r>
      <w:r>
        <w:t xml:space="preserve"> </w:t>
      </w:r>
      <w:r>
        <w:rPr>
          <w:iCs/>
          <w:i/>
        </w:rPr>
        <w:t xml:space="preserve">sliding</w:t>
      </w:r>
      <w:r>
        <w:t xml:space="preserve"> </w:t>
      </w:r>
      <w:r>
        <w:t xml:space="preserve">(base) desliza de um em um, gerando janelas quase idênticas e redundantes. Fonte: elaborada pelo autor a partir dos notebooks do projeto (2026).</w:t>
      </w:r>
    </w:p>
    <w:p>
      <w:pPr>
        <w:pStyle w:val="BodyText"/>
      </w:pPr>
      <w:r>
        <w:t xml:space="preserve">A escolha do</w:t>
      </w:r>
      <w:r>
        <w:t xml:space="preserve"> </w:t>
      </w:r>
      <w:r>
        <w:rPr>
          <w:bCs/>
          <w:b/>
        </w:rPr>
        <w:t xml:space="preserve">domínio</w:t>
      </w:r>
      <w:r>
        <w:t xml:space="preserve"> </w:t>
      </w:r>
      <w:r>
        <w:t xml:space="preserve">do corpus evoluiu ao longo do trabalho e constitui, em si, uma contribuição metodológica. O corpus inicial reuniu artigos de física de partículas coletados da Wikipedia. Uma etapa de curadoria mostrou-se determinante: a inspeção revelou que os extratos vazavam marcação matemática TeX/MathML, correspondente a cerca de 28% do texto, o que induzia o modelo a reproduzir LaTeX; a remoção dessa marcação foi implementada na rotina de limpeza. Um segundo corpus, de artigos de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foi coletado pelo mesmo</w:t>
      </w:r>
      <w:r>
        <w:t xml:space="preserve"> </w:t>
      </w:r>
      <w:r>
        <w:rPr>
          <w:iCs/>
          <w:i/>
        </w:rPr>
        <w:t xml:space="preserve">pipeline</w:t>
      </w:r>
      <w:r>
        <w:t xml:space="preserve">. Contudo, ambos são prosa técnica de</w:t>
      </w:r>
      <w:r>
        <w:t xml:space="preserve"> </w:t>
      </w:r>
      <w:r>
        <w:rPr>
          <w:bCs/>
          <w:b/>
        </w:rPr>
        <w:t xml:space="preserve">alta entropia</w:t>
      </w:r>
      <w:r>
        <w:t xml:space="preserve"> </w:t>
      </w:r>
      <w:r>
        <w:t xml:space="preserve">— vocabulário denso, frases longas, estruturas variadas —, que um modelo de 1,8 milhão de parâmetros não tem capacidade de modelar com fluência.</w:t>
      </w:r>
    </w:p>
    <w:p>
      <w:pPr>
        <w:pStyle w:val="BodyText"/>
      </w:pPr>
      <w:r>
        <w:t xml:space="preserve">A partir dessa constatação, adotou-se o</w:t>
      </w:r>
      <w:r>
        <w:t xml:space="preserve"> </w:t>
      </w:r>
      <w:r>
        <w:rPr>
          <w:bCs/>
          <w:b/>
        </w:rPr>
        <w:t xml:space="preserve">TinyStories</w:t>
      </w:r>
      <w:r>
        <w:t xml:space="preserve"> </w:t>
      </w:r>
      <w:r>
        <w:t xml:space="preserve">(ELDAN; LI, 2023): um corpus de histórias curtas sintéticas com vocabulário de criança de três a quatro anos, de entropia deliberadamente baixa. Utilizou-se um subconjunto de 8.000 histórias (aproximadamente 2,9 milhões de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após a tokenização). A hipótese, verificada na Seção 4, é que casar a entropia do corpus com a capacidade do modelo — e não o tópico do corpus — é o que permite ao modelo pequeno atingir coerência.</w:t>
      </w:r>
    </w:p>
    <w:bookmarkEnd w:id="47"/>
    <w:bookmarkStart w:id="49" w:name="procedimento-de-treino"/>
    <w:p>
      <w:pPr>
        <w:pStyle w:val="Heading2"/>
      </w:pPr>
      <w:r>
        <w:t xml:space="preserve">3.4 Procedimento de treino</w:t>
      </w:r>
    </w:p>
    <w:p>
      <w:pPr>
        <w:pStyle w:val="FirstParagraph"/>
      </w:pPr>
      <w:r>
        <w:t xml:space="preserve">O objetivo de treino é a</w:t>
      </w:r>
      <w:r>
        <w:t xml:space="preserve"> </w:t>
      </w:r>
      <w:r>
        <w:rPr>
          <w:iCs/>
          <w:i/>
        </w:rPr>
        <w:t xml:space="preserve">cross-entropy</w:t>
      </w:r>
      <w:r>
        <w:t xml:space="preserve"> </w:t>
      </w:r>
      <w:r>
        <w:t xml:space="preserve">autoregressiva, minimizada por máxima verossimilhança: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t>T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nor/>
                      <m:sty m:val="p"/>
                    </m:rPr>
                    <m:t>log</m:t>
                  </m:r>
                </m:e>
              </m:nary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∣</m:t>
          </m:r>
          <m:sSubSup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 toda posição emite uma predição simultaneamente, uma sequência de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constitui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exemplos de treino de uma só vez. O otimizador é o AdamW (LOSHCHILOV; HUTTER, 2019), com taxa de aprendizado máxima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,</m:t>
        </m:r>
        <m:r>
          <m:t>999</m:t>
        </m:r>
        <m:r>
          <m:rPr>
            <m:sty m:val="p"/>
          </m:rPr>
          <m:t>)</m:t>
        </m:r>
      </m:oMath>
      <w:r>
        <w:t xml:space="preserve">. Uma decisão não trivial é separar os parâmetros em dois grupos: matrizes recebem</w:t>
      </w:r>
      <w:r>
        <w:t xml:space="preserve"> </w:t>
      </w:r>
      <w:r>
        <w:rPr>
          <w:iCs/>
          <w:i/>
        </w:rPr>
        <w:t xml:space="preserve">weight decay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 enquanto vetores unidimensionais (</w:t>
      </w:r>
      <w:r>
        <w:rPr>
          <w:iCs/>
          <w:i/>
        </w:rPr>
        <w:t xml:space="preserve">biases</w:t>
      </w:r>
      <w:r>
        <w:t xml:space="preserve"> </w:t>
      </w:r>
      <w:r>
        <w:t xml:space="preserve">e ganhos de normalização) recebem decaimento nulo — penalizar o ganho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de uma normalização distorceria a escala repassada à camada seguinte em vez de regularizá-la.</w:t>
      </w:r>
    </w:p>
    <w:p>
      <w:pPr>
        <w:pStyle w:val="BodyText"/>
      </w:pPr>
      <w:r>
        <w:t xml:space="preserve">A taxa de aprendizado é agendada em duas fases (Figura 14): sobe linearmente durante o</w:t>
      </w:r>
      <w:r>
        <w:t xml:space="preserve"> </w:t>
      </w:r>
      <w:r>
        <w:rPr>
          <w:iCs/>
          <w:i/>
        </w:rPr>
        <w:t xml:space="preserve">warmup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min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,</m:t>
        </m:r>
        <m:r>
          <m:t>2000</m:t>
        </m:r>
        <m:r>
          <m:rPr>
            <m:sty m:val="p"/>
          </m:rPr>
          <m:t>)</m:t>
        </m:r>
      </m:oMath>
      <w:r>
        <w:t xml:space="preserve"> </w:t>
      </w:r>
      <w:r>
        <w:t xml:space="preserve">passos e, em seguida, decai por cosseno até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η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t> </m:t>
                    </m:r>
                    <m:f>
                      <m:fPr>
                        <m:type m:val="lin"/>
                      </m:fPr>
                      <m:nu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w</m:t>
                            </m:r>
                          </m:sub>
                        </m:sSub>
                      </m:num>
                      <m:den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w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CaptionedFigure"/>
      </w:pPr>
      <w:r>
        <w:drawing>
          <wp:inline>
            <wp:extent cx="4679999" cy="2649056"/>
            <wp:effectExtent b="0" l="0" r="0" t="0"/>
            <wp:docPr descr="Figura 14 – Agendamento da taxa de aprendizado: warmup linear seguido de decaimento por cosseno até \eta_{\min}=0{,}1\,\eta_{\max}. Fonte: elaborada pelo autor a partir dos notebooks do projeto (2026)." title="" id="1" name="Picture"/>
            <a:graphic>
              <a:graphicData uri="http://schemas.openxmlformats.org/drawingml/2006/picture">
                <pic:pic>
                  <pic:nvPicPr>
                    <pic:cNvPr descr="figs/nb06_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649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 – Agendamento da taxa de aprendizado:</w:t>
      </w:r>
      <w:r>
        <w:t xml:space="preserve"> </w:t>
      </w:r>
      <w:r>
        <w:rPr>
          <w:iCs/>
          <w:i/>
        </w:rPr>
        <w:t xml:space="preserve">warmup</w:t>
      </w:r>
      <w:r>
        <w:t xml:space="preserve"> </w:t>
      </w:r>
      <w:r>
        <w:t xml:space="preserve">linear seguido de decaimento por cosseno até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nor/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t> </m:t>
        </m:r>
        <m:sSub>
          <m:e>
            <m:r>
              <m:t>η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. Fonte: elaborada pelo autor a partir dos notebooks do projeto (2026).</w:t>
      </w:r>
    </w:p>
    <w:p>
      <w:pPr>
        <w:pStyle w:val="BodyText"/>
      </w:pPr>
      <w:r>
        <w:t xml:space="preserve">Completam o laço o recorte de gradiente por norma global,</w:t>
      </w:r>
      <w:r>
        <w:t xml:space="preserve"> </w:t>
      </w:r>
      <m:oMath>
        <m:r>
          <m:t>g</m:t>
        </m:r>
        <m:r>
          <m:rPr>
            <m:sty m:val="p"/>
          </m:rPr>
          <m:t>←</m:t>
        </m:r>
        <m:r>
          <m:t>g</m:t>
        </m:r>
        <m:r>
          <m:rPr>
            <m:sty m:val="p"/>
          </m:rPr>
          <m:t>⋅</m:t>
        </m:r>
        <m:r>
          <m:rPr>
            <m:nor/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 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t>g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a acumulação de gradiente, a precisão BF16 (quando em GPU) e a parada antecipada por paciência.</w:t>
      </w:r>
    </w:p>
    <w:bookmarkEnd w:id="49"/>
    <w:bookmarkStart w:id="50" w:name="avaliação-e-benchmark"/>
    <w:p>
      <w:pPr>
        <w:pStyle w:val="Heading2"/>
      </w:pPr>
      <w:r>
        <w:t xml:space="preserve">3.5 Avaliação e</w:t>
      </w:r>
      <w:r>
        <w:t xml:space="preserve"> </w:t>
      </w:r>
      <w:r>
        <w:rPr>
          <w:iCs/>
          <w:i/>
        </w:rPr>
        <w:t xml:space="preserve">benchmark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cross-entropy</w:t>
      </w:r>
      <w:r>
        <w:t xml:space="preserve"> </w:t>
      </w:r>
      <w:r>
        <w:t xml:space="preserve">crua não tem significado isolado; requer referências. O piso trivial é a perda de um modelo que chuta uniformemente sobre o vocabulário,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trivial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log</m:t>
        </m:r>
        <m:r>
          <m:t>V</m:t>
        </m:r>
      </m:oMath>
      <w:r>
        <w:t xml:space="preserve"> </w:t>
      </w:r>
      <w:r>
        <w:t xml:space="preserve">(para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4096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≈</m:t>
        </m:r>
        <m:r>
          <m:t>8</m:t>
        </m:r>
        <m:r>
          <m:rPr>
            <m:sty m:val="p"/>
          </m:rPr>
          <m:t>,</m:t>
        </m:r>
        <m:r>
          <m:t>32</m:t>
        </m:r>
      </m:oMath>
      <w:r>
        <w:t xml:space="preserve"> </w:t>
      </w:r>
      <w:r>
        <w:rPr>
          <w:iCs/>
          <w:i/>
        </w:rPr>
        <w:t xml:space="preserve">nats</w:t>
      </w:r>
      <w:r>
        <w:t xml:space="preserve">); qualquer modelo útil fica abaixo dele. Para comparar modelos com</w:t>
      </w:r>
      <w:r>
        <w:t xml:space="preserve"> </w:t>
      </w:r>
      <w:r>
        <w:rPr>
          <w:iCs/>
          <w:i/>
        </w:rPr>
        <w:t xml:space="preserve">tokenizers</w:t>
      </w:r>
      <w:r>
        <w:t xml:space="preserve"> </w:t>
      </w:r>
      <w:r>
        <w:t xml:space="preserve">distintos, a métrica correta é</w:t>
      </w:r>
      <w:r>
        <w:t xml:space="preserve"> </w:t>
      </w:r>
      <w:r>
        <w:rPr>
          <w:bCs/>
          <w:b/>
        </w:rPr>
        <w:t xml:space="preserve">independente do tokenizer</w:t>
      </w:r>
      <w:r>
        <w:t xml:space="preserve">: os</w:t>
      </w:r>
      <w:r>
        <w:t xml:space="preserve"> </w:t>
      </w:r>
      <w:r>
        <w:rPr>
          <w:iCs/>
          <w:i/>
        </w:rPr>
        <w:t xml:space="preserve">bits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byte</w:t>
      </w:r>
      <w:r>
        <w:t xml:space="preserve"> </w:t>
      </w:r>
      <w:r>
        <w:t xml:space="preserve">(BPB), que normalizam a log-verossimilhança pelos</w:t>
      </w:r>
      <w:r>
        <w:t xml:space="preserve"> </w:t>
      </w:r>
      <w:r>
        <w:rPr>
          <w:iCs/>
          <w:i/>
        </w:rPr>
        <w:t xml:space="preserve">bytes</w:t>
      </w:r>
      <w:r>
        <w:t xml:space="preserve"> </w:t>
      </w:r>
      <w:r>
        <w:t xml:space="preserve">do texto cru, e não pelos</w:t>
      </w:r>
      <w:r>
        <w:t xml:space="preserve"> </w:t>
      </w:r>
      <w:r>
        <w:rPr>
          <w:iCs/>
          <w:i/>
        </w:rPr>
        <w:t xml:space="preserve">tokens</w:t>
      </w:r>
      <w:r>
        <w:t xml:space="preserve">. Formalmente, para uma</w:t>
      </w:r>
      <w:r>
        <w:t xml:space="preserve"> </w:t>
      </w:r>
      <w:r>
        <w:rPr>
          <w:iCs/>
          <w:i/>
        </w:rPr>
        <w:t xml:space="preserve">cross-entropy</w:t>
      </w:r>
      <w:r>
        <w:t xml:space="preserve"> </w:t>
      </w:r>
      <w:r>
        <w:t xml:space="preserve">total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nor/>
                <m:sty m:val="p"/>
              </m:rPr>
              <m:t>tot</m:t>
            </m:r>
          </m:sub>
        </m:sSub>
      </m:oMath>
      <w:r>
        <w:t xml:space="preserve"> </w:t>
      </w:r>
      <w:r>
        <w:t xml:space="preserve">(em</w:t>
      </w:r>
      <w:r>
        <w:t xml:space="preserve"> </w:t>
      </w:r>
      <w:r>
        <w:rPr>
          <w:iCs/>
          <w:i/>
        </w:rPr>
        <w:t xml:space="preserve">nats</w:t>
      </w:r>
      <w:r>
        <w:t xml:space="preserve">) sobre um texto de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iCs/>
          <w:i/>
        </w:rPr>
        <w:t xml:space="preserve">bytes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BPB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tot</m:t>
                  </m:r>
                </m:sub>
              </m:sSub>
            </m:num>
            <m:den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perplexity por</w:t>
      </w:r>
      <w:r>
        <w:t xml:space="preserve"> </w:t>
      </w:r>
      <w:r>
        <w:rPr>
          <w:iCs/>
          <w:i/>
        </w:rPr>
        <w:t xml:space="preserve">token</w:t>
      </w:r>
      <w:r>
        <w:t xml:space="preserve">, ao contrário,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comparável entre</w:t>
      </w:r>
      <w:r>
        <w:t xml:space="preserve"> </w:t>
      </w:r>
      <w:r>
        <w:rPr>
          <w:iCs/>
          <w:i/>
        </w:rPr>
        <w:t xml:space="preserve">tokenizers</w:t>
      </w:r>
      <w:r>
        <w:t xml:space="preserve"> </w:t>
      </w:r>
      <w:r>
        <w:t xml:space="preserve">de vocabulários diferentes, pois muda a unidade de contagem. O</w:t>
      </w:r>
      <w:r>
        <w:t xml:space="preserve"> </w:t>
      </w:r>
      <w:r>
        <w:rPr>
          <w:iCs/>
          <w:i/>
        </w:rPr>
        <w:t xml:space="preserve">benchmark</w:t>
      </w:r>
      <w:r>
        <w:t xml:space="preserve"> </w:t>
      </w:r>
      <w:r>
        <w:t xml:space="preserve">da Seção 4.2 mede, portanto, o BPB do TucanoCE e do GPT-2 sobre o</w:t>
      </w:r>
      <w:r>
        <w:t xml:space="preserve"> </w:t>
      </w:r>
      <w:r>
        <w:rPr>
          <w:bCs/>
          <w:b/>
        </w:rPr>
        <w:t xml:space="preserve">mesmo texto cru</w:t>
      </w:r>
      <w:r>
        <w:t xml:space="preserve"> </w:t>
      </w:r>
      <w:r>
        <w:t xml:space="preserve">— 150 histórias do TinyStories inéditas para ambos os modelos, porém por razões distintas: constituem um conjunto</w:t>
      </w:r>
      <w:r>
        <w:t xml:space="preserve"> </w:t>
      </w:r>
      <w:r>
        <w:rPr>
          <w:iCs/>
          <w:i/>
        </w:rPr>
        <w:t xml:space="preserve">held-out</w:t>
      </w:r>
      <w:r>
        <w:t xml:space="preserve"> </w:t>
      </w:r>
      <w:r>
        <w:t xml:space="preserve">para o TucanoCE, que treinou em 8.000 histórias diferentes do mesmo corpus (avaliação</w:t>
      </w:r>
      <w:r>
        <w:t xml:space="preserve"> </w:t>
      </w:r>
      <w:r>
        <w:rPr>
          <w:iCs/>
          <w:i/>
        </w:rPr>
        <w:t xml:space="preserve">in-distribution</w:t>
      </w:r>
      <w:r>
        <w:t xml:space="preserve">), e situam-se fora do domínio de treino do GPT-2, que nunca viu o TinyStories (avaliação</w:t>
      </w:r>
      <w:r>
        <w:t xml:space="preserve"> </w:t>
      </w:r>
      <w:r>
        <w:rPr>
          <w:iCs/>
          <w:i/>
        </w:rPr>
        <w:t xml:space="preserve">zero-shot</w:t>
      </w:r>
      <w:r>
        <w:t xml:space="preserve">). O cálculo usa janela deslizante com o contexto próprio de cada modelo. A correção de todos os componentes do TucanoCE foi verificada por uma suíte de 78 testes de invariância, incluindo o</w:t>
      </w:r>
      <w:r>
        <w:t xml:space="preserve"> </w:t>
      </w:r>
      <w:r>
        <w:rPr>
          <w:iCs/>
          <w:i/>
        </w:rPr>
        <w:t xml:space="preserve">round-trip</w:t>
      </w:r>
      <w:r>
        <w:t xml:space="preserve"> </w:t>
      </w:r>
      <w:r>
        <w:t xml:space="preserve">do</w:t>
      </w:r>
      <w:r>
        <w:t xml:space="preserve"> </w:t>
      </w:r>
      <w:r>
        <w:rPr>
          <w:iCs/>
          <w:i/>
        </w:rPr>
        <w:t xml:space="preserve">tokenizer</w:t>
      </w:r>
      <w:r>
        <w:t xml:space="preserve"> </w:t>
      </w:r>
      <w:r>
        <w:t xml:space="preserve">e a equivalência entre o KV-cache e o recálculo completo (erro inferior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).</w:t>
      </w:r>
    </w:p>
    <w:bookmarkEnd w:id="50"/>
    <w:bookmarkEnd w:id="51"/>
    <w:bookmarkStart w:id="57" w:name="resultados"/>
    <w:p>
      <w:pPr>
        <w:pStyle w:val="Heading1"/>
      </w:pPr>
      <w:r>
        <w:t xml:space="preserve">4 Resultados</w:t>
      </w:r>
    </w:p>
    <w:bookmarkStart w:id="54" w:name="efeito-da-entropia-do-corpus"/>
    <w:p>
      <w:pPr>
        <w:pStyle w:val="Heading2"/>
      </w:pPr>
      <w:r>
        <w:t xml:space="preserve">4.1 Efeito da entropia do corpus</w:t>
      </w:r>
    </w:p>
    <w:p>
      <w:pPr>
        <w:pStyle w:val="FirstParagraph"/>
      </w:pPr>
      <w:r>
        <w:t xml:space="preserve">O mesmo modelo (</w:t>
      </w:r>
      <w:r>
        <w:rPr>
          <w:iCs/>
          <w:i/>
        </w:rPr>
        <w:t xml:space="preserve">preset small</w:t>
      </w:r>
      <w:r>
        <w:t xml:space="preserve">, 1,8 milhão de parâmetros) foi treinado sobre os três corpora, mantendo idênticos arquitetura, tokenizador-alvo (</w:t>
      </w:r>
      <m:oMath>
        <m:r>
          <m:t>V</m:t>
        </m:r>
        <m:r>
          <m:rPr>
            <m:sty m:val="p"/>
          </m:rPr>
          <m:t>=</m:t>
        </m:r>
        <m:r>
          <m:t>4096</m:t>
        </m:r>
      </m:oMath>
      <w:r>
        <w:t xml:space="preserve">) e hiperparâmetros. A Figura 15 e a Tabela 2 resumem o resultado: a melhor perda de validação permaneceu praticamente inalterada entre física (3,087) e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 </w:t>
      </w:r>
      <w:r>
        <w:t xml:space="preserve">(3,017), mas</w:t>
      </w:r>
      <w:r>
        <w:t xml:space="preserve"> </w:t>
      </w:r>
      <w:r>
        <w:rPr>
          <w:bCs/>
          <w:b/>
        </w:rPr>
        <w:t xml:space="preserve">despencou para 1,586</w:t>
      </w:r>
      <w:r>
        <w:t xml:space="preserve"> </w:t>
      </w:r>
      <w:r>
        <w:t xml:space="preserve">com o TinyStories — uma redução de cerca de 48% obtida sem qualquer mudança no modelo, apenas trocando o corpus por um de menor entropia.</w:t>
      </w:r>
    </w:p>
    <w:p>
      <w:pPr>
        <w:pStyle w:val="CaptionedFigure"/>
      </w:pPr>
      <w:r>
        <w:drawing>
          <wp:inline>
            <wp:extent cx="4679999" cy="2868387"/>
            <wp:effectExtent b="0" l="0" r="0" t="0"/>
            <wp:docPr descr="Figura 15 – Melhor perda de validação do mesmo modelo de 1,8 M sobre três corpora, contra o piso trivial \log(4096). Trocar para texto de baixa entropia (TinyStories) reduz a perda quase à metade. Fonte: elaborada pelo autor (2026)." title="" id="1" name="Picture"/>
            <a:graphic>
              <a:graphicData uri="http://schemas.openxmlformats.org/drawingml/2006/picture">
                <pic:pic>
                  <pic:nvPicPr>
                    <pic:cNvPr descr="figs/new_valloss_corpu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6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 – Melhor perda de validação do mesmo modelo de 1,8 M sobre três corpora, contra o piso trivial</w:t>
      </w:r>
      <w:r>
        <w:t xml:space="preserve"> </w:t>
      </w:r>
      <m:oMath>
        <m:r>
          <m:rPr>
            <m:nor/>
            <m:sty m:val="p"/>
          </m:rPr>
          <m:t>log</m:t>
        </m:r>
        <m:r>
          <m:rPr>
            <m:sty m:val="p"/>
          </m:rPr>
          <m:t>(</m:t>
        </m:r>
        <m:r>
          <m:t>4096</m:t>
        </m:r>
        <m:r>
          <m:rPr>
            <m:sty m:val="p"/>
          </m:rPr>
          <m:t>)</m:t>
        </m:r>
      </m:oMath>
      <w:r>
        <w:t xml:space="preserve">. Trocar para texto de baixa entropia (TinyStories) reduz a perda quase à metade. Fonte: elaborada pelo autor (2026).</w:t>
      </w:r>
    </w:p>
    <w:p>
      <w:pPr>
        <w:pStyle w:val="BodyText"/>
      </w:pPr>
      <w:r>
        <w:t xml:space="preserve">Tabela 2 – Treino do mesmo modelo (1,8 M) em três corpora.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p>
            <w:pPr>
              <w:pStyle w:val="Compact"/>
              <w:jc w:val="center"/>
            </w:pPr>
            <w:r>
              <w:t xml:space="preserve">Tokens</w:t>
            </w:r>
          </w:p>
        </w:tc>
        <w:tc>
          <w:p>
            <w:pPr>
              <w:pStyle w:val="Compact"/>
              <w:jc w:val="center"/>
            </w:pPr>
            <w:r>
              <w:t xml:space="preserve">Melhor val_loss</w:t>
            </w:r>
          </w:p>
        </w:tc>
        <w:tc>
          <w:p>
            <w:pPr>
              <w:pStyle w:val="Compact"/>
              <w:jc w:val="center"/>
            </w:pPr>
            <w:r>
              <w:t xml:space="preserve">Acurácia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Física de partículas</w:t>
            </w:r>
          </w:p>
        </w:tc>
        <w:tc>
          <w:p>
            <w:pPr>
              <w:pStyle w:val="Compact"/>
              <w:jc w:val="center"/>
            </w:pPr>
            <w:r>
              <w:t xml:space="preserve">≈ 0,42 M</w:t>
            </w:r>
          </w:p>
        </w:tc>
        <w:tc>
          <w:p>
            <w:pPr>
              <w:pStyle w:val="Compact"/>
              <w:jc w:val="center"/>
            </w:pPr>
            <w:r>
              <w:t xml:space="preserve">3,087</w:t>
            </w:r>
          </w:p>
        </w:tc>
        <w:tc>
          <w:p>
            <w:pPr>
              <w:pStyle w:val="Compact"/>
              <w:jc w:val="center"/>
            </w:pPr>
            <w:r>
              <w:t xml:space="preserve">0,50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p>
            <w:pPr>
              <w:pStyle w:val="Compact"/>
              <w:jc w:val="center"/>
            </w:pPr>
            <w:r>
              <w:t xml:space="preserve">≈ 0,59 M</w:t>
            </w:r>
          </w:p>
        </w:tc>
        <w:tc>
          <w:p>
            <w:pPr>
              <w:pStyle w:val="Compact"/>
              <w:jc w:val="center"/>
            </w:pPr>
            <w:r>
              <w:t xml:space="preserve">3,017</w:t>
            </w:r>
          </w:p>
        </w:tc>
        <w:tc>
          <w:p>
            <w:pPr>
              <w:pStyle w:val="Compact"/>
              <w:jc w:val="center"/>
            </w:pPr>
            <w:r>
              <w:t xml:space="preserve">0,49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TinyStories</w:t>
            </w:r>
          </w:p>
        </w:tc>
        <w:tc>
          <w:p>
            <w:pPr>
              <w:pStyle w:val="Compact"/>
              <w:jc w:val="center"/>
            </w:pPr>
            <w:r>
              <w:t xml:space="preserve">≈ 2,9 M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1,586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0,66</w:t>
            </w:r>
          </w:p>
        </w:tc>
      </w:tr>
    </w:tbl>
    <w:p>
      <w:pPr>
        <w:pStyle w:val="BodyText"/>
      </w:pPr>
      <w:r>
        <w:t xml:space="preserve">Fonte: elaborada pelo autor (2026).</w:t>
      </w:r>
    </w:p>
    <w:p>
      <w:pPr>
        <w:pStyle w:val="BodyText"/>
      </w:pPr>
      <w:r>
        <w:t xml:space="preserve">O treino no TinyStories convergiu de forma estável, sem sinal de sobreajuste até a última época (Figura 16). O caráter qualitativo da diferença é evidente na geração. A partir do</w:t>
      </w:r>
      <w:r>
        <w:t xml:space="preserve"> </w:t>
      </w:r>
      <w:r>
        <w:rPr>
          <w:iCs/>
          <w:i/>
        </w:rPr>
        <w:t xml:space="preserve">prompt</w:t>
      </w:r>
      <w:r>
        <w:t xml:space="preserve"> </w:t>
      </w:r>
      <w:r>
        <w:t xml:space="preserve">“</w:t>
      </w:r>
      <w:r>
        <w:rPr>
          <w:iCs/>
          <w:i/>
        </w:rPr>
        <w:t xml:space="preserve">Once upon a time</w:t>
      </w:r>
      <w:r>
        <w:t xml:space="preserve">”</w:t>
      </w:r>
      <w:r>
        <w:t xml:space="preserve">, o modelo treinado no TinyStories produz texto</w:t>
      </w:r>
      <w:r>
        <w:t xml:space="preserve"> </w:t>
      </w:r>
      <w:r>
        <w:rPr>
          <w:bCs/>
          <w:b/>
        </w:rPr>
        <w:t xml:space="preserve">coerente e gramatical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Once upon a time, there was a little girl named Lily. She loved to play outside with her dolls, but it was big and soft. One day, Lily’s mom made…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ao passo que, nos corpora técnicos, o mesmo modelo gerava apenas jargão sintaticamente quebrado. Confirma-se, assim, a hipótese: a coerência de um modelo pequeno depende de adequar a entropia dos dados à sua capacidade, não do tópico.</w:t>
      </w:r>
    </w:p>
    <w:p>
      <w:pPr>
        <w:pStyle w:val="CaptionedFigure"/>
      </w:pPr>
      <w:r>
        <w:drawing>
          <wp:inline>
            <wp:extent cx="4679999" cy="2868387"/>
            <wp:effectExtent b="0" l="0" r="0" t="0"/>
            <wp:docPr descr="Figura 16 – Curva de treino no TinyStories: a perda de validação decresce de forma monótona até a época 8, sem sobreajuste. Fonte: elaborada pelo autor (2026)." title="" id="1" name="Picture"/>
            <a:graphic>
              <a:graphicData uri="http://schemas.openxmlformats.org/drawingml/2006/picture">
                <pic:pic>
                  <pic:nvPicPr>
                    <pic:cNvPr descr="figs/new_tinystories_curv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6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 – Curva de treino no TinyStories: a perda de validação decresce de forma monótona até a época 8, sem sobreajuste. Fonte: elaborada pelo autor (2026).</w:t>
      </w:r>
    </w:p>
    <w:bookmarkEnd w:id="54"/>
    <w:bookmarkStart w:id="56" w:name="comparação-com-o-gpt-2"/>
    <w:p>
      <w:pPr>
        <w:pStyle w:val="Heading2"/>
      </w:pPr>
      <w:r>
        <w:t xml:space="preserve">4.2 Comparação com o GPT-2</w:t>
      </w:r>
    </w:p>
    <w:p>
      <w:pPr>
        <w:pStyle w:val="FirstParagraph"/>
      </w:pPr>
      <w:r>
        <w:t xml:space="preserve">O modelo especialista (TucanoCE treinado no TinyStories) foi comparado ao GPT-2 (124 milhões de parâmetros,</w:t>
      </w:r>
      <w:r>
        <w:t xml:space="preserve"> </w:t>
      </w:r>
      <w:r>
        <w:rPr>
          <w:iCs/>
          <w:i/>
        </w:rPr>
        <w:t xml:space="preserve">zero-shot</w:t>
      </w:r>
      <w:r>
        <w:t xml:space="preserve">, isto é, sem nunca ter treinado no TinyStories) sobre 150 histórias inéditas, pela métrica de</w:t>
      </w:r>
      <w:r>
        <w:t xml:space="preserve"> </w:t>
      </w:r>
      <w:r>
        <w:rPr>
          <w:iCs/>
          <w:i/>
        </w:rPr>
        <w:t xml:space="preserve">bits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byte</w:t>
      </w:r>
      <w:r>
        <w:t xml:space="preserve"> </w:t>
      </w:r>
      <w:r>
        <w:t xml:space="preserve">(Seção 3.5). A Tabela 3 e a Figura 17 sintetizam o resultado.</w:t>
      </w:r>
    </w:p>
    <w:p>
      <w:pPr>
        <w:pStyle w:val="BodyText"/>
      </w:pPr>
      <w:r>
        <w:t xml:space="preserve">Tabela 3 –</w:t>
      </w:r>
      <w:r>
        <w:t xml:space="preserve"> </w:t>
      </w:r>
      <w:r>
        <w:rPr>
          <w:iCs/>
          <w:i/>
        </w:rPr>
        <w:t xml:space="preserve">Benchmark</w:t>
      </w:r>
      <w:r>
        <w:t xml:space="preserve"> </w:t>
      </w:r>
      <w:r>
        <w:t xml:space="preserve">sobre 150 histórias</w:t>
      </w:r>
      <w:r>
        <w:t xml:space="preserve"> </w:t>
      </w:r>
      <w:r>
        <w:rPr>
          <w:iCs/>
          <w:i/>
        </w:rPr>
        <w:t xml:space="preserve">held-out</w:t>
      </w:r>
      <w:r>
        <w:t xml:space="preserve"> </w:t>
      </w:r>
      <w:r>
        <w:t xml:space="preserve">do TinyStories.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p>
            <w:pPr>
              <w:pStyle w:val="Compact"/>
              <w:jc w:val="center"/>
            </w:pPr>
            <w:r>
              <w:t xml:space="preserve">TucanoCE</w:t>
            </w:r>
          </w:p>
        </w:tc>
        <w:tc>
          <w:p>
            <w:pPr>
              <w:pStyle w:val="Compact"/>
              <w:jc w:val="center"/>
            </w:pPr>
            <w:r>
              <w:t xml:space="preserve">GPT-2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Parâmetros</w:t>
            </w:r>
          </w:p>
        </w:tc>
        <w:tc>
          <w:p>
            <w:pPr>
              <w:pStyle w:val="Compact"/>
              <w:jc w:val="center"/>
            </w:pPr>
            <w:r>
              <w:t xml:space="preserve">1.803.904</w:t>
            </w:r>
          </w:p>
        </w:tc>
        <w:tc>
          <w:p>
            <w:pPr>
              <w:pStyle w:val="Compact"/>
              <w:jc w:val="center"/>
            </w:pPr>
            <w:r>
              <w:t xml:space="preserve">124.439.808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Treinou em TinyStories?</w:t>
            </w:r>
          </w:p>
        </w:tc>
        <w:tc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p>
            <w:pPr>
              <w:pStyle w:val="Compact"/>
              <w:jc w:val="center"/>
            </w:pPr>
            <w:r>
              <w:t xml:space="preserve">não (</w:t>
            </w:r>
            <w:r>
              <w:rPr>
                <w:iCs/>
                <w:i/>
              </w:rPr>
              <w:t xml:space="preserve">zero-shot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Contexto (</w:t>
            </w:r>
            <w:r>
              <w:rPr>
                <w:iCs/>
                <w:i/>
              </w:rPr>
              <w:t xml:space="preserve">tokens</w:t>
            </w:r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p>
            <w:pPr>
              <w:pStyle w:val="Compact"/>
              <w:jc w:val="center"/>
            </w:pPr>
            <w:r>
              <w:t xml:space="preserve">1024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BPB (bits/byte)</w:t>
            </w:r>
            <w:r>
              <w:t xml:space="preserve"> </w:t>
            </w:r>
            <w:r>
              <w:t xml:space="preserve">↓</w:t>
            </w:r>
          </w:p>
        </w:tc>
        <w:tc>
          <w:p>
            <w:pPr>
              <w:pStyle w:val="Compact"/>
              <w:jc w:val="center"/>
            </w:pPr>
            <w:r>
              <w:t xml:space="preserve">1,013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0,772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Geração (</w:t>
            </w:r>
            <w:r>
              <w:rPr>
                <w:iCs/>
                <w:i/>
              </w:rPr>
              <w:t xml:space="preserve">tokens</w:t>
            </w:r>
            <w:r>
              <w:t xml:space="preserve">/s, CPU) ↑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371,5</w:t>
            </w:r>
          </w:p>
        </w:tc>
        <w:tc>
          <w:p>
            <w:pPr>
              <w:pStyle w:val="Compact"/>
              <w:jc w:val="center"/>
            </w:pPr>
            <w:r>
              <w:t xml:space="preserve">33,6</w:t>
            </w:r>
          </w:p>
        </w:tc>
      </w:tr>
    </w:tbl>
    <w:p>
      <w:pPr>
        <w:pStyle w:val="BodyText"/>
      </w:pPr>
      <w:r>
        <w:t xml:space="preserve">Fonte: elaborada pelo autor (2026).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Figura 17 – Comparação TucanoCE vs GPT-2 no held-out: BPB (esquerda, menor é melhor) e velocidade de geração em CPU (direita, maior é melhor). Fonte: elaborada pelo autor (2026)." title="" id="1" name="Picture"/>
            <a:graphic>
              <a:graphicData uri="http://schemas.openxmlformats.org/drawingml/2006/picture">
                <pic:pic>
                  <pic:nvPicPr>
                    <pic:cNvPr descr="figs/new_benchmar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 – Comparação TucanoCE vs GPT-2 no</w:t>
      </w:r>
      <w:r>
        <w:t xml:space="preserve"> </w:t>
      </w:r>
      <w:r>
        <w:rPr>
          <w:iCs/>
          <w:i/>
        </w:rPr>
        <w:t xml:space="preserve">held-out</w:t>
      </w:r>
      <w:r>
        <w:t xml:space="preserve">: BPB (esquerda, menor é melhor) e velocidade de geração em CPU (direita, maior é melhor). Fonte: elaborada pelo autor (2026).</w:t>
      </w:r>
    </w:p>
    <w:p>
      <w:pPr>
        <w:pStyle w:val="BodyText"/>
      </w:pPr>
      <w:r>
        <w:t xml:space="preserve">O GPT-2 obtém menor BPB (0,772 contra 1,013), como esperado de um modelo 69 vezes maior. Contudo, três ressalvas qualificam o número. Primeiro, parte da vantagem é</w:t>
      </w:r>
      <w:r>
        <w:t xml:space="preserve"> </w:t>
      </w:r>
      <w:r>
        <w:rPr>
          <w:bCs/>
          <w:b/>
        </w:rPr>
        <w:t xml:space="preserve">estrutural</w:t>
      </w:r>
      <w:r>
        <w:t xml:space="preserve">, não de mérito de dados: o GPT-2 dispõe de contexto oito vezes maior (1024 contra 128) e de um vocabulário de 50.257</w:t>
      </w:r>
      <w:r>
        <w:t xml:space="preserve"> </w:t>
      </w:r>
      <w:r>
        <w:rPr>
          <w:iCs/>
          <w:i/>
        </w:rPr>
        <w:t xml:space="preserve">tokens</w:t>
      </w:r>
      <w:r>
        <w:t xml:space="preserve"> </w:t>
      </w:r>
      <w:r>
        <w:t xml:space="preserve">que fragmenta menos o texto, reduzindo os</w:t>
      </w:r>
      <w:r>
        <w:t xml:space="preserve"> </w:t>
      </w:r>
      <w:r>
        <w:rPr>
          <w:iCs/>
          <w:i/>
        </w:rPr>
        <w:t xml:space="preserve">bits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byte</w:t>
      </w:r>
      <w:r>
        <w:t xml:space="preserve"> </w:t>
      </w:r>
      <w:r>
        <w:t xml:space="preserve">quase mecanicamente. Segundo, o BPB mede</w:t>
      </w:r>
      <w:r>
        <w:t xml:space="preserve"> </w:t>
      </w:r>
      <w:r>
        <w:rPr>
          <w:bCs/>
          <w:b/>
        </w:rPr>
        <w:t xml:space="preserve">compressão, não adequação à tarefa</w:t>
      </w:r>
      <w:r>
        <w:t xml:space="preserve">: solicitado a gerar uma história a partir do mesmo</w:t>
      </w:r>
      <w:r>
        <w:t xml:space="preserve"> </w:t>
      </w:r>
      <w:r>
        <w:rPr>
          <w:iCs/>
          <w:i/>
        </w:rPr>
        <w:t xml:space="preserve">prompt</w:t>
      </w:r>
      <w:r>
        <w:t xml:space="preserve">, o GPT-2 ignora o gênero e entra em um laço incoerente (</w:t>
      </w:r>
      <w:r>
        <w:t xml:space="preserve">“</w:t>
      </w:r>
      <w:r>
        <w:rPr>
          <w:iCs/>
          <w:i/>
        </w:rPr>
        <w:t xml:space="preserve">…the evil human mind of the evil human mind…</w:t>
      </w:r>
      <w:r>
        <w:t xml:space="preserve">”</w:t>
      </w:r>
      <w:r>
        <w:t xml:space="preserve">), enquanto o especialista de 1,8 M produz uma narrativa no estilo correto. Terceiro, o especialista fica a cerca de 31% do BPB do GPT-2 tendo visto aproximadamente cinco mil vezes menos dados, e gera texto cerca de onze vezes mais rápido em CPU. O resultado ilustra, portanto, que</w:t>
      </w:r>
      <w:r>
        <w:t xml:space="preserve"> </w:t>
      </w:r>
      <w:r>
        <w:t xml:space="preserve">“</w:t>
      </w:r>
      <w:r>
        <w:t xml:space="preserve">menor BPB</w:t>
      </w:r>
      <w:r>
        <w:t xml:space="preserve">”</w:t>
      </w:r>
      <w:r>
        <w:t xml:space="preserve"> </w:t>
      </w:r>
      <w:r>
        <w:t xml:space="preserve">não equivale a</w:t>
      </w:r>
      <w:r>
        <w:t xml:space="preserve"> </w:t>
      </w:r>
      <w:r>
        <w:t xml:space="preserve">“</w:t>
      </w:r>
      <w:r>
        <w:t xml:space="preserve">melhor na tarefa que interessa</w:t>
      </w:r>
      <w:r>
        <w:t xml:space="preserve">”</w:t>
      </w:r>
      <w:r>
        <w:t xml:space="preserve">, e que, em um domínio de baixa entropia, um especialista minúsculo é surpreendentemente competitivo.</w:t>
      </w:r>
    </w:p>
    <w:bookmarkEnd w:id="56"/>
    <w:bookmarkEnd w:id="57"/>
    <w:bookmarkStart w:id="58" w:name="discussão"/>
    <w:p>
      <w:pPr>
        <w:pStyle w:val="Heading1"/>
      </w:pPr>
      <w:r>
        <w:t xml:space="preserve">5 Discussão</w:t>
      </w:r>
    </w:p>
    <w:p>
      <w:pPr>
        <w:pStyle w:val="FirstParagraph"/>
      </w:pPr>
      <w:r>
        <w:t xml:space="preserve">O estudo controlado de corpora sustenta a tese central deste trabalho: em regime de baixa capacidade, a</w:t>
      </w:r>
      <w:r>
        <w:t xml:space="preserve"> </w:t>
      </w:r>
      <w:r>
        <w:rPr>
          <w:bCs/>
          <w:b/>
        </w:rPr>
        <w:t xml:space="preserve">adequação entre a entropia do corpus e a capacidade do modelo</w:t>
      </w:r>
      <w:r>
        <w:t xml:space="preserve"> </w:t>
      </w:r>
      <w:r>
        <w:t xml:space="preserve">domina o resultado. A queda de perda de 3,09 para 1,59, obtida sem qualquer alteração do modelo, é consistente com o resultado de Eldan e Li (2023) e desloca a atenção do praticante do tópico dos dados para sua complexidade estatística — uma variável frequentemente negligenciada.</w:t>
      </w:r>
    </w:p>
    <w:p>
      <w:pPr>
        <w:pStyle w:val="BodyText"/>
      </w:pPr>
      <w:r>
        <w:t xml:space="preserve">A curadoria de dados revelou-se, igualmente, uma decisão de primeira ordem. A constatação de que 28% do corpus de física era marcação, e de que sua remoção eliminou um modo de falha concreto, ilustra que a qualidade dos dados condiciona o comportamento do modelo tanto quanto a arquitetura. Trata-se de uma lição transferível a qualquer projeto de aprendizado de máquina.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iCs/>
          <w:i/>
        </w:rPr>
        <w:t xml:space="preserve">benchmark</w:t>
      </w:r>
      <w:r>
        <w:t xml:space="preserve"> </w:t>
      </w:r>
      <w:r>
        <w:t xml:space="preserve">contra o GPT-2 oferece uma lição metodológica sobre avaliação. A escolha do BPB, em vez da perplexity, é o que torna a comparação legítima entre</w:t>
      </w:r>
      <w:r>
        <w:t xml:space="preserve"> </w:t>
      </w:r>
      <w:r>
        <w:rPr>
          <w:iCs/>
          <w:i/>
        </w:rPr>
        <w:t xml:space="preserve">tokenizers</w:t>
      </w:r>
      <w:r>
        <w:t xml:space="preserve"> </w:t>
      </w:r>
      <w:r>
        <w:t xml:space="preserve">distintos; e a distinção entre capacidade de compressão (BPB) e adequação à tarefa (qualidade da geração) evita a conclusão simplista de que o modelo de menor BPB é o</w:t>
      </w:r>
      <w:r>
        <w:t xml:space="preserve"> </w:t>
      </w:r>
      <w:r>
        <w:t xml:space="preserve">“</w:t>
      </w:r>
      <w:r>
        <w:t xml:space="preserve">melhor</w:t>
      </w:r>
      <w:r>
        <w:t xml:space="preserve">”</w:t>
      </w:r>
      <w:r>
        <w:t xml:space="preserve">. Um especialista pequeno, treinado em domínio, produz saída utilizável no domínio a uma fração do custo computacional de um generalista grande — um compromisso relevante para cenários de implantação sob restrição de recursos.</w:t>
      </w:r>
    </w:p>
    <w:p>
      <w:pPr>
        <w:pStyle w:val="BodyText"/>
      </w:pPr>
      <w:r>
        <w:t xml:space="preserve">Reconhecem-se limitações. A avaliação restringiu-se a corpora de pequena escala, com o</w:t>
      </w:r>
      <w:r>
        <w:t xml:space="preserve"> </w:t>
      </w:r>
      <w:r>
        <w:rPr>
          <w:iCs/>
          <w:i/>
        </w:rPr>
        <w:t xml:space="preserve">preset</w:t>
      </w:r>
      <w:r>
        <w:t xml:space="preserve"> </w:t>
      </w:r>
      <w:r>
        <w:t xml:space="preserve">menor treinado em CPU, o que impede a reprodução dos números dos modelos de referência em benchmarks padronizados. A comparação com o GPT-2 é</w:t>
      </w:r>
      <w:r>
        <w:t xml:space="preserve"> </w:t>
      </w:r>
      <w:r>
        <w:rPr>
          <w:iCs/>
          <w:i/>
        </w:rPr>
        <w:t xml:space="preserve">zero-shot</w:t>
      </w:r>
      <w:r>
        <w:t xml:space="preserve">; um ajuste fino do GPT-2 no TinyStories forneceria um segundo ponto de referência. Tais limitações delimitam o escopo das conclusões ao regime investigado.</w:t>
      </w:r>
    </w:p>
    <w:bookmarkEnd w:id="58"/>
    <w:bookmarkStart w:id="59" w:name="conclusão"/>
    <w:p>
      <w:pPr>
        <w:pStyle w:val="Heading1"/>
      </w:pPr>
      <w:r>
        <w:t xml:space="preserve">6 Conclusão</w:t>
      </w:r>
    </w:p>
    <w:p>
      <w:pPr>
        <w:pStyle w:val="FirstParagraph"/>
      </w:pPr>
      <w:r>
        <w:t xml:space="preserve">Este trabalho apresentou o TucanoCE, uma reimplementação didática e verificável de um modelo de linguagem autoregressivo que parte do GPT-2, incorpora as modernizações do padrão LLaMA e é treinável em hardware de consumo. A implementação foi validada por uma suíte de testes de invariância e por um estudo controlado que treinou o mesmo modelo sobre três corpora de entropias distintas.</w:t>
      </w:r>
    </w:p>
    <w:p>
      <w:pPr>
        <w:pStyle w:val="BodyText"/>
      </w:pPr>
      <w:r>
        <w:t xml:space="preserve">Como principais contribuições, o projeto demonstra que a transparência arquitetural é atingível fora de grandes laboratórios; que a adequação entre a entropia do corpus e a capacidade do modelo é a alavanca dominante de qualidade em regime pequeno, reduzindo a perda de validação quase à metade sem alterar o modelo; e que, sob uma métrica justa (</w:t>
      </w:r>
      <w:r>
        <w:rPr>
          <w:iCs/>
          <w:i/>
        </w:rPr>
        <w:t xml:space="preserve">bits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byte</w:t>
      </w:r>
      <w:r>
        <w:t xml:space="preserve">), um especialista de 1,8 milhão de parâmetros é competitivo com o GPT-2 no seu domínio, a uma fração do custo — desde que se distinga compressão de adequação à tarefa.</w:t>
      </w:r>
    </w:p>
    <w:p>
      <w:pPr>
        <w:pStyle w:val="BodyText"/>
      </w:pPr>
      <w:r>
        <w:t xml:space="preserve">Os trabalhos futuros incluem a expansão do corpus e o treino dos</w:t>
      </w:r>
      <w:r>
        <w:t xml:space="preserve"> </w:t>
      </w:r>
      <w:r>
        <w:rPr>
          <w:iCs/>
          <w:i/>
        </w:rPr>
        <w:t xml:space="preserve">presets</w:t>
      </w:r>
      <w:r>
        <w:t xml:space="preserve"> </w:t>
      </w:r>
      <w:r>
        <w:t xml:space="preserve">maiores em GPU; um segundo ponto de comparação com o GPT-2 ajustado ao domínio; e, além do pré-treino, o ajuste fino supervisionado com LoRA para conversão do modelo base em assistente.</w:t>
      </w:r>
    </w:p>
    <w:bookmarkEnd w:id="59"/>
    <w:bookmarkStart w:id="60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DAUPHIN, Y. et al. Language modeling with gated convolutional networks. In:</w:t>
      </w:r>
      <w:r>
        <w:t xml:space="preserve"> </w:t>
      </w:r>
      <w:r>
        <w:rPr>
          <w:bCs/>
          <w:b/>
        </w:rPr>
        <w:t xml:space="preserve">Proceedings of the 34th International Conference on Machine Learning (ICML)</w:t>
      </w:r>
      <w:r>
        <w:t xml:space="preserve">, 2017.</w:t>
      </w:r>
    </w:p>
    <w:p>
      <w:pPr>
        <w:pStyle w:val="BodyText"/>
      </w:pPr>
      <w:r>
        <w:t xml:space="preserve">ELDAN, R.; LI, Y.</w:t>
      </w:r>
      <w:r>
        <w:t xml:space="preserve"> </w:t>
      </w:r>
      <w:r>
        <w:rPr>
          <w:bCs/>
          <w:b/>
        </w:rPr>
        <w:t xml:space="preserve">TinyStories: how small can language models be and still speak coherent English?</w:t>
      </w:r>
      <w:r>
        <w:t xml:space="preserve"> </w:t>
      </w:r>
      <w:r>
        <w:t xml:space="preserve">arXiv:2305.07759, 2023.</w:t>
      </w:r>
    </w:p>
    <w:p>
      <w:pPr>
        <w:pStyle w:val="BodyText"/>
      </w:pPr>
      <w:r>
        <w:t xml:space="preserve">HOFFMANN, J. et al. </w:t>
      </w:r>
      <w:r>
        <w:rPr>
          <w:bCs/>
          <w:b/>
        </w:rPr>
        <w:t xml:space="preserve">Training compute-optimal large language models</w:t>
      </w:r>
      <w:r>
        <w:t xml:space="preserve">. arXiv:2203.15556, 2022.</w:t>
      </w:r>
    </w:p>
    <w:p>
      <w:pPr>
        <w:pStyle w:val="BodyText"/>
      </w:pPr>
      <w:r>
        <w:t xml:space="preserve">LOSHCHILOV, I.; HUTTER, F.</w:t>
      </w:r>
      <w:r>
        <w:t xml:space="preserve"> </w:t>
      </w:r>
      <w:r>
        <w:rPr>
          <w:bCs/>
          <w:b/>
        </w:rPr>
        <w:t xml:space="preserve">Decoupled weight decay regularization</w:t>
      </w:r>
      <w:r>
        <w:t xml:space="preserve">. In: International Conference on Learning Representations (ICLR), 2019.</w:t>
      </w:r>
    </w:p>
    <w:p>
      <w:pPr>
        <w:pStyle w:val="BodyText"/>
      </w:pPr>
      <w:r>
        <w:t xml:space="preserve">RADFORD, A. et al. </w:t>
      </w:r>
      <w:r>
        <w:rPr>
          <w:bCs/>
          <w:b/>
        </w:rPr>
        <w:t xml:space="preserve">Language models are unsupervised multitask learners</w:t>
      </w:r>
      <w:r>
        <w:t xml:space="preserve">. OpenAI Technical Report, 2019.</w:t>
      </w:r>
    </w:p>
    <w:p>
      <w:pPr>
        <w:pStyle w:val="BodyText"/>
      </w:pPr>
      <w:r>
        <w:t xml:space="preserve">SHAZEER, N.</w:t>
      </w:r>
      <w:r>
        <w:t xml:space="preserve"> </w:t>
      </w:r>
      <w:r>
        <w:rPr>
          <w:bCs/>
          <w:b/>
        </w:rPr>
        <w:t xml:space="preserve">GLU variants improve Transformer</w:t>
      </w:r>
      <w:r>
        <w:t xml:space="preserve">. arXiv:2002.05202, 2020.</w:t>
      </w:r>
    </w:p>
    <w:p>
      <w:pPr>
        <w:pStyle w:val="BodyText"/>
      </w:pPr>
      <w:r>
        <w:t xml:space="preserve">SU, J. et al. </w:t>
      </w:r>
      <w:r>
        <w:rPr>
          <w:bCs/>
          <w:b/>
        </w:rPr>
        <w:t xml:space="preserve">RoFormer: enhanced Transformer with rotary position embedding</w:t>
      </w:r>
      <w:r>
        <w:t xml:space="preserve">. arXiv:2104.09864, 2021.</w:t>
      </w:r>
    </w:p>
    <w:p>
      <w:pPr>
        <w:pStyle w:val="BodyText"/>
      </w:pPr>
      <w:r>
        <w:t xml:space="preserve">TOUVRON, H. et al. </w:t>
      </w:r>
      <w:r>
        <w:rPr>
          <w:bCs/>
          <w:b/>
        </w:rPr>
        <w:t xml:space="preserve">LLaMA: open and efficient foundation language models</w:t>
      </w:r>
      <w:r>
        <w:t xml:space="preserve">. arXiv:2302.13971, 2023.</w:t>
      </w:r>
    </w:p>
    <w:p>
      <w:pPr>
        <w:pStyle w:val="BodyText"/>
      </w:pPr>
      <w:r>
        <w:t xml:space="preserve">VASWANI, A. et al. Attention is all you need. In:</w:t>
      </w:r>
      <w:r>
        <w:t xml:space="preserve"> </w:t>
      </w:r>
      <w:r>
        <w:rPr>
          <w:bCs/>
          <w:b/>
        </w:rPr>
        <w:t xml:space="preserve">Advances in Neural Information Processing Systems (NeurIPS)</w:t>
      </w:r>
      <w:r>
        <w:t xml:space="preserve">, 2017.</w:t>
      </w:r>
    </w:p>
    <w:p>
      <w:pPr>
        <w:pStyle w:val="BodyText"/>
      </w:pPr>
      <w:r>
        <w:t xml:space="preserve">ZHANG, B.; SENNRICH, R. Root mean square layer normalization. In:</w:t>
      </w:r>
      <w:r>
        <w:t xml:space="preserve"> </w:t>
      </w:r>
      <w:r>
        <w:rPr>
          <w:bCs/>
          <w:b/>
        </w:rPr>
        <w:t xml:space="preserve">Advances in Neural Information Processing Systems (NeurIPS)</w:t>
      </w:r>
      <w:r>
        <w:t xml:space="preserve">, 2019.</w:t>
      </w:r>
    </w:p>
    <w:bookmarkEnd w:id="60"/>
    <w:sectPr>
      <w:pgMar w:bottom="1134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both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360" w:lineRule="auto"/>
      <w:ind w:firstLine="0"/>
      <w:jc w:val="center"/>
    </w:pPr>
    <w:rPr>
      <w:rFonts w:ascii="Times New Roman" w:asciiTheme="majorHAnsi" w:cs="Times New Roman" w:cstheme="majorBidi" w:eastAsiaTheme="majorEastAsia" w:hAnsi="Times New Roman" w:hAnsiTheme="majorHAnsi"/>
      <w:b/>
      <w:bCs/>
      <w:color w:themeColor="accent1" w:themeShade="B5" w:val="345A8A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line="360" w:lineRule="auto"/>
      <w:jc w:val="center"/>
    </w:pPr>
    <w:rPr>
      <w:rFonts w:ascii="Times New Roman" w:cs="Times New Roman" w:hAnsi="Times New Roman"/>
      <w:sz w:val="24"/>
    </w:rPr>
  </w:style>
  <w:style w:styleId="Date" w:type="paragraph">
    <w:name w:val="Date"/>
    <w:next w:val="BodyText"/>
    <w:qFormat/>
    <w:pPr>
      <w:keepNext/>
      <w:keepLines/>
      <w:spacing w:after="0" w:line="360" w:lineRule="auto"/>
      <w:jc w:val="center"/>
    </w:pPr>
    <w:rPr>
      <w:rFonts w:ascii="Times New Roman" w:cs="Times New Roman" w:hAnsi="Times New Roman"/>
      <w:sz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20" w:line="360" w:lineRule="auto"/>
      <w:ind w:firstLine="0"/>
      <w:jc w:val="both"/>
    </w:pPr>
    <w:rPr>
      <w:rFonts w:ascii="Times New Roman" w:cs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120" w:line="360" w:lineRule="auto"/>
      <w:ind w:firstLine="0"/>
      <w:jc w:val="both"/>
    </w:pPr>
    <w:rPr>
      <w:rFonts w:ascii="Times New Roman" w:cs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 w:line="360" w:lineRule="auto"/>
      <w:ind w:firstLine="0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0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0"/>
      <w:jc w:val="left"/>
      <w:outlineLvl w:val="2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0" w:before="40" w:line="240" w:lineRule="auto"/>
      <w:ind w:firstLine="0"/>
      <w:jc w:val="center"/>
    </w:pPr>
    <w:rPr>
      <w:rFonts w:ascii="Times New Roman" w:cs="Times New Roman" w:hAnsi="Times New Roman"/>
      <w:i/>
      <w:sz w:val="20"/>
    </w:rPr>
  </w:style>
  <w:style w:customStyle="1" w:styleId="TableCaption" w:type="paragraph">
    <w:name w:val="Table Caption"/>
    <w:basedOn w:val="Caption"/>
    <w:pPr>
      <w:keepNext/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ImageCaption" w:type="paragraph">
    <w:name w:val="Image Caption"/>
    <w:basedOn w:val="Caption"/>
    <w:pPr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Figure" w:type="paragraph">
    <w:name w:val="Figure"/>
    <w:basedOn w:val="Normal"/>
    <w:pPr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CaptionedFigure" w:type="paragraph">
    <w:name w:val="Captioned Figure"/>
    <w:basedOn w:val="Figure"/>
    <w:pPr>
      <w:keepNext/>
      <w:spacing w:after="40" w:before="40" w:line="240" w:lineRule="auto"/>
      <w:ind w:firstLine="0"/>
      <w:jc w:val="center"/>
    </w:pPr>
    <w:rPr>
      <w:rFonts w:ascii="Times New Roman" w:cs="Times New Roman" w:hAnsi="Times New Roman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44" Target="media/rId44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image" Id="rId53" Target="media/rId53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TucanoCE: Reimplementação Didática de um Modelo de Linguagem Autoregressivo com Modernizações do LLaMA sob Restrição de Hardware de Consumo</dc:title>
  <dc:creator>Renan Saraiva (Prysmo)</dc:creator>
  <cp:keywords/>
  <dcterms:created xsi:type="dcterms:W3CDTF">2026-07-24T17:41:38Z</dcterms:created>
  <dcterms:modified xsi:type="dcterms:W3CDTF">2026-07-24T17:41:38Z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de julho de 2026</vt:lpwstr>
  </property>
</Properties>
</file>