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Auditoria de Front-End</w:t>
      </w:r>
    </w:p>
    <w:p>
      <w:pPr>
        <w:spacing w:after="60"/>
      </w:pPr>
      <w:r>
        <w:rPr>
          <w:b/>
          <w:bCs/>
          <w:color w:val="1A1F2B"/>
          <w:sz w:val="28"/>
          <w:szCs w:val="28"/>
        </w:rPr>
        <w:t xml:space="preserve">KORE — Performance Integrada · Versão 2 (com acesso logado)</w:t>
      </w:r>
    </w:p>
    <w:p>
      <w:pPr>
        <w:spacing w:after="40"/>
      </w:pPr>
      <w:r>
        <w:rPr>
          <w:color w:val="555555"/>
          <w:sz w:val="21"/>
          <w:szCs w:val="21"/>
        </w:rPr>
        <w:t xml:space="preserve">Cobertura: landing, autenticação e os 3 perfis logados (Atleta, Personal, Nutricionista)</w:t>
      </w:r>
    </w:p>
    <w:p>
      <w:pPr>
        <w:spacing w:after="40"/>
      </w:pPr>
      <w:r>
        <w:rPr>
          <w:color w:val="555555"/>
          <w:sz w:val="20"/>
          <w:szCs w:val="20"/>
        </w:rPr>
        <w:t xml:space="preserve">Ambiente: https://kore-app-blue.vercel.app</w:t>
      </w:r>
    </w:p>
    <w:p>
      <w:pPr>
        <w:spacing w:after="200"/>
      </w:pPr>
      <w:r>
        <w:rPr>
          <w:color w:val="555555"/>
          <w:sz w:val="20"/>
          <w:szCs w:val="20"/>
        </w:rPr>
        <w:t xml:space="preserve">Data: 7 de junho de 2026 · Dados reais de pacientes/alunos omitidos por privacidade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 que mudou nesta versão</w:t>
      </w:r>
    </w:p>
    <w:p>
      <w:pPr>
        <w:spacing w:after="120"/>
      </w:pPr>
      <w:r>
        <w:t xml:space="preserve">Esta v2 substitui o 1º relatório, que foi feito apenas com a superfície deslogada (demo). Com acesso logado aos três perfis, a cobertura passou de ~1/3 para o app completo — e uma correção importante se impôs:</w:t>
      </w:r>
    </w:p>
    <w:p>
      <w:pPr>
        <w:spacing w:after="100"/>
      </w:pPr>
      <w:r>
        <w:rPr>
          <w:b/>
          <w:bCs/>
          <w:color w:val="E8602C"/>
        </w:rPr>
        <w:t xml:space="preserve">Correção: </w:t>
      </w:r>
      <w:r>
        <w:t xml:space="preserve">os perfis Personal e Nutricionista EXISTEM e funcionam, e há login real (Supabase). O achado F01 do 1º relatório (‘não existem’) está retratado. O problema real, menor, é o roteamento dos CTAs da landing (F23).</w:t>
      </w:r>
    </w:p>
    <w:p>
      <w:pPr>
        <w:spacing w:after="120"/>
      </w:pPr>
      <w:r>
        <w:t xml:space="preserve">Com isso, dois ‘P0’ do 1º relatório se dissolveram (perfis faltando e ‘sem auth’). Em compensação, o acesso logado revelou achados estruturais novos nos apps profissionais (F24, F25) e uma lacuna de LGPD (F26).</w:t>
      </w:r>
    </w:p>
    <w:p>
      <w:pPr>
        <w:pStyle w:val="Heading1"/>
      </w:pPr>
      <w:r>
        <w:t xml:space="preserve">2. Sumário executivo</w:t>
      </w:r>
    </w:p>
    <w:p>
      <w:pPr>
        <w:spacing w:after="120"/>
      </w:pPr>
      <w:r>
        <w:rPr>
          <w:b/>
          <w:bCs/>
          <w:color w:val="E8602C"/>
        </w:rPr>
        <w:t xml:space="preserve">Verdade desconfortável: </w:t>
      </w:r>
      <w:r>
        <w:t xml:space="preserve">o KORE é maior e mais completo do que parecia por fora — e esse é o problema. O produto cresceu em três frentes (atleta, personal, nutri) sem um sistema de design comum, então cada parte fala um ‘dialeto’ visual diferente. As telas individuais são, em geral, bem feitas; o que falha é a costura entre elas: navegação, cabeçalhos, cores de ação, estados vazios, datas e padrões de layout variam de tela para tela.</w:t>
      </w:r>
    </w:p>
    <w:p>
      <w:pPr>
        <w:spacing w:after="120"/>
      </w:pPr>
      <w:r>
        <w:t xml:space="preserve">Prioridade real: (1) tirar a sensação de ‘quebrado’ (hidratação + roteamento de CTAs); (2) consertar a navegação e a base legal (sidebar do Personal, unificação de padrões, LGPD); (3) construir o design system que elimina a maior parte dos bugs de consistência de uma vez; (4) polir; (5) validar o que não dá para testar aqui.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P0 — Crítico</w:t>
            </w:r>
          </w:p>
        </w:tc>
        <w:tc>
          <w:tcPr>
            <w:tcW w:type="dxa" w:w="234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P1 — Alto</w:t>
            </w:r>
          </w:p>
        </w:tc>
        <w:tc>
          <w:tcPr>
            <w:tcW w:type="dxa" w:w="234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P2 — Médio</w:t>
            </w:r>
          </w:p>
        </w:tc>
        <w:tc>
          <w:tcPr>
            <w:tcW w:type="dxa" w:w="234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P3 — Baixo</w:t>
            </w:r>
          </w:p>
        </w:tc>
      </w:tr>
      <w:tr>
        <w:tc>
          <w:tcPr>
            <w:tcW w:type="dxa" w:w="2340"/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34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234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234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(Além de 1 achado retratado.)</w:t>
      </w:r>
    </w:p>
    <w:p>
      <w:pPr>
        <w:pStyle w:val="Heading1"/>
      </w:pPr>
      <w:r>
        <w:t xml:space="preserve">3. Cobertura e metodologia</w:t>
      </w:r>
    </w:p>
    <w:p>
      <w:pPr>
        <w:pStyle w:val="Heading3"/>
      </w:pPr>
      <w:r>
        <w:t xml:space="preserve">Auditado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Landing pública e fluxo de autenticação (Entrar, Criar conta, Esqueci a senha, /nova-senha).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Atleta logado: Início, Treino, Nutrição, Evolução, Perfil, Sono, Bem-estar.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Nutricionista logado: Início, Pacientes, detalhe de paciente (6 abas), Agenda, Perfil.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Personal logado: Início, Meus Alunos (/personal), detalhe de aluno.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Técnico: contraste WCAG calculado, truncamento medido, varredura de CSS responsivo, semântica/landmarks, atributos de formulário.</w:t>
      </w:r>
    </w:p>
    <w:p>
      <w:pPr>
        <w:pStyle w:val="Heading3"/>
      </w:pPr>
      <w:r>
        <w:t xml:space="preserve">Não verificado (re-testar)</w:t>
      </w:r>
    </w:p>
    <w:p>
      <w:pPr>
        <w:spacing w:after="100"/>
      </w:pPr>
      <w:r>
        <w:rPr>
          <w:b/>
          <w:bCs/>
          <w:color w:val="E8602C"/>
        </w:rPr>
        <w:t xml:space="preserve">Mobile: </w:t>
      </w:r>
      <w:r>
        <w:t xml:space="preserve">0 classes responsivas e 0 media queries por largura no CSS acessível; sem nav mobile. Inferência forte de não-responsivo — confirmar em device.</w:t>
      </w:r>
    </w:p>
    <w:p>
      <w:pPr>
        <w:spacing w:after="100"/>
      </w:pPr>
      <w:r>
        <w:rPr>
          <w:b/>
          <w:bCs/>
          <w:color w:val="E8602C"/>
        </w:rPr>
        <w:t xml:space="preserve">Formulários: </w:t>
      </w:r>
      <w:r>
        <w:t xml:space="preserve">não submeti dados (não criei conta, não consumi o link de redefinição). Validação de erro/sucesso de envio fica pendente.</w:t>
      </w:r>
    </w:p>
    <w:p>
      <w:pPr>
        <w:spacing w:after="100"/>
      </w:pPr>
      <w:r>
        <w:rPr>
          <w:b/>
          <w:bCs/>
          <w:color w:val="E8602C"/>
        </w:rPr>
        <w:t xml:space="preserve">Teclado/leitor de tela: </w:t>
      </w:r>
      <w:r>
        <w:t xml:space="preserve">não testados na prática.</w:t>
      </w:r>
    </w:p>
    <w:p>
      <w:pPr>
        <w:spacing w:after="100"/>
      </w:pPr>
      <w:r>
        <w:rPr>
          <w:b/>
          <w:bCs/>
          <w:color w:val="E8602C"/>
        </w:rPr>
        <w:t xml:space="preserve">Telas secundárias: </w:t>
      </w:r>
      <w:r>
        <w:t xml:space="preserve">onboarding, anamnese, evolução de medidas, plano-v2, convite.</w:t>
      </w:r>
    </w:p>
    <w:p>
      <w:pPr>
        <w:spacing w:after="100"/>
      </w:pPr>
      <w:r>
        <w:rPr>
          <w:b/>
          <w:bCs/>
          <w:color w:val="E8602C"/>
        </w:rPr>
        <w:t xml:space="preserve">Nota: </w:t>
      </w:r>
      <w:r>
        <w:t xml:space="preserve">ao auditar o reset, foi disparado um e-mail de redefinição para o endereço preenchido (conta do próprio usuário) — sem efeito se ignorado.</w:t>
      </w:r>
    </w:p>
    <w:p>
      <w:pPr>
        <w:pStyle w:val="Heading1"/>
      </w:pPr>
      <w:r>
        <w:t xml:space="preserve">4. Mapa do sistema (atualizado)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Rota</w:t>
            </w:r>
          </w:p>
        </w:tc>
        <w:tc>
          <w:tcPr>
            <w:tcW w:type="dxa" w:w="20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436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Observação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 (landing)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OK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CTAs roteiam para o demo (F23)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/login + /nova-senha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OK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Auth real (Supabase); sem guard de sessão e validação fraca (F27); LGPD (F26)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/entrar</w:t>
            </w:r>
          </w:p>
        </w:tc>
        <w:tc>
          <w:tcPr>
            <w:tcW w:type="dxa" w:w="200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404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404 em inglês (F04)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/dashboard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OK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Role-aware: adapta-se a atleta/personal/nutri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Atleta: treino, nutricao, evolucao, perfil, sono, bem-estar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OK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Telas boas; loading full-page; cabeçalhos inconsistentes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Nutri: /nutricionista/*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OK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Sidebar + detalhe em 6 abas (rico)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Personal: /personal, /personal/aluno</w:t>
            </w:r>
          </w:p>
        </w:tc>
        <w:tc>
          <w:tcPr>
            <w:tcW w:type="dxa" w:w="200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Parcial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Sem sidebar (F25); padrão diferente do nutri (F24)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/personal/periodizacao</w:t>
            </w:r>
          </w:p>
        </w:tc>
        <w:tc>
          <w:tcPr>
            <w:tcW w:type="dxa" w:w="200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404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Rota existe no código, cai em 404 (F04)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Achados detalhados</w:t>
      </w:r>
    </w:p>
    <w:p>
      <w:pPr>
        <w:pStyle w:val="Heading2"/>
      </w:pPr>
      <w:r>
        <w:t xml:space="preserve">5.1 Correção / retratação</w:t>
      </w:r>
    </w:p>
    <w:p>
      <w:pPr>
        <w:spacing w:after="60" w:before="200"/>
      </w:pPr>
      <w:r>
        <w:rPr>
          <w:b/>
          <w:bCs/>
          <w:color w:val="38761D"/>
        </w:rPr>
        <w:t xml:space="preserve">F01 — </w:t>
      </w:r>
      <w:r>
        <w:rPr>
          <w:b/>
          <w:bCs/>
        </w:rPr>
        <w:t xml:space="preserve">[RETRATADO] “Personal e Nutri não existem”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700"/>
        <w:gridCol w:w="1700"/>
        <w:gridCol w:w="5960"/>
      </w:tblGrid>
      <w:tr>
        <w:tc>
          <w:tcPr>
            <w:tcW w:type="dxa" w:w="170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Severidade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Confiança</w:t>
            </w:r>
          </w:p>
        </w:tc>
        <w:tc>
          <w:tcPr>
            <w:tcW w:type="dxa" w:w="596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Área</w:t>
            </w:r>
          </w:p>
        </w:tc>
      </w:tr>
      <w:tr>
        <w:tc>
          <w:tcPr>
            <w:tcW w:type="dxa" w:w="170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Resolvido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Corrigido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Produto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Evidência: </w:t>
      </w:r>
      <w:r>
        <w:t xml:space="preserve">Na 1ª auditoria (deslogado) concluí que só o atleta existia. Com acesso logado, confirmei que os apps de Personal e Nutricionista EXISTEM e são funcionais; o /dashboard é role-aware (adapta-se ao perfil) e há login real (Supabase) em /login.</w:t>
      </w:r>
    </w:p>
    <w:p>
      <w:pPr>
        <w:spacing w:after="100"/>
      </w:pPr>
      <w:r>
        <w:rPr>
          <w:b/>
          <w:bCs/>
          <w:color w:val="E8602C"/>
        </w:rPr>
        <w:t xml:space="preserve">Impacto: </w:t>
      </w:r>
      <w:r>
        <w:t xml:space="preserve">Era o achado mais grave do 1º relatório — e estava errado. Fica registrado para transparência.</w:t>
      </w:r>
    </w:p>
    <w:p>
      <w:pPr>
        <w:spacing w:after="100"/>
      </w:pPr>
      <w:r>
        <w:rPr>
          <w:b/>
          <w:bCs/>
          <w:color w:val="E8602C"/>
        </w:rPr>
        <w:t xml:space="preserve">Recomendação: </w:t>
      </w:r>
      <w:r>
        <w:t xml:space="preserve">Nenhuma ação. Ver F23 para o problema real (roteamento dos CTAs).</w:t>
      </w:r>
    </w:p>
    <w:p>
      <w:pPr>
        <w:pStyle w:val="Heading2"/>
      </w:pPr>
      <w:r>
        <w:t xml:space="preserve">5.2 P0 — Crítico</w:t>
      </w:r>
    </w:p>
    <w:p>
      <w:pPr>
        <w:spacing w:after="60" w:before="200"/>
      </w:pPr>
      <w:r>
        <w:rPr>
          <w:b/>
          <w:bCs/>
          <w:color w:val="E8602C"/>
        </w:rPr>
        <w:t xml:space="preserve">F02 — </w:t>
      </w:r>
      <w:r>
        <w:rPr>
          <w:b/>
          <w:bCs/>
        </w:rPr>
        <w:t xml:space="preserve">Hidratação tardia: o 1º clique após carregar é engolido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700"/>
        <w:gridCol w:w="1700"/>
        <w:gridCol w:w="5960"/>
      </w:tblGrid>
      <w:tr>
        <w:tc>
          <w:tcPr>
            <w:tcW w:type="dxa" w:w="1700"/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Severidade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Confiança</w:t>
            </w:r>
          </w:p>
        </w:tc>
        <w:tc>
          <w:tcPr>
            <w:tcW w:type="dxa" w:w="596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Área</w:t>
            </w:r>
          </w:p>
        </w:tc>
      </w:tr>
      <w:tr>
        <w:tc>
          <w:tcPr>
            <w:tcW w:type="dxa" w:w="1700"/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Certeza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Global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Evidência: </w:t>
      </w:r>
      <w:r>
        <w:t xml:space="preserve">O primeiro clique em vários botões logo após o carregamento não responde; só o 2º funciona. Reproduzido em ‘Entrar’ (header), CTAs profissionais e ‘EDITAR’ (meta).</w:t>
      </w:r>
    </w:p>
    <w:p>
      <w:pPr>
        <w:spacing w:after="100"/>
      </w:pPr>
      <w:r>
        <w:rPr>
          <w:b/>
          <w:bCs/>
          <w:color w:val="E8602C"/>
        </w:rPr>
        <w:t xml:space="preserve">Impacto: </w:t>
      </w:r>
      <w:r>
        <w:t xml:space="preserve">Usuário real lê como ‘quebrado’ e abandona.</w:t>
      </w:r>
    </w:p>
    <w:p>
      <w:pPr>
        <w:spacing w:after="100"/>
      </w:pPr>
      <w:r>
        <w:rPr>
          <w:b/>
          <w:bCs/>
          <w:color w:val="E8602C"/>
        </w:rPr>
        <w:t xml:space="preserve">Recomendação: </w:t>
      </w:r>
      <w:r>
        <w:t xml:space="preserve">Garantir handlers só após hidratação completa / estado de carregando nos controles. Investigar hydration mismatch (Next.js).</w:t>
      </w:r>
    </w:p>
    <w:p>
      <w:pPr>
        <w:pStyle w:val="Heading2"/>
      </w:pPr>
      <w:r>
        <w:t xml:space="preserve">5.3 P1 — Alto</w:t>
      </w:r>
    </w:p>
    <w:p>
      <w:pPr>
        <w:spacing w:after="60" w:before="200"/>
      </w:pPr>
      <w:r>
        <w:rPr>
          <w:b/>
          <w:bCs/>
          <w:color w:val="E8602C"/>
        </w:rPr>
        <w:t xml:space="preserve">F23 — </w:t>
      </w:r>
      <w:r>
        <w:rPr>
          <w:b/>
          <w:bCs/>
        </w:rPr>
        <w:t xml:space="preserve">CTAs da landing roteiam para o demo do atleta, não para login/cadastro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700"/>
        <w:gridCol w:w="1700"/>
        <w:gridCol w:w="5960"/>
      </w:tblGrid>
      <w:tr>
        <w:tc>
          <w:tcPr>
            <w:tcW w:type="dxa" w:w="170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Severidade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Confiança</w:t>
            </w:r>
          </w:p>
        </w:tc>
        <w:tc>
          <w:tcPr>
            <w:tcW w:type="dxa" w:w="596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Área</w:t>
            </w:r>
          </w:p>
        </w:tc>
      </w:tr>
      <w:tr>
        <w:tc>
          <w:tcPr>
            <w:tcW w:type="dxa" w:w="170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Certeza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Landing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Evidência: </w:t>
      </w:r>
      <w:r>
        <w:t xml:space="preserve">Hero ‘ENTRAR’, ‘Criar conta grátis’, ‘Trazer minha carteira’ (personal) e ‘Começar com pacientes’ (nutri) caem todos em /dashboard (demo do atleta), em vez de /login ou cadastro do perfil certo.</w:t>
      </w:r>
    </w:p>
    <w:p>
      <w:pPr>
        <w:spacing w:after="100"/>
      </w:pPr>
      <w:r>
        <w:rPr>
          <w:b/>
          <w:bCs/>
          <w:color w:val="E8602C"/>
        </w:rPr>
        <w:t xml:space="preserve">Impacto: </w:t>
      </w:r>
      <w:r>
        <w:t xml:space="preserve">Profissional clica no CTA do seu perfil e aterrissa numa tela de atleta. Fiação errada dos CTAs.</w:t>
      </w:r>
    </w:p>
    <w:p>
      <w:pPr>
        <w:spacing w:after="100"/>
      </w:pPr>
      <w:r>
        <w:rPr>
          <w:b/>
          <w:bCs/>
          <w:color w:val="E8602C"/>
        </w:rPr>
        <w:t xml:space="preserve">Recomendação: </w:t>
      </w:r>
      <w:r>
        <w:t xml:space="preserve">Apontar cada CTA para o destino correto (/login ou cadastro com perfil pré-selecionado).</w:t>
      </w:r>
    </w:p>
    <w:p>
      <w:pPr>
        <w:spacing w:after="60" w:before="200"/>
      </w:pPr>
      <w:r>
        <w:rPr>
          <w:b/>
          <w:bCs/>
          <w:color w:val="E8602C"/>
        </w:rPr>
        <w:t xml:space="preserve">F24 — </w:t>
      </w:r>
      <w:r>
        <w:rPr>
          <w:b/>
          <w:bCs/>
        </w:rPr>
        <w:t xml:space="preserve">Personal e Nutri foram construídos em padrões de UI divergentes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700"/>
        <w:gridCol w:w="1700"/>
        <w:gridCol w:w="5960"/>
      </w:tblGrid>
      <w:tr>
        <w:tc>
          <w:tcPr>
            <w:tcW w:type="dxa" w:w="170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Severidade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Confiança</w:t>
            </w:r>
          </w:p>
        </w:tc>
        <w:tc>
          <w:tcPr>
            <w:tcW w:type="dxa" w:w="596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Área</w:t>
            </w:r>
          </w:p>
        </w:tc>
      </w:tr>
      <w:tr>
        <w:tc>
          <w:tcPr>
            <w:tcW w:type="dxa" w:w="170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Certeza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 profissional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Evidência: </w:t>
      </w:r>
      <w:r>
        <w:t xml:space="preserve">A seção Nutri usa sidebar persistente, detalhe de paciente em 6 abas (Visão Geral/Plano/Treino/IA Clínica/Anamnese/Evolução) e largura cheia. A seção Personal NÃO tem sidebar (sai ao entrar em /personal), usa layout de coluna estreita e detalhe de aluno sem abas. São dois ‘dialetos’ no mesmo produto.</w:t>
      </w:r>
    </w:p>
    <w:p>
      <w:pPr>
        <w:spacing w:after="100"/>
      </w:pPr>
      <w:r>
        <w:rPr>
          <w:b/>
          <w:bCs/>
          <w:color w:val="E8602C"/>
        </w:rPr>
        <w:t xml:space="preserve">Impacto: </w:t>
      </w:r>
      <w:r>
        <w:t xml:space="preserve">Inconsistência estrutural forte; navegação do Personal fica capenga (sem shell).</w:t>
      </w:r>
    </w:p>
    <w:p>
      <w:pPr>
        <w:spacing w:after="100"/>
      </w:pPr>
      <w:r>
        <w:rPr>
          <w:b/>
          <w:bCs/>
          <w:color w:val="E8602C"/>
        </w:rPr>
        <w:t xml:space="preserve">Recomendação: </w:t>
      </w:r>
      <w:r>
        <w:t xml:space="preserve">Unificar o shell e o padrão de detalhe entre os dois perfis (mesma sidebar, mesmo layout de cliente).</w:t>
      </w:r>
    </w:p>
    <w:p>
      <w:pPr>
        <w:spacing w:after="60" w:before="200"/>
      </w:pPr>
      <w:r>
        <w:rPr>
          <w:b/>
          <w:bCs/>
          <w:color w:val="E8602C"/>
        </w:rPr>
        <w:t xml:space="preserve">F25 — </w:t>
      </w:r>
      <w:r>
        <w:rPr>
          <w:b/>
          <w:bCs/>
        </w:rPr>
        <w:t xml:space="preserve">/personal perde a sidebar de navegação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700"/>
        <w:gridCol w:w="1700"/>
        <w:gridCol w:w="5960"/>
      </w:tblGrid>
      <w:tr>
        <w:tc>
          <w:tcPr>
            <w:tcW w:type="dxa" w:w="170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Severidade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Confiança</w:t>
            </w:r>
          </w:p>
        </w:tc>
        <w:tc>
          <w:tcPr>
            <w:tcW w:type="dxa" w:w="596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Área</w:t>
            </w:r>
          </w:p>
        </w:tc>
      </w:tr>
      <w:tr>
        <w:tc>
          <w:tcPr>
            <w:tcW w:type="dxa" w:w="170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Certeza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 Personal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Evidência: </w:t>
      </w:r>
      <w:r>
        <w:t xml:space="preserve">Ao clicar em ‘Alunos’ no dashboard, /personal e /personal/aluno renderizam sem a sidebar — o usuário perde o menu de navegação.</w:t>
      </w:r>
    </w:p>
    <w:p>
      <w:pPr>
        <w:spacing w:after="100"/>
      </w:pPr>
      <w:r>
        <w:rPr>
          <w:b/>
          <w:bCs/>
          <w:color w:val="E8602C"/>
        </w:rPr>
        <w:t xml:space="preserve">Impacto: </w:t>
      </w:r>
      <w:r>
        <w:t xml:space="preserve">Navegação quebrada: difícil sair da seção sem usar o voltar do navegador.</w:t>
      </w:r>
    </w:p>
    <w:p>
      <w:pPr>
        <w:spacing w:after="100"/>
      </w:pPr>
      <w:r>
        <w:rPr>
          <w:b/>
          <w:bCs/>
          <w:color w:val="E8602C"/>
        </w:rPr>
        <w:t xml:space="preserve">Recomendação: </w:t>
      </w:r>
      <w:r>
        <w:t xml:space="preserve">Envolver as rotas /personal/* no mesmo layout com SidebarProfissional.</w:t>
      </w:r>
    </w:p>
    <w:p>
      <w:pPr>
        <w:spacing w:after="60" w:before="200"/>
      </w:pPr>
      <w:r>
        <w:rPr>
          <w:b/>
          <w:bCs/>
          <w:color w:val="E8602C"/>
        </w:rPr>
        <w:t xml:space="preserve">F26 — </w:t>
      </w:r>
      <w:r>
        <w:rPr>
          <w:b/>
          <w:bCs/>
        </w:rPr>
        <w:t xml:space="preserve">Cadastro sem consentimento (LGPD) em app de saúde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700"/>
        <w:gridCol w:w="1700"/>
        <w:gridCol w:w="5960"/>
      </w:tblGrid>
      <w:tr>
        <w:tc>
          <w:tcPr>
            <w:tcW w:type="dxa" w:w="170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Severidade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Confiança</w:t>
            </w:r>
          </w:p>
        </w:tc>
        <w:tc>
          <w:tcPr>
            <w:tcW w:type="dxa" w:w="596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Área</w:t>
            </w:r>
          </w:p>
        </w:tc>
      </w:tr>
      <w:tr>
        <w:tc>
          <w:tcPr>
            <w:tcW w:type="dxa" w:w="170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Certeza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Auth/Legal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Evidência: </w:t>
      </w:r>
      <w:r>
        <w:t xml:space="preserve">O formulário de cadastro não tem checkbox de consentimento nem menção a Termos/Privacidade. O app coleta dados de saúde (sono, peso, lesões) no Brasil.</w:t>
      </w:r>
    </w:p>
    <w:p>
      <w:pPr>
        <w:spacing w:after="100"/>
      </w:pPr>
      <w:r>
        <w:rPr>
          <w:b/>
          <w:bCs/>
          <w:color w:val="E8602C"/>
        </w:rPr>
        <w:t xml:space="preserve">Impacto: </w:t>
      </w:r>
      <w:r>
        <w:t xml:space="preserve">Lacuna de LGPD; risco legal. (Pode ser P0 do ponto de vista jurídico.)</w:t>
      </w:r>
    </w:p>
    <w:p>
      <w:pPr>
        <w:spacing w:after="100"/>
      </w:pPr>
      <w:r>
        <w:rPr>
          <w:b/>
          <w:bCs/>
          <w:color w:val="E8602C"/>
        </w:rPr>
        <w:t xml:space="preserve">Recomendação: </w:t>
      </w:r>
      <w:r>
        <w:t xml:space="preserve">Adicionar consentimento explícito + links de Termos e Política de Privacidade no cadastro.</w:t>
      </w:r>
    </w:p>
    <w:p>
      <w:pPr>
        <w:spacing w:after="60" w:before="200"/>
      </w:pPr>
      <w:r>
        <w:rPr>
          <w:b/>
          <w:bCs/>
          <w:color w:val="E8602C"/>
        </w:rPr>
        <w:t xml:space="preserve">F04 — </w:t>
      </w:r>
      <w:r>
        <w:rPr>
          <w:b/>
          <w:bCs/>
        </w:rPr>
        <w:t xml:space="preserve">Página 404 em inglês, recorrente em rotas internas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700"/>
        <w:gridCol w:w="1700"/>
        <w:gridCol w:w="5960"/>
      </w:tblGrid>
      <w:tr>
        <w:tc>
          <w:tcPr>
            <w:tcW w:type="dxa" w:w="170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Severidade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Confiança</w:t>
            </w:r>
          </w:p>
        </w:tc>
        <w:tc>
          <w:tcPr>
            <w:tcW w:type="dxa" w:w="596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Área</w:t>
            </w:r>
          </w:p>
        </w:tc>
      </w:tr>
      <w:tr>
        <w:tc>
          <w:tcPr>
            <w:tcW w:type="dxa" w:w="170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Certeza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Global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Evidência: </w:t>
      </w:r>
      <w:r>
        <w:t xml:space="preserve">/entrar e /personal/periodizacao retornam ‘404 — This page could not be found.’ em inglês, num app PT-BR.</w:t>
      </w:r>
    </w:p>
    <w:p>
      <w:pPr>
        <w:spacing w:after="100"/>
      </w:pPr>
      <w:r>
        <w:rPr>
          <w:b/>
          <w:bCs/>
          <w:color w:val="E8602C"/>
        </w:rPr>
        <w:t xml:space="preserve">Impacto: </w:t>
      </w:r>
      <w:r>
        <w:t xml:space="preserve">Quebra de idioma e de marca; /personal/periodizacao existe no código mas cai em 404 (rota inacabada).</w:t>
      </w:r>
    </w:p>
    <w:p>
      <w:pPr>
        <w:spacing w:after="100"/>
      </w:pPr>
      <w:r>
        <w:rPr>
          <w:b/>
          <w:bCs/>
          <w:color w:val="E8602C"/>
        </w:rPr>
        <w:t xml:space="preserve">Recomendação: </w:t>
      </w:r>
      <w:r>
        <w:t xml:space="preserve">Criar 404 personalizado em PT-BR e corrigir/ocultar a rota de periodização.</w:t>
      </w:r>
    </w:p>
    <w:p>
      <w:pPr>
        <w:spacing w:after="60" w:before="200"/>
      </w:pPr>
      <w:r>
        <w:rPr>
          <w:b/>
          <w:bCs/>
          <w:color w:val="E8602C"/>
        </w:rPr>
        <w:t xml:space="preserve">F06 — </w:t>
      </w:r>
      <w:r>
        <w:rPr>
          <w:b/>
          <w:bCs/>
        </w:rPr>
        <w:t xml:space="preserve">Texto truncado dentro dos cards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700"/>
        <w:gridCol w:w="1700"/>
        <w:gridCol w:w="5960"/>
      </w:tblGrid>
      <w:tr>
        <w:tc>
          <w:tcPr>
            <w:tcW w:type="dxa" w:w="170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Severidade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Confiança</w:t>
            </w:r>
          </w:p>
        </w:tc>
        <w:tc>
          <w:tcPr>
            <w:tcW w:type="dxa" w:w="596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Área</w:t>
            </w:r>
          </w:p>
        </w:tc>
      </w:tr>
      <w:tr>
        <w:tc>
          <w:tcPr>
            <w:tcW w:type="dxa" w:w="170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Certeza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Dashboard atleta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Evidência: </w:t>
      </w:r>
      <w:r>
        <w:t xml:space="preserve">A descrição da ‘FASE ATUAL’ tem 748px de conteúdo num container de 472px (cortada). Não há overflow de página — é truncamento/padding interno.</w:t>
      </w:r>
    </w:p>
    <w:p>
      <w:pPr>
        <w:spacing w:after="100"/>
      </w:pPr>
      <w:r>
        <w:rPr>
          <w:b/>
          <w:bCs/>
          <w:color w:val="E8602C"/>
        </w:rPr>
        <w:t xml:space="preserve">Impacto: </w:t>
      </w:r>
      <w:r>
        <w:t xml:space="preserve">Orientação do treino fica ilegível.</w:t>
      </w:r>
    </w:p>
    <w:p>
      <w:pPr>
        <w:spacing w:after="100"/>
      </w:pPr>
      <w:r>
        <w:rPr>
          <w:b/>
          <w:bCs/>
          <w:color w:val="E8602C"/>
        </w:rPr>
        <w:t xml:space="preserve">Recomendação: </w:t>
      </w:r>
      <w:r>
        <w:t xml:space="preserve">Permitir quebra de linha ou clamp controlado; padding-right consistente.</w:t>
      </w:r>
    </w:p>
    <w:p>
      <w:pPr>
        <w:spacing w:after="60" w:before="200"/>
      </w:pPr>
      <w:r>
        <w:rPr>
          <w:b/>
          <w:bCs/>
          <w:color w:val="E8602C"/>
        </w:rPr>
        <w:t xml:space="preserve">F07 — </w:t>
      </w:r>
      <w:r>
        <w:rPr>
          <w:b/>
          <w:bCs/>
        </w:rPr>
        <w:t xml:space="preserve">Contradição nos números de ‘semana do ciclo’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700"/>
        <w:gridCol w:w="1700"/>
        <w:gridCol w:w="5960"/>
      </w:tblGrid>
      <w:tr>
        <w:tc>
          <w:tcPr>
            <w:tcW w:type="dxa" w:w="170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Severidade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Confiança</w:t>
            </w:r>
          </w:p>
        </w:tc>
        <w:tc>
          <w:tcPr>
            <w:tcW w:type="dxa" w:w="596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Área</w:t>
            </w:r>
          </w:p>
        </w:tc>
      </w:tr>
      <w:tr>
        <w:tc>
          <w:tcPr>
            <w:tcW w:type="dxa" w:w="170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Certeza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Início+Treino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Evidência: </w:t>
      </w:r>
      <w:r>
        <w:t xml:space="preserve">Início: ‘Semana 12 de 13’ + badge ‘SEM 4/4’. Treino: ‘Semana 4 de 4’ + ‘Sem. 12/13’.</w:t>
      </w:r>
    </w:p>
    <w:p>
      <w:pPr>
        <w:spacing w:after="100"/>
      </w:pPr>
      <w:r>
        <w:rPr>
          <w:b/>
          <w:bCs/>
          <w:color w:val="E8602C"/>
        </w:rPr>
        <w:t xml:space="preserve">Impacto: </w:t>
      </w:r>
      <w:r>
        <w:t xml:space="preserve">Parece bug de dados.</w:t>
      </w:r>
    </w:p>
    <w:p>
      <w:pPr>
        <w:spacing w:after="100"/>
      </w:pPr>
      <w:r>
        <w:rPr>
          <w:b/>
          <w:bCs/>
          <w:color w:val="E8602C"/>
        </w:rPr>
        <w:t xml:space="preserve">Recomendação: </w:t>
      </w:r>
      <w:r>
        <w:t xml:space="preserve">Modelo único e rótulos claros (semana na fase vs semana no ciclo).</w:t>
      </w:r>
    </w:p>
    <w:p>
      <w:pPr>
        <w:spacing w:after="60" w:before="200"/>
      </w:pPr>
      <w:r>
        <w:rPr>
          <w:b/>
          <w:bCs/>
          <w:color w:val="E8602C"/>
        </w:rPr>
        <w:t xml:space="preserve">F27 — </w:t>
      </w:r>
      <w:r>
        <w:rPr>
          <w:b/>
          <w:bCs/>
        </w:rPr>
        <w:t xml:space="preserve">Validação fraca e sem guard no login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700"/>
        <w:gridCol w:w="1700"/>
        <w:gridCol w:w="5960"/>
      </w:tblGrid>
      <w:tr>
        <w:tc>
          <w:tcPr>
            <w:tcW w:type="dxa" w:w="170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Severidade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Confiança</w:t>
            </w:r>
          </w:p>
        </w:tc>
        <w:tc>
          <w:tcPr>
            <w:tcW w:type="dxa" w:w="596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Área</w:t>
            </w:r>
          </w:p>
        </w:tc>
      </w:tr>
      <w:tr>
        <w:tc>
          <w:tcPr>
            <w:tcW w:type="dxa" w:w="170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Certeza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Auth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Evidência: </w:t>
      </w:r>
      <w:r>
        <w:t xml:space="preserve">Campos de e-mail/senha com required=false, sem minLength e sem autocomplete (gerenciadores de senha cegos; validação só por JS). Além disso, usuário já logado ainda vê o /login (sem guard de sessão).</w:t>
      </w:r>
    </w:p>
    <w:p>
      <w:pPr>
        <w:spacing w:after="100"/>
      </w:pPr>
      <w:r>
        <w:rPr>
          <w:b/>
          <w:bCs/>
          <w:color w:val="E8602C"/>
        </w:rPr>
        <w:t xml:space="preserve">Impacto: </w:t>
      </w:r>
      <w:r>
        <w:t xml:space="preserve">Validação frágil (pior junto do F02) e UX confusa para quem já está logado.</w:t>
      </w:r>
    </w:p>
    <w:p>
      <w:pPr>
        <w:spacing w:after="100"/>
      </w:pPr>
      <w:r>
        <w:rPr>
          <w:b/>
          <w:bCs/>
          <w:color w:val="E8602C"/>
        </w:rPr>
        <w:t xml:space="preserve">Recomendação: </w:t>
      </w:r>
      <w:r>
        <w:t xml:space="preserve">Adicionar required/minLength/autocomplete e redirecionar sessão ativa para o app.</w:t>
      </w:r>
    </w:p>
    <w:p>
      <w:pPr>
        <w:pStyle w:val="Heading2"/>
      </w:pPr>
      <w:r>
        <w:t xml:space="preserve">5.4 P2 — Médio</w:t>
      </w:r>
    </w:p>
    <w:p>
      <w:pPr>
        <w:spacing w:after="60" w:before="200"/>
      </w:pPr>
      <w:r>
        <w:rPr>
          <w:b/>
          <w:bCs/>
          <w:color w:val="E8602C"/>
        </w:rPr>
        <w:t xml:space="preserve">F11 — </w:t>
      </w:r>
      <w:r>
        <w:rPr>
          <w:b/>
          <w:bCs/>
        </w:rPr>
        <w:t xml:space="preserve">Loading em tela cheia perde o shell a cada navegação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700"/>
        <w:gridCol w:w="1700"/>
        <w:gridCol w:w="5960"/>
      </w:tblGrid>
      <w:tr>
        <w:tc>
          <w:tcPr>
            <w:tcW w:type="dxa" w:w="17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Severidade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Confiança</w:t>
            </w:r>
          </w:p>
        </w:tc>
        <w:tc>
          <w:tcPr>
            <w:tcW w:type="dxa" w:w="596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Área</w:t>
            </w:r>
          </w:p>
        </w:tc>
      </w:tr>
      <w:tr>
        <w:tc>
          <w:tcPr>
            <w:tcW w:type="dxa" w:w="17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Certeza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Global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Evidência: </w:t>
      </w:r>
      <w:r>
        <w:t xml:space="preserve">Trocar de aba some com a sidebar e mostra spinner full-page; cor do spinner varia (laranja/verde). Confirmado nos 3 perfis. (As abas internas do paciente, porém, trocam sem reload — comportamento misto.)</w:t>
      </w:r>
    </w:p>
    <w:p>
      <w:pPr>
        <w:spacing w:after="100"/>
      </w:pPr>
      <w:r>
        <w:rPr>
          <w:b/>
          <w:bCs/>
          <w:color w:val="E8602C"/>
        </w:rPr>
        <w:t xml:space="preserve">Impacto: </w:t>
      </w:r>
      <w:r>
        <w:t xml:space="preserve">Parece recarregar o site a cada clique.</w:t>
      </w:r>
    </w:p>
    <w:p>
      <w:pPr>
        <w:spacing w:after="100"/>
      </w:pPr>
      <w:r>
        <w:rPr>
          <w:b/>
          <w:bCs/>
          <w:color w:val="E8602C"/>
        </w:rPr>
        <w:t xml:space="preserve">Recomendação: </w:t>
      </w:r>
      <w:r>
        <w:t xml:space="preserve">Manter layout persistente, trocar só o conteúdo, padronizar spinner e usar skeletons.</w:t>
      </w:r>
    </w:p>
    <w:p>
      <w:pPr>
        <w:spacing w:after="60" w:before="200"/>
      </w:pPr>
      <w:r>
        <w:rPr>
          <w:b/>
          <w:bCs/>
          <w:color w:val="E8602C"/>
        </w:rPr>
        <w:t xml:space="preserve">F12 — </w:t>
      </w:r>
      <w:r>
        <w:rPr>
          <w:b/>
          <w:bCs/>
        </w:rPr>
        <w:t xml:space="preserve">Jank das animações de scroll-reveal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700"/>
        <w:gridCol w:w="1700"/>
        <w:gridCol w:w="5960"/>
      </w:tblGrid>
      <w:tr>
        <w:tc>
          <w:tcPr>
            <w:tcW w:type="dxa" w:w="17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Severidade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Confiança</w:t>
            </w:r>
          </w:p>
        </w:tc>
        <w:tc>
          <w:tcPr>
            <w:tcW w:type="dxa" w:w="596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Área</w:t>
            </w:r>
          </w:p>
        </w:tc>
      </w:tr>
      <w:tr>
        <w:tc>
          <w:tcPr>
            <w:tcW w:type="dxa" w:w="17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Certeza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Global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Evidência: </w:t>
      </w:r>
      <w:r>
        <w:t xml:space="preserve">Ao rolar, a viewport pisca em branco até o conteúdo revelar (Início, Nutrição, Evolução).</w:t>
      </w:r>
    </w:p>
    <w:p>
      <w:pPr>
        <w:spacing w:after="100"/>
      </w:pPr>
      <w:r>
        <w:rPr>
          <w:b/>
          <w:bCs/>
          <w:color w:val="E8602C"/>
        </w:rPr>
        <w:t xml:space="preserve">Impacto: </w:t>
      </w:r>
      <w:r>
        <w:t xml:space="preserve">Sensação de travamento; provável CLS alto.</w:t>
      </w:r>
    </w:p>
    <w:p>
      <w:pPr>
        <w:spacing w:after="100"/>
      </w:pPr>
      <w:r>
        <w:rPr>
          <w:b/>
          <w:bCs/>
          <w:color w:val="E8602C"/>
        </w:rPr>
        <w:t xml:space="preserve">Recomendação: </w:t>
      </w:r>
      <w:r>
        <w:t xml:space="preserve">Reservar espaço, reduzir reveal e respeitar prefers-reduced-motion.</w:t>
      </w:r>
    </w:p>
    <w:p>
      <w:pPr>
        <w:spacing w:after="60" w:before="200"/>
      </w:pPr>
      <w:r>
        <w:rPr>
          <w:b/>
          <w:bCs/>
          <w:color w:val="E8602C"/>
        </w:rPr>
        <w:t xml:space="preserve">F09 — </w:t>
      </w:r>
      <w:r>
        <w:rPr>
          <w:b/>
          <w:bCs/>
        </w:rPr>
        <w:t xml:space="preserve">Cabeçalhos de página inconsistentes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700"/>
        <w:gridCol w:w="1700"/>
        <w:gridCol w:w="5960"/>
      </w:tblGrid>
      <w:tr>
        <w:tc>
          <w:tcPr>
            <w:tcW w:type="dxa" w:w="17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Severidade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Confiança</w:t>
            </w:r>
          </w:p>
        </w:tc>
        <w:tc>
          <w:tcPr>
            <w:tcW w:type="dxa" w:w="596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Área</w:t>
            </w:r>
          </w:p>
        </w:tc>
      </w:tr>
      <w:tr>
        <w:tc>
          <w:tcPr>
            <w:tcW w:type="dxa" w:w="17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Certeza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Global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Evidência: </w:t>
      </w:r>
      <w:r>
        <w:t xml:space="preserve">O eyebrow varia: Treino ‘— DASHBOARD’, outras ‘KORE’, e /sono não tem eyebrow nenhum. Botão ‘voltar’ existe em algumas telas (bem-estar) e não em outras (sono).</w:t>
      </w:r>
    </w:p>
    <w:p>
      <w:pPr>
        <w:spacing w:after="100"/>
      </w:pPr>
      <w:r>
        <w:rPr>
          <w:b/>
          <w:bCs/>
          <w:color w:val="E8602C"/>
        </w:rPr>
        <w:t xml:space="preserve">Impacto: </w:t>
      </w:r>
      <w:r>
        <w:t xml:space="preserve">Falta de padrão de cabeçalho.</w:t>
      </w:r>
    </w:p>
    <w:p>
      <w:pPr>
        <w:spacing w:after="100"/>
      </w:pPr>
      <w:r>
        <w:rPr>
          <w:b/>
          <w:bCs/>
          <w:color w:val="E8602C"/>
        </w:rPr>
        <w:t xml:space="preserve">Recomendação: </w:t>
      </w:r>
      <w:r>
        <w:t xml:space="preserve">Componente único de cabeçalho de página (eyebrow + título + voltar).</w:t>
      </w:r>
    </w:p>
    <w:p>
      <w:pPr>
        <w:spacing w:after="60" w:before="200"/>
      </w:pPr>
      <w:r>
        <w:rPr>
          <w:b/>
          <w:bCs/>
          <w:color w:val="E8602C"/>
        </w:rPr>
        <w:t xml:space="preserve">F10 — </w:t>
      </w:r>
      <w:r>
        <w:rPr>
          <w:b/>
          <w:bCs/>
        </w:rPr>
        <w:t xml:space="preserve">Formatação de data inconsistente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700"/>
        <w:gridCol w:w="1700"/>
        <w:gridCol w:w="5960"/>
      </w:tblGrid>
      <w:tr>
        <w:tc>
          <w:tcPr>
            <w:tcW w:type="dxa" w:w="17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Severidade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Confiança</w:t>
            </w:r>
          </w:p>
        </w:tc>
        <w:tc>
          <w:tcPr>
            <w:tcW w:type="dxa" w:w="596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Área</w:t>
            </w:r>
          </w:p>
        </w:tc>
      </w:tr>
      <w:tr>
        <w:tc>
          <w:tcPr>
            <w:tcW w:type="dxa" w:w="17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Certeza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Global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Evidência: </w:t>
      </w:r>
      <w:r>
        <w:t xml:space="preserve">‘Domingo, 7 de junho’ (Início) vs ‘Domingo, 7 De Junho’ (Nutrição e Sono) — capitalização errada do mês.</w:t>
      </w:r>
    </w:p>
    <w:p>
      <w:pPr>
        <w:spacing w:after="100"/>
      </w:pPr>
      <w:r>
        <w:rPr>
          <w:b/>
          <w:bCs/>
          <w:color w:val="E8602C"/>
        </w:rPr>
        <w:t xml:space="preserve">Impacto: </w:t>
      </w:r>
      <w:r>
        <w:t xml:space="preserve">Descuido de polimento.</w:t>
      </w:r>
    </w:p>
    <w:p>
      <w:pPr>
        <w:spacing w:after="100"/>
      </w:pPr>
      <w:r>
        <w:rPr>
          <w:b/>
          <w:bCs/>
          <w:color w:val="E8602C"/>
        </w:rPr>
        <w:t xml:space="preserve">Recomendação: </w:t>
      </w:r>
      <w:r>
        <w:t xml:space="preserve">Util único de data (locale pt-BR).</w:t>
      </w:r>
    </w:p>
    <w:p>
      <w:pPr>
        <w:spacing w:after="60" w:before="200"/>
      </w:pPr>
      <w:r>
        <w:rPr>
          <w:b/>
          <w:bCs/>
          <w:color w:val="E8602C"/>
        </w:rPr>
        <w:t xml:space="preserve">F08 — </w:t>
      </w:r>
      <w:r>
        <w:rPr>
          <w:b/>
          <w:bCs/>
        </w:rPr>
        <w:t xml:space="preserve">Lógica da ‘Meta pessoal’ incoerente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700"/>
        <w:gridCol w:w="1700"/>
        <w:gridCol w:w="5960"/>
      </w:tblGrid>
      <w:tr>
        <w:tc>
          <w:tcPr>
            <w:tcW w:type="dxa" w:w="17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Severidade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Confiança</w:t>
            </w:r>
          </w:p>
        </w:tc>
        <w:tc>
          <w:tcPr>
            <w:tcW w:type="dxa" w:w="596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Área</w:t>
            </w:r>
          </w:p>
        </w:tc>
      </w:tr>
      <w:tr>
        <w:tc>
          <w:tcPr>
            <w:tcW w:type="dxa" w:w="17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Provável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Início atleta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Evidência: </w:t>
      </w:r>
      <w:r>
        <w:t xml:space="preserve">Início 75kg → hoje 84,5kg → meta 78kg, ‘6,5kg faltam’, progresso 0%.</w:t>
      </w:r>
    </w:p>
    <w:p>
      <w:pPr>
        <w:spacing w:after="100"/>
      </w:pPr>
      <w:r>
        <w:rPr>
          <w:b/>
          <w:bCs/>
          <w:color w:val="E8602C"/>
        </w:rPr>
        <w:t xml:space="preserve">Impacto: </w:t>
      </w:r>
      <w:r>
        <w:t xml:space="preserve">Números não contam história coerente.</w:t>
      </w:r>
    </w:p>
    <w:p>
      <w:pPr>
        <w:spacing w:after="100"/>
      </w:pPr>
      <w:r>
        <w:rPr>
          <w:b/>
          <w:bCs/>
          <w:color w:val="E8602C"/>
        </w:rPr>
        <w:t xml:space="preserve">Recomendação: </w:t>
      </w:r>
      <w:r>
        <w:t xml:space="preserve">Revisar baseline, sentido e fórmula de progresso.</w:t>
      </w:r>
    </w:p>
    <w:p>
      <w:pPr>
        <w:spacing w:after="60" w:before="200"/>
      </w:pPr>
      <w:r>
        <w:rPr>
          <w:b/>
          <w:bCs/>
          <w:color w:val="E8602C"/>
        </w:rPr>
        <w:t xml:space="preserve">F28 — </w:t>
      </w:r>
      <w:r>
        <w:rPr>
          <w:b/>
          <w:bCs/>
        </w:rPr>
        <w:t xml:space="preserve">Dashboards profissionais sem avatar no header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700"/>
        <w:gridCol w:w="1700"/>
        <w:gridCol w:w="5960"/>
      </w:tblGrid>
      <w:tr>
        <w:tc>
          <w:tcPr>
            <w:tcW w:type="dxa" w:w="17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Severidade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Confiança</w:t>
            </w:r>
          </w:p>
        </w:tc>
        <w:tc>
          <w:tcPr>
            <w:tcW w:type="dxa" w:w="596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Área</w:t>
            </w:r>
          </w:p>
        </w:tc>
      </w:tr>
      <w:tr>
        <w:tc>
          <w:tcPr>
            <w:tcW w:type="dxa" w:w="17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Certeza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 profissional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Evidência: </w:t>
      </w:r>
      <w:r>
        <w:t xml:space="preserve">O header do atleta tem avatar (RT) + sino; os dashboards de Personal e Nutri têm só o sino, sem avatar.</w:t>
      </w:r>
    </w:p>
    <w:p>
      <w:pPr>
        <w:spacing w:after="100"/>
      </w:pPr>
      <w:r>
        <w:rPr>
          <w:b/>
          <w:bCs/>
          <w:color w:val="E8602C"/>
        </w:rPr>
        <w:t xml:space="preserve">Impacto: </w:t>
      </w:r>
      <w:r>
        <w:t xml:space="preserve">Inconsistência de header entre perfis.</w:t>
      </w:r>
    </w:p>
    <w:p>
      <w:pPr>
        <w:spacing w:after="100"/>
      </w:pPr>
      <w:r>
        <w:rPr>
          <w:b/>
          <w:bCs/>
          <w:color w:val="E8602C"/>
        </w:rPr>
        <w:t xml:space="preserve">Recomendação: </w:t>
      </w:r>
      <w:r>
        <w:t xml:space="preserve">Padronizar o header (avatar + sino) em todos os perfis.</w:t>
      </w:r>
    </w:p>
    <w:p>
      <w:pPr>
        <w:spacing w:after="60" w:before="200"/>
      </w:pPr>
      <w:r>
        <w:rPr>
          <w:b/>
          <w:bCs/>
          <w:color w:val="E8602C"/>
        </w:rPr>
        <w:t xml:space="preserve">F29 — </w:t>
      </w:r>
      <w:r>
        <w:rPr>
          <w:b/>
          <w:bCs/>
        </w:rPr>
        <w:t xml:space="preserve">Números de composição corporal sem rótulos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700"/>
        <w:gridCol w:w="1700"/>
        <w:gridCol w:w="5960"/>
      </w:tblGrid>
      <w:tr>
        <w:tc>
          <w:tcPr>
            <w:tcW w:type="dxa" w:w="17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Severidade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Confiança</w:t>
            </w:r>
          </w:p>
        </w:tc>
        <w:tc>
          <w:tcPr>
            <w:tcW w:type="dxa" w:w="596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Área</w:t>
            </w:r>
          </w:p>
        </w:tc>
      </w:tr>
      <w:tr>
        <w:tc>
          <w:tcPr>
            <w:tcW w:type="dxa" w:w="17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Certeza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 Nutri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Evidência: </w:t>
      </w:r>
      <w:r>
        <w:t xml:space="preserve">‘69.8 / 14.43% / 59.73’ sem deixar claro o que é peso, % de gordura e massa magra.</w:t>
      </w:r>
    </w:p>
    <w:p>
      <w:pPr>
        <w:spacing w:after="100"/>
      </w:pPr>
      <w:r>
        <w:rPr>
          <w:b/>
          <w:bCs/>
          <w:color w:val="E8602C"/>
        </w:rPr>
        <w:t xml:space="preserve">Impacto: </w:t>
      </w:r>
      <w:r>
        <w:t xml:space="preserve">Profissional/usuário não interpreta os números.</w:t>
      </w:r>
    </w:p>
    <w:p>
      <w:pPr>
        <w:spacing w:after="100"/>
      </w:pPr>
      <w:r>
        <w:rPr>
          <w:b/>
          <w:bCs/>
          <w:color w:val="E8602C"/>
        </w:rPr>
        <w:t xml:space="preserve">Recomendação: </w:t>
      </w:r>
      <w:r>
        <w:t xml:space="preserve">Rotular cada valor explicitamente.</w:t>
      </w:r>
    </w:p>
    <w:p>
      <w:pPr>
        <w:spacing w:after="60" w:before="200"/>
      </w:pPr>
      <w:r>
        <w:rPr>
          <w:b/>
          <w:bCs/>
          <w:color w:val="E8602C"/>
        </w:rPr>
        <w:t xml:space="preserve">F30 — </w:t>
      </w:r>
      <w:r>
        <w:rPr>
          <w:b/>
          <w:bCs/>
        </w:rPr>
        <w:t xml:space="preserve">Estados vazios inconsistentes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700"/>
        <w:gridCol w:w="1700"/>
        <w:gridCol w:w="5960"/>
      </w:tblGrid>
      <w:tr>
        <w:tc>
          <w:tcPr>
            <w:tcW w:type="dxa" w:w="17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Severidade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Confiança</w:t>
            </w:r>
          </w:p>
        </w:tc>
        <w:tc>
          <w:tcPr>
            <w:tcW w:type="dxa" w:w="596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Área</w:t>
            </w:r>
          </w:p>
        </w:tc>
      </w:tr>
      <w:tr>
        <w:tc>
          <w:tcPr>
            <w:tcW w:type="dxa" w:w="17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Certeza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Estados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Evidência: </w:t>
      </w:r>
      <w:r>
        <w:t xml:space="preserve">A Agenda tem empty state caprichado (‘Agenda vazia / clique em +’); já ‘Dados de hoje’, recuperação e monitoramento usam ‘—’ cru, sem orientação.</w:t>
      </w:r>
    </w:p>
    <w:p>
      <w:pPr>
        <w:spacing w:after="100"/>
      </w:pPr>
      <w:r>
        <w:rPr>
          <w:b/>
          <w:bCs/>
          <w:color w:val="E8602C"/>
        </w:rPr>
        <w:t xml:space="preserve">Impacto: </w:t>
      </w:r>
      <w:r>
        <w:t xml:space="preserve">Usuário não sabe como preencher.</w:t>
      </w:r>
    </w:p>
    <w:p>
      <w:pPr>
        <w:spacing w:after="100"/>
      </w:pPr>
      <w:r>
        <w:rPr>
          <w:b/>
          <w:bCs/>
          <w:color w:val="E8602C"/>
        </w:rPr>
        <w:t xml:space="preserve">Recomendação: </w:t>
      </w:r>
      <w:r>
        <w:t xml:space="preserve">Padronizar empty states acionáveis em todo o app.</w:t>
      </w:r>
    </w:p>
    <w:p>
      <w:pPr>
        <w:spacing w:after="60" w:before="200"/>
      </w:pPr>
      <w:r>
        <w:rPr>
          <w:b/>
          <w:bCs/>
          <w:color w:val="E8602C"/>
        </w:rPr>
        <w:t xml:space="preserve">F31 — </w:t>
      </w:r>
      <w:r>
        <w:rPr>
          <w:b/>
          <w:bCs/>
        </w:rPr>
        <w:t xml:space="preserve">Nomenclatura/casing de refeições divergente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700"/>
        <w:gridCol w:w="1700"/>
        <w:gridCol w:w="5960"/>
      </w:tblGrid>
      <w:tr>
        <w:tc>
          <w:tcPr>
            <w:tcW w:type="dxa" w:w="17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Severidade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Confiança</w:t>
            </w:r>
          </w:p>
        </w:tc>
        <w:tc>
          <w:tcPr>
            <w:tcW w:type="dxa" w:w="596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Área</w:t>
            </w:r>
          </w:p>
        </w:tc>
      </w:tr>
      <w:tr>
        <w:tc>
          <w:tcPr>
            <w:tcW w:type="dxa" w:w="17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Certeza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Conteúdo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Evidência: </w:t>
      </w:r>
      <w:r>
        <w:t xml:space="preserve">Nutri usa ‘desjejum/lanche/almoço’ (minúsculo); o atleta usa ‘Café da Manhã’ (capitalizado).</w:t>
      </w:r>
    </w:p>
    <w:p>
      <w:pPr>
        <w:spacing w:after="100"/>
      </w:pPr>
      <w:r>
        <w:rPr>
          <w:b/>
          <w:bCs/>
          <w:color w:val="E8602C"/>
        </w:rPr>
        <w:t xml:space="preserve">Impacto: </w:t>
      </w:r>
      <w:r>
        <w:t xml:space="preserve">Inconsistência de conteúdo entre apps.</w:t>
      </w:r>
    </w:p>
    <w:p>
      <w:pPr>
        <w:spacing w:after="100"/>
      </w:pPr>
      <w:r>
        <w:rPr>
          <w:b/>
          <w:bCs/>
          <w:color w:val="E8602C"/>
        </w:rPr>
        <w:t xml:space="preserve">Recomendação: </w:t>
      </w:r>
      <w:r>
        <w:t xml:space="preserve">Padronizar termos e capitalização.</w:t>
      </w:r>
    </w:p>
    <w:p>
      <w:pPr>
        <w:spacing w:after="60" w:before="200"/>
      </w:pPr>
      <w:r>
        <w:rPr>
          <w:b/>
          <w:bCs/>
          <w:color w:val="E8602C"/>
        </w:rPr>
        <w:t xml:space="preserve">F32 — </w:t>
      </w:r>
      <w:r>
        <w:rPr>
          <w:b/>
          <w:bCs/>
        </w:rPr>
        <w:t xml:space="preserve">Selo ‘DEMO’ aparece para usuário real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700"/>
        <w:gridCol w:w="1700"/>
        <w:gridCol w:w="5960"/>
      </w:tblGrid>
      <w:tr>
        <w:tc>
          <w:tcPr>
            <w:tcW w:type="dxa" w:w="17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Severidade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Confiança</w:t>
            </w:r>
          </w:p>
        </w:tc>
        <w:tc>
          <w:tcPr>
            <w:tcW w:type="dxa" w:w="596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Área</w:t>
            </w:r>
          </w:p>
        </w:tc>
      </w:tr>
      <w:tr>
        <w:tc>
          <w:tcPr>
            <w:tcW w:type="dxa" w:w="17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Certeza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Atleta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Evidência: </w:t>
      </w:r>
      <w:r>
        <w:t xml:space="preserve">O card de recuperação mostra ‘DEMO’ mesmo logado como atleta real, até registrar o sono.</w:t>
      </w:r>
    </w:p>
    <w:p>
      <w:pPr>
        <w:spacing w:after="100"/>
      </w:pPr>
      <w:r>
        <w:rPr>
          <w:b/>
          <w:bCs/>
          <w:color w:val="E8602C"/>
        </w:rPr>
        <w:t xml:space="preserve">Impacto: </w:t>
      </w:r>
      <w:r>
        <w:t xml:space="preserve">Confunde (‘por que meu app diz DEMO?’).</w:t>
      </w:r>
    </w:p>
    <w:p>
      <w:pPr>
        <w:spacing w:after="100"/>
      </w:pPr>
      <w:r>
        <w:rPr>
          <w:b/>
          <w:bCs/>
          <w:color w:val="E8602C"/>
        </w:rPr>
        <w:t xml:space="preserve">Recomendação: </w:t>
      </w:r>
      <w:r>
        <w:t xml:space="preserve">Trocar por estado vazio claro (‘Registre seu sono para ver seu score real’) sem rótulo ‘DEMO’.</w:t>
      </w:r>
    </w:p>
    <w:p>
      <w:pPr>
        <w:spacing w:after="60" w:before="200"/>
      </w:pPr>
      <w:r>
        <w:rPr>
          <w:b/>
          <w:bCs/>
          <w:color w:val="E8602C"/>
        </w:rPr>
        <w:t xml:space="preserve">F14 — </w:t>
      </w:r>
      <w:r>
        <w:rPr>
          <w:b/>
          <w:bCs/>
        </w:rPr>
        <w:t xml:space="preserve">Cor de ação inconsistente (verde vs laranja)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700"/>
        <w:gridCol w:w="1700"/>
        <w:gridCol w:w="5960"/>
      </w:tblGrid>
      <w:tr>
        <w:tc>
          <w:tcPr>
            <w:tcW w:type="dxa" w:w="17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Severidade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Confiança</w:t>
            </w:r>
          </w:p>
        </w:tc>
        <w:tc>
          <w:tcPr>
            <w:tcW w:type="dxa" w:w="596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Área</w:t>
            </w:r>
          </w:p>
        </w:tc>
      </w:tr>
      <w:tr>
        <w:tc>
          <w:tcPr>
            <w:tcW w:type="dxa" w:w="17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Certeza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Global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Evidência: </w:t>
      </w:r>
      <w:r>
        <w:t xml:space="preserve">‘Salvar meta’ é verde; o primário do app é laranja.</w:t>
      </w:r>
    </w:p>
    <w:p>
      <w:pPr>
        <w:spacing w:after="100"/>
      </w:pPr>
      <w:r>
        <w:rPr>
          <w:b/>
          <w:bCs/>
          <w:color w:val="E8602C"/>
        </w:rPr>
        <w:t xml:space="preserve">Impacto: </w:t>
      </w:r>
      <w:r>
        <w:t xml:space="preserve">Verde é usado para nutrição E para salvar/sucesso — ambíguo.</w:t>
      </w:r>
    </w:p>
    <w:p>
      <w:pPr>
        <w:spacing w:after="100"/>
      </w:pPr>
      <w:r>
        <w:rPr>
          <w:b/>
          <w:bCs/>
          <w:color w:val="E8602C"/>
        </w:rPr>
        <w:t xml:space="preserve">Recomendação: </w:t>
      </w:r>
      <w:r>
        <w:t xml:space="preserve">Tokens semânticos: primary/success/warning/danger/info.</w:t>
      </w:r>
    </w:p>
    <w:p>
      <w:pPr>
        <w:spacing w:after="60" w:before="200"/>
      </w:pPr>
      <w:r>
        <w:rPr>
          <w:b/>
          <w:bCs/>
          <w:color w:val="E8602C"/>
        </w:rPr>
        <w:t xml:space="preserve">F15 — </w:t>
      </w:r>
      <w:r>
        <w:rPr>
          <w:b/>
          <w:bCs/>
        </w:rPr>
        <w:t xml:space="preserve">Sino com ‘não lido’ sem notificações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700"/>
        <w:gridCol w:w="1700"/>
        <w:gridCol w:w="5960"/>
      </w:tblGrid>
      <w:tr>
        <w:tc>
          <w:tcPr>
            <w:tcW w:type="dxa" w:w="17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Severidade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Confiança</w:t>
            </w:r>
          </w:p>
        </w:tc>
        <w:tc>
          <w:tcPr>
            <w:tcW w:type="dxa" w:w="596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Área</w:t>
            </w:r>
          </w:p>
        </w:tc>
      </w:tr>
      <w:tr>
        <w:tc>
          <w:tcPr>
            <w:tcW w:type="dxa" w:w="17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Certeza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Atleta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Evidência: </w:t>
      </w:r>
      <w:r>
        <w:t xml:space="preserve">Ponto vermelho no sino, mas o painel diz ‘Tudo em dia! Nenhuma notificação’.</w:t>
      </w:r>
    </w:p>
    <w:p>
      <w:pPr>
        <w:spacing w:after="100"/>
      </w:pPr>
      <w:r>
        <w:rPr>
          <w:b/>
          <w:bCs/>
          <w:color w:val="E8602C"/>
        </w:rPr>
        <w:t xml:space="preserve">Impacto: </w:t>
      </w:r>
      <w:r>
        <w:t xml:space="preserve">Falso positivo.</w:t>
      </w:r>
    </w:p>
    <w:p>
      <w:pPr>
        <w:spacing w:after="100"/>
      </w:pPr>
      <w:r>
        <w:rPr>
          <w:b/>
          <w:bCs/>
          <w:color w:val="E8602C"/>
        </w:rPr>
        <w:t xml:space="preserve">Recomendação: </w:t>
      </w:r>
      <w:r>
        <w:t xml:space="preserve">Mostrar o ponto só com itens não lidos.</w:t>
      </w:r>
    </w:p>
    <w:p>
      <w:pPr>
        <w:spacing w:after="60" w:before="200"/>
      </w:pPr>
      <w:r>
        <w:rPr>
          <w:b/>
          <w:bCs/>
          <w:color w:val="E8602C"/>
        </w:rPr>
        <w:t xml:space="preserve">F16 — </w:t>
      </w:r>
      <w:r>
        <w:rPr>
          <w:b/>
          <w:bCs/>
        </w:rPr>
        <w:t xml:space="preserve">Logout redundante (até triplo)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700"/>
        <w:gridCol w:w="1700"/>
        <w:gridCol w:w="5960"/>
      </w:tblGrid>
      <w:tr>
        <w:tc>
          <w:tcPr>
            <w:tcW w:type="dxa" w:w="17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Severidade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Confiança</w:t>
            </w:r>
          </w:p>
        </w:tc>
        <w:tc>
          <w:tcPr>
            <w:tcW w:type="dxa" w:w="596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Área</w:t>
            </w:r>
          </w:p>
        </w:tc>
      </w:tr>
      <w:tr>
        <w:tc>
          <w:tcPr>
            <w:tcW w:type="dxa" w:w="17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Certeza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Perfil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Evidência: </w:t>
      </w:r>
      <w:r>
        <w:t xml:space="preserve">No Perfil do nutri há ‘SAIR’ no topo + ‘Sair’ na sidebar + card ‘Configurações’. No atleta, dois.</w:t>
      </w:r>
    </w:p>
    <w:p>
      <w:pPr>
        <w:spacing w:after="100"/>
      </w:pPr>
      <w:r>
        <w:rPr>
          <w:b/>
          <w:bCs/>
          <w:color w:val="E8602C"/>
        </w:rPr>
        <w:t xml:space="preserve">Impacto: </w:t>
      </w:r>
      <w:r>
        <w:t xml:space="preserve">Redundância/poluição.</w:t>
      </w:r>
    </w:p>
    <w:p>
      <w:pPr>
        <w:spacing w:after="100"/>
      </w:pPr>
      <w:r>
        <w:rPr>
          <w:b/>
          <w:bCs/>
          <w:color w:val="E8602C"/>
        </w:rPr>
        <w:t xml:space="preserve">Recomendação: </w:t>
      </w:r>
      <w:r>
        <w:t xml:space="preserve">Um único ponto de logout.</w:t>
      </w:r>
    </w:p>
    <w:p>
      <w:pPr>
        <w:spacing w:after="60" w:before="200"/>
      </w:pPr>
      <w:r>
        <w:rPr>
          <w:b/>
          <w:bCs/>
          <w:color w:val="E8602C"/>
        </w:rPr>
        <w:t xml:space="preserve">F13 — </w:t>
      </w:r>
      <w:r>
        <w:rPr>
          <w:b/>
          <w:bCs/>
        </w:rPr>
        <w:t xml:space="preserve">Dados de demonstração inconsistentes/repetidos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700"/>
        <w:gridCol w:w="1700"/>
        <w:gridCol w:w="5960"/>
      </w:tblGrid>
      <w:tr>
        <w:tc>
          <w:tcPr>
            <w:tcW w:type="dxa" w:w="17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Severidade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Confiança</w:t>
            </w:r>
          </w:p>
        </w:tc>
        <w:tc>
          <w:tcPr>
            <w:tcW w:type="dxa" w:w="596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Área</w:t>
            </w:r>
          </w:p>
        </w:tc>
      </w:tr>
      <w:tr>
        <w:tc>
          <w:tcPr>
            <w:tcW w:type="dxa" w:w="17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Certeza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Demo data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Evidência: </w:t>
      </w:r>
      <w:r>
        <w:t xml:space="preserve">Meta calórica 2.100 vs 2236 vs 2230; métrica ‘Volume +17%’ repetida em vários clientes; KPI ‘BOA RECUPERAÇÃO’ com valor ‘0’ (rótulo/valor não casam).</w:t>
      </w:r>
    </w:p>
    <w:p>
      <w:pPr>
        <w:spacing w:after="100"/>
      </w:pPr>
      <w:r>
        <w:rPr>
          <w:b/>
          <w:bCs/>
          <w:color w:val="E8602C"/>
        </w:rPr>
        <w:t xml:space="preserve">Impacto: </w:t>
      </w:r>
      <w:r>
        <w:t xml:space="preserve">Reduz percepção de qualidade.</w:t>
      </w:r>
    </w:p>
    <w:p>
      <w:pPr>
        <w:spacing w:after="100"/>
      </w:pPr>
      <w:r>
        <w:rPr>
          <w:b/>
          <w:bCs/>
          <w:color w:val="E8602C"/>
        </w:rPr>
        <w:t xml:space="preserve">Recomendação: </w:t>
      </w:r>
      <w:r>
        <w:t xml:space="preserve">Conjunto de dados-demo coeso e rótulos de KPI corretos.</w:t>
      </w:r>
    </w:p>
    <w:p>
      <w:pPr>
        <w:pStyle w:val="Heading2"/>
      </w:pPr>
      <w:r>
        <w:t xml:space="preserve">5.5 P3 — Baixo</w:t>
      </w:r>
    </w:p>
    <w:p>
      <w:pPr>
        <w:spacing w:after="60" w:before="200"/>
      </w:pPr>
      <w:r>
        <w:rPr>
          <w:b/>
          <w:bCs/>
          <w:color w:val="E8602C"/>
        </w:rPr>
        <w:t xml:space="preserve">F18 — </w:t>
      </w:r>
      <w:r>
        <w:rPr>
          <w:b/>
          <w:bCs/>
        </w:rPr>
        <w:t xml:space="preserve">Excesso de CTAs concorrentes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700"/>
        <w:gridCol w:w="1700"/>
        <w:gridCol w:w="5960"/>
      </w:tblGrid>
      <w:tr>
        <w:tc>
          <w:tcPr>
            <w:tcW w:type="dxa" w:w="170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Severidade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Confiança</w:t>
            </w:r>
          </w:p>
        </w:tc>
        <w:tc>
          <w:tcPr>
            <w:tcW w:type="dxa" w:w="596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Área</w:t>
            </w:r>
          </w:p>
        </w:tc>
      </w:tr>
      <w:tr>
        <w:tc>
          <w:tcPr>
            <w:tcW w:type="dxa" w:w="170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Provável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Landing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Evidência: </w:t>
      </w:r>
      <w:r>
        <w:t xml:space="preserve">~9 chamadas diferentes competindo na home.</w:t>
      </w:r>
    </w:p>
    <w:p>
      <w:pPr>
        <w:spacing w:after="100"/>
      </w:pPr>
      <w:r>
        <w:rPr>
          <w:b/>
          <w:bCs/>
          <w:color w:val="E8602C"/>
        </w:rPr>
        <w:t xml:space="preserve">Impacto: </w:t>
      </w:r>
      <w:r>
        <w:t xml:space="preserve">Dilui a ação principal.</w:t>
      </w:r>
    </w:p>
    <w:p>
      <w:pPr>
        <w:spacing w:after="100"/>
      </w:pPr>
      <w:r>
        <w:rPr>
          <w:b/>
          <w:bCs/>
          <w:color w:val="E8602C"/>
        </w:rPr>
        <w:t xml:space="preserve">Recomendação: </w:t>
      </w:r>
      <w:r>
        <w:t xml:space="preserve">Uma ação primária por seção.</w:t>
      </w:r>
    </w:p>
    <w:p>
      <w:pPr>
        <w:spacing w:after="60" w:before="200"/>
      </w:pPr>
      <w:r>
        <w:rPr>
          <w:b/>
          <w:bCs/>
          <w:color w:val="E8602C"/>
        </w:rPr>
        <w:t xml:space="preserve">F19 — </w:t>
      </w:r>
      <w:r>
        <w:rPr>
          <w:b/>
          <w:bCs/>
        </w:rPr>
        <w:t xml:space="preserve">Palavras grudadas nas quebras de linha (a11y/SEO)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700"/>
        <w:gridCol w:w="1700"/>
        <w:gridCol w:w="5960"/>
      </w:tblGrid>
      <w:tr>
        <w:tc>
          <w:tcPr>
            <w:tcW w:type="dxa" w:w="170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Severidade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Confiança</w:t>
            </w:r>
          </w:p>
        </w:tc>
        <w:tc>
          <w:tcPr>
            <w:tcW w:type="dxa" w:w="596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Área</w:t>
            </w:r>
          </w:p>
        </w:tc>
      </w:tr>
      <w:tr>
        <w:tc>
          <w:tcPr>
            <w:tcW w:type="dxa" w:w="170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Certeza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Landing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Evidência: </w:t>
      </w:r>
      <w:r>
        <w:t xml:space="preserve">Leitores leem ‘estáespalhado’, ‘em60 segundos’, ‘pagam.Atletas’.</w:t>
      </w:r>
    </w:p>
    <w:p>
      <w:pPr>
        <w:spacing w:after="100"/>
      </w:pPr>
      <w:r>
        <w:rPr>
          <w:b/>
          <w:bCs/>
          <w:color w:val="E8602C"/>
        </w:rPr>
        <w:t xml:space="preserve">Impacto: </w:t>
      </w:r>
      <w:r>
        <w:t xml:space="preserve">Prejudica leitor de tela e SEO.</w:t>
      </w:r>
    </w:p>
    <w:p>
      <w:pPr>
        <w:spacing w:after="100"/>
      </w:pPr>
      <w:r>
        <w:rPr>
          <w:b/>
          <w:bCs/>
          <w:color w:val="E8602C"/>
        </w:rPr>
        <w:t xml:space="preserve">Recomendação: </w:t>
      </w:r>
      <w:r>
        <w:t xml:space="preserve">Preservar espaço nas quebras.</w:t>
      </w:r>
    </w:p>
    <w:p>
      <w:pPr>
        <w:spacing w:after="60" w:before="200"/>
      </w:pPr>
      <w:r>
        <w:rPr>
          <w:b/>
          <w:bCs/>
          <w:color w:val="E8602C"/>
        </w:rPr>
        <w:t xml:space="preserve">F20 — </w:t>
      </w:r>
      <w:r>
        <w:rPr>
          <w:b/>
          <w:bCs/>
        </w:rPr>
        <w:t xml:space="preserve">Topo sem landmark &lt;header&gt;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700"/>
        <w:gridCol w:w="1700"/>
        <w:gridCol w:w="5960"/>
      </w:tblGrid>
      <w:tr>
        <w:tc>
          <w:tcPr>
            <w:tcW w:type="dxa" w:w="170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Severidade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Confiança</w:t>
            </w:r>
          </w:p>
        </w:tc>
        <w:tc>
          <w:tcPr>
            <w:tcW w:type="dxa" w:w="596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Área</w:t>
            </w:r>
          </w:p>
        </w:tc>
      </w:tr>
      <w:tr>
        <w:tc>
          <w:tcPr>
            <w:tcW w:type="dxa" w:w="170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Certeza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Landing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Evidência: </w:t>
      </w:r>
      <w:r>
        <w:t xml:space="preserve">Há main/nav/footer, mas a barra superior não é &lt;header&gt;.</w:t>
      </w:r>
    </w:p>
    <w:p>
      <w:pPr>
        <w:spacing w:after="100"/>
      </w:pPr>
      <w:r>
        <w:rPr>
          <w:b/>
          <w:bCs/>
          <w:color w:val="E8602C"/>
        </w:rPr>
        <w:t xml:space="preserve">Impacto: </w:t>
      </w:r>
      <w:r>
        <w:t xml:space="preserve">Menor clareza para tecnologia assistiva.</w:t>
      </w:r>
    </w:p>
    <w:p>
      <w:pPr>
        <w:spacing w:after="100"/>
      </w:pPr>
      <w:r>
        <w:rPr>
          <w:b/>
          <w:bCs/>
          <w:color w:val="E8602C"/>
        </w:rPr>
        <w:t xml:space="preserve">Recomendação: </w:t>
      </w:r>
      <w:r>
        <w:t xml:space="preserve">Usar &lt;header role='banner'&gt;.</w:t>
      </w:r>
    </w:p>
    <w:p>
      <w:pPr>
        <w:spacing w:after="60" w:before="200"/>
      </w:pPr>
      <w:r>
        <w:rPr>
          <w:b/>
          <w:bCs/>
          <w:color w:val="E8602C"/>
        </w:rPr>
        <w:t xml:space="preserve">F21 — </w:t>
      </w:r>
      <w:r>
        <w:rPr>
          <w:b/>
          <w:bCs/>
        </w:rPr>
        <w:t xml:space="preserve">Microcopy abreviado (‘MÁX 14d’)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700"/>
        <w:gridCol w:w="1700"/>
        <w:gridCol w:w="5960"/>
      </w:tblGrid>
      <w:tr>
        <w:tc>
          <w:tcPr>
            <w:tcW w:type="dxa" w:w="170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Severidade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Confiança</w:t>
            </w:r>
          </w:p>
        </w:tc>
        <w:tc>
          <w:tcPr>
            <w:tcW w:type="dxa" w:w="596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Área</w:t>
            </w:r>
          </w:p>
        </w:tc>
      </w:tr>
      <w:tr>
        <w:tc>
          <w:tcPr>
            <w:tcW w:type="dxa" w:w="170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Certeza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Evolução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Evidência: </w:t>
      </w:r>
      <w:r>
        <w:t xml:space="preserve">Confirmado que é ‘máx. em 14 dias’, mas pouco legível (parece ‘140’).</w:t>
      </w:r>
    </w:p>
    <w:p>
      <w:pPr>
        <w:spacing w:after="100"/>
      </w:pPr>
      <w:r>
        <w:rPr>
          <w:b/>
          <w:bCs/>
          <w:color w:val="E8602C"/>
        </w:rPr>
        <w:t xml:space="preserve">Impacto: </w:t>
      </w:r>
      <w:r>
        <w:t xml:space="preserve">Leitura ambígua.</w:t>
      </w:r>
    </w:p>
    <w:p>
      <w:pPr>
        <w:spacing w:after="100"/>
      </w:pPr>
      <w:r>
        <w:rPr>
          <w:b/>
          <w:bCs/>
          <w:color w:val="E8602C"/>
        </w:rPr>
        <w:t xml:space="preserve">Recomendação: </w:t>
      </w:r>
      <w:r>
        <w:t xml:space="preserve">Escrever por extenso.</w:t>
      </w:r>
    </w:p>
    <w:p>
      <w:pPr>
        <w:spacing w:after="60" w:before="200"/>
      </w:pPr>
      <w:r>
        <w:rPr>
          <w:b/>
          <w:bCs/>
          <w:color w:val="E8602C"/>
        </w:rPr>
        <w:t xml:space="preserve">F22 — </w:t>
      </w:r>
      <w:r>
        <w:rPr>
          <w:b/>
          <w:bCs/>
        </w:rPr>
        <w:t xml:space="preserve">Widgets flutuantes sobrepõem conteúdo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700"/>
        <w:gridCol w:w="1700"/>
        <w:gridCol w:w="5960"/>
      </w:tblGrid>
      <w:tr>
        <w:tc>
          <w:tcPr>
            <w:tcW w:type="dxa" w:w="170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Severidade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Confiança</w:t>
            </w:r>
          </w:p>
        </w:tc>
        <w:tc>
          <w:tcPr>
            <w:tcW w:type="dxa" w:w="596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Área</w:t>
            </w:r>
          </w:p>
        </w:tc>
      </w:tr>
      <w:tr>
        <w:tc>
          <w:tcPr>
            <w:tcW w:type="dxa" w:w="170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Provável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Global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Evidência: </w:t>
      </w:r>
      <w:r>
        <w:t xml:space="preserve">Chat (verde) e ícone ‘plugin’ (laranja) flutuam sobre os cards no canto inferior direito.</w:t>
      </w:r>
    </w:p>
    <w:p>
      <w:pPr>
        <w:spacing w:after="100"/>
      </w:pPr>
      <w:r>
        <w:rPr>
          <w:b/>
          <w:bCs/>
          <w:color w:val="E8602C"/>
        </w:rPr>
        <w:t xml:space="preserve">Impacto: </w:t>
      </w:r>
      <w:r>
        <w:t xml:space="preserve">Obstrução e ruído de marca.</w:t>
      </w:r>
    </w:p>
    <w:p>
      <w:pPr>
        <w:spacing w:after="100"/>
      </w:pPr>
      <w:r>
        <w:rPr>
          <w:b/>
          <w:bCs/>
          <w:color w:val="E8602C"/>
        </w:rPr>
        <w:t xml:space="preserve">Recomendação: </w:t>
      </w:r>
      <w:r>
        <w:t xml:space="preserve">Reposicionar/reduzir, alinhar à paleta.</w:t>
      </w:r>
    </w:p>
    <w:p>
      <w:r>
        <w:br w:type="page"/>
      </w:r>
    </w:p>
    <w:p>
      <w:pPr>
        <w:pStyle w:val="Heading1"/>
      </w:pPr>
      <w:r>
        <w:t xml:space="preserve">6. Análise visual transversal</w:t>
      </w:r>
    </w:p>
    <w:p>
      <w:pPr>
        <w:pStyle w:val="Heading2"/>
      </w:pPr>
      <w:r>
        <w:t xml:space="preserve">6.1 Psicologia das cores</w:t>
      </w:r>
    </w:p>
    <w:p>
      <w:pPr>
        <w:spacing w:after="120"/>
      </w:pPr>
      <w:r>
        <w:t xml:space="preserve">Paleta sobre fundo escuro: laranja (primário/energia/treino), verde (nutrição/recuperação/positivo), azul (sono/dados), roxo (refeições/secundário). Adequada ao nicho de performance. Riscos: laranja muito saturado em grandes áreas cansa; verde acumula dois significados (nutrição E salvar/sucesso); tons de alerta ficam perto do laranja de marca. Recomendação: tokens semânticos distintos da cor de marca (primary/success/warning/danger/info), com vermelho reservado a erro/alerta.</w:t>
      </w:r>
    </w:p>
    <w:p>
      <w:pPr>
        <w:pStyle w:val="Heading2"/>
      </w:pPr>
      <w:r>
        <w:t xml:space="preserve">6.2 Consistência — a raiz comum</w:t>
      </w:r>
    </w:p>
    <w:p>
      <w:pPr>
        <w:spacing w:after="120"/>
      </w:pPr>
      <w:r>
        <w:t xml:space="preserve">A maioria dos achados P2 tem a mesma causa: não há design system. Cabeçalhos, datas, cor de ação, loading, estados vazios, layout de detalhe de cliente e até nomenclatura variam entre telas e entre perfis. Os apps Personal e Nutri parecem ter sido feitos em momentos/padrões diferentes (F24). Resolver na base (tokens + componentes compartilhados + um layout único de detalhe de cliente) elimina F09, F10, F11, F13, F14, F24, F28, F29, F30, F31 de uma vez.</w:t>
      </w:r>
    </w:p>
    <w:p>
      <w:pPr>
        <w:pStyle w:val="Heading2"/>
      </w:pPr>
      <w:r>
        <w:t xml:space="preserve">6.3 Acessibilidade (medido)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Contraste estático: 0 falhas medidas (texto sobre fundo sólido) — ressalva: gradientes não medidos.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Estrutura: 1 H1, hierarquia lógica, landmarks main/nav/footer (sem &lt;header&gt;).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17 botões com nome acessível; 0 tabindex positivo.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Lacunas: texto grudado em quebras (F19), foco/teclado/leitor não testados, formulários sem autocomplete (F27).</w:t>
      </w:r>
    </w:p>
    <w:p>
      <w:pPr>
        <w:pStyle w:val="Heading2"/>
      </w:pPr>
      <w:r>
        <w:t xml:space="preserve">6.4 Responsividade mobile</w:t>
      </w:r>
    </w:p>
    <w:p>
      <w:pPr>
        <w:spacing w:after="120"/>
      </w:pPr>
      <w:r>
        <w:t xml:space="preserve">Inferência forte (não observação direta): sem classes responsivas, sem media queries por largura, sem nav mobile, layout de colunas fixas. Para um app de fitness — majoritariamente mobile — esta é a verificação mais importante pendente. Prioridade máxima de re-teste em device.</w:t>
      </w:r>
    </w:p>
    <w:p>
      <w:r>
        <w:br w:type="page"/>
      </w:r>
    </w:p>
    <w:p>
      <w:pPr>
        <w:pStyle w:val="Heading1"/>
      </w:pPr>
      <w:r>
        <w:t xml:space="preserve">7. Plano de execução</w:t>
      </w:r>
    </w:p>
    <w:p>
      <w:pPr>
        <w:spacing w:after="120"/>
      </w:pPr>
      <w:r>
        <w:t xml:space="preserve">Sequenciado por dependência e impacto. Esforço: S/M/L.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000"/>
        <w:gridCol w:w="2600"/>
        <w:gridCol w:w="3960"/>
        <w:gridCol w:w="800"/>
      </w:tblGrid>
      <w:tr>
        <w:tc>
          <w:tcPr>
            <w:tcW w:type="dxa" w:w="20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Fase</w:t>
            </w:r>
          </w:p>
        </w:tc>
        <w:tc>
          <w:tcPr>
            <w:tcW w:type="dxa" w:w="26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Objetivo</w:t>
            </w:r>
          </w:p>
        </w:tc>
        <w:tc>
          <w:tcPr>
            <w:tcW w:type="dxa" w:w="396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Itens</w:t>
            </w:r>
          </w:p>
        </w:tc>
        <w:tc>
          <w:tcPr>
            <w:tcW w:type="dxa" w:w="8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Esforço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 — Bloqueadores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Tirar a sensação de quebrado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F02 (hidratação), F23 (roteamento de CTAs)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 — Alto impacto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Consertar navegação, legal e contradições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F24/F25 (unificar shell profissional), F26 (LGPD), F27 (auth), F04 (404), F06, F07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 — Design system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Tokens + componentes compartilhados (apaga vários bugs juntos)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F09,F10,F11,F13,F14,F28,F29,F30,F31,F32,F15,F16,F08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M-L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 — Polimento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Movimento e marca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F12,F18,F19,F20,F21,F22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 — Validação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Cobrir o pendente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Mobile em device, a11y (teclado/leitor), formulários (envio/erro), performance (CLS/LCP), telas secundárias (onboarding/anamnese/medidas/plano-v2)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</w:t>
            </w:r>
          </w:p>
        </w:tc>
      </w:tr>
    </w:tbl>
    <w:p>
      <w:pPr>
        <w:pStyle w:val="Heading3"/>
      </w:pPr>
      <w:r>
        <w:t xml:space="preserve">Princípio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Tirar a sensação de quebrado (hidratação + roteamento de CTAs).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Consertar navegação e base legal (sidebar do Personal, unificar padrões, LGPD).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Construir o design system — apaga a maior parte dos bugs de consistência.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Polir movimento e marca.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Validar o pendente (mobile, a11y, formulários, performance, telas secundárias).</w:t>
      </w:r>
    </w:p>
    <w:p>
      <w:pPr>
        <w:pStyle w:val="Heading1"/>
      </w:pPr>
      <w:r>
        <w:t xml:space="preserve">8. Próximos passos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Validar responsividade em device real (ou enviar prints do celular).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Auditar as telas secundárias (onboarding, anamnese, evolução de medidas, plano-v2, convite).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Priorizar o backlog com o dev e definir responsáveis por fase.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Decidir se a execução começa pelos fixes seguros (numa branch, com build/lint) ou pelo diagnóstico da hidratação.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Auditoria de Front-End KORE v2 · Página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Arial" w:cs="Arial" w:eastAsia="Arial" w:hAnsi="Arial"/>
      <w:b/>
      <w:bCs/>
      <w:color w:val="E8602C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E8602C" w:sz="6" w:space="4"/>
      </w:pBdr>
      <w:spacing w:after="160" w:before="280"/>
      <w:outlineLvl w:val="0"/>
    </w:pPr>
    <w:rPr>
      <w:rFonts w:ascii="Arial" w:cs="Arial" w:eastAsia="Arial" w:hAnsi="Arial"/>
      <w:b/>
      <w:bCs/>
      <w:color w:val="1A1F2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A1F2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555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Auditoria de Front-End KORE v2</dc:title>
  <dc:creator>Auditoria KORE</dc:creator>
  <cp:lastModifiedBy>Un-named</cp:lastModifiedBy>
  <cp:revision>1</cp:revision>
  <dcterms:created xsi:type="dcterms:W3CDTF">2026-06-07T20:12:38.202Z</dcterms:created>
  <dcterms:modified xsi:type="dcterms:W3CDTF">2026-06-07T20:12:38.214Z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