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40" w:lineRule="auto"/>
        <w:ind w:firstLine="0"/>
        <w:jc w:val="center"/>
        <w:widowControl w:val="true"/>
      </w:pPr>
      <w:r>
        <w:rPr>
          <w:rFonts w:ascii="Times New Roman" w:hAnsi="Times New Roman" w:eastAsia="Times New Roman"/>
          <w:b/>
          <w:color w:val="29345F"/>
          <w:sz w:val="31"/>
        </w:rPr>
        <w:t>PRESS Q AND QUIU: A DATA-GROUNDED RESEARCH TOOL FOR LGBTQ+ VIDEO GAME STUDIES</w:t>
      </w:r>
    </w:p>
    <w:p>
      <w:pPr>
        <w:spacing w:after="260"/>
        <w:ind w:firstLine="0"/>
        <w:jc w:val="center"/>
        <w:widowControl w:val="true"/>
      </w:pPr>
      <w:r>
        <w:rPr>
          <w:rFonts w:ascii="Times New Roman" w:hAnsi="Times New Roman" w:eastAsia="Times New Roman"/>
          <w:i/>
          <w:color w:val="5F6368"/>
          <w:sz w:val="22"/>
        </w:rPr>
        <w:t>Structured evidence, bounded percentages, and gap-aware conversational support</w:t>
      </w:r>
    </w:p>
    <w:p>
      <w:pPr>
        <w:spacing w:after="40"/>
        <w:ind w:firstLine="0"/>
        <w:jc w:val="center"/>
        <w:widowControl w:val="true"/>
      </w:pPr>
      <w:r>
        <w:rPr>
          <w:rFonts w:ascii="Times New Roman" w:hAnsi="Times New Roman" w:eastAsia="Times New Roman"/>
          <w:b/>
          <w:color w:val="202124"/>
          <w:sz w:val="20"/>
        </w:rPr>
        <w:t>[AUTHOR INFORMATION REMOVED FOR CONFERENCE REVIEW]</w:t>
      </w:r>
    </w:p>
    <w:p>
      <w:pPr>
        <w:spacing w:after="200"/>
        <w:ind w:firstLine="0"/>
        <w:jc w:val="center"/>
        <w:widowControl w:val="true"/>
      </w:pPr>
      <w:r>
        <w:rPr>
          <w:rFonts w:ascii="Times New Roman" w:hAnsi="Times New Roman" w:eastAsia="Times New Roman"/>
          <w:b w:val="0"/>
          <w:color w:val="5F6368"/>
          <w:sz w:val="20"/>
        </w:rPr>
        <w:t>[Affiliation | ORCID | Corresponding author e-mail]</w:t>
      </w:r>
    </w:p>
    <w:p>
      <w:pPr>
        <w:spacing w:after="140"/>
        <w:ind w:firstLine="0"/>
        <w:pBdr>
          <w:bottom w:val="single" w:sz="8" w:space="4" w:color="AEB7D2"/>
        </w:pBdr>
        <w:widowControl w:val="true"/>
      </w:pPr>
    </w:p>
    <w:p>
      <w:pPr>
        <w:pStyle w:val="ConferenceAbstract"/>
        <w:widowControl w:val="true"/>
      </w:pPr>
      <w:r>
        <w:rPr>
          <w:rFonts w:ascii="Times New Roman" w:hAnsi="Times New Roman" w:eastAsia="Times New Roman"/>
          <w:b/>
          <w:color w:val="29345F"/>
          <w:sz w:val="19"/>
        </w:rPr>
        <w:t xml:space="preserve">Abstract: </w:t>
      </w:r>
      <w:r>
        <w:rPr>
          <w:rFonts w:ascii="Times New Roman" w:hAnsi="Times New Roman" w:eastAsia="Times New Roman"/>
          <w:color w:val="202124"/>
          <w:sz w:val="19"/>
        </w:rPr>
        <w:t>This paper presents Press Q and its conversational assistant, Quiu, as a research-support prototype for studying LGBTQ+ representation in video games. The system transforms curated evidence into three explicit units of analysis—characters, game systems, and queer readings—and uses the resulting corpus to support filters, counts, percentages, visual analysis, and natural-language questions. A design-oriented case study audited the source code and a dataset snapshot containing 94 records: 60 characters, 22 game-system records, and 12 queer-reading records (PRESS Q CODE, 2026; PRESS Q DATASET, 2026). Within the current character corpus, 41 of 60 records (68.3%) are marked confirmed, 17 (28.3%) ambiguous, and two (3.3%) not confirmed; these are corpus statistics, not estimates of prevalence across the game industry (PRESS Q DATASET, 2026; LGBTQ VIDEO GAME ARCHIVE, 2025a). Quiu currently receives the structured records as controlled prompt context rather than being trained or fine-tuned on the database (PRESS Q CODE, 2026). This grounding strategy can reduce unsupported generation, but it cannot guarantee factual answers or correct arithmetic without systematic evaluation (LEWIS et al., 2020; SHUSTER et al., 2021; NIST, 2024). The paper therefore proposes a target architecture in which deterministic aggregation computes numerators and denominators before Quiu explains the result. Press Q can partially address gaps in the LGBTQ Video Game Archive by making units, provenance, versions, missingness, and research status more computable; however, the incomplete and purposive dataset prevents population-level claims and does not replace the Archive’s historical and curatorial work (LGBTQ VIDEO GAME ARCHIVE, 2025a; PRESS Q DATASET, 2026).</w:t>
      </w:r>
    </w:p>
    <w:p>
      <w:pPr>
        <w:pStyle w:val="ConferenceAbstract"/>
        <w:widowControl w:val="true"/>
      </w:pPr>
      <w:r>
        <w:rPr>
          <w:rFonts w:ascii="Times New Roman" w:hAnsi="Times New Roman" w:eastAsia="Times New Roman"/>
          <w:b/>
          <w:color w:val="29345F"/>
          <w:sz w:val="19"/>
        </w:rPr>
        <w:t xml:space="preserve">Keywords: </w:t>
      </w:r>
      <w:r>
        <w:rPr>
          <w:rFonts w:ascii="Times New Roman" w:hAnsi="Times New Roman" w:eastAsia="Times New Roman"/>
          <w:color w:val="202124"/>
          <w:sz w:val="19"/>
        </w:rPr>
        <w:t>LGBTQ+ video game representation; research infrastructure; grounded language models; digital humanities; queer archives; data provenance</w:t>
      </w:r>
    </w:p>
    <w:p>
      <w:pPr>
        <w:pStyle w:val="Heading1"/>
        <w:widowControl w:val="true"/>
      </w:pPr>
      <w:r>
        <w:t>1 Introduction</w:t>
      </w:r>
    </w:p>
    <w:p>
      <w:pPr>
        <w:keepNext w:val="0"/>
        <w:ind w:firstLine="397"/>
        <w:widowControl w:val="true"/>
      </w:pPr>
      <w:r>
        <w:rPr>
          <w:rFonts w:ascii="Times New Roman" w:hAnsi="Times New Roman" w:eastAsia="Times New Roman"/>
          <w:color w:val="202124"/>
          <w:sz w:val="20"/>
        </w:rPr>
        <w:t>The LGBTQ Video Game Archive has made decades of LGBTQ+ game content discoverable by synthesizing game texts, creator statements, journalism, walkthroughs, forums, wikis, videos, criticism, and fan interpretation. The project describes itself as a curated collection of information rather than a traditional repository of primary sources, and it explicitly positions the website as a starting point for further research (LGBTQ VIDEO GAME ARCHIVE, 2025a).</w:t>
      </w:r>
    </w:p>
    <w:p>
      <w:pPr>
        <w:keepNext w:val="0"/>
        <w:ind w:firstLine="397"/>
        <w:widowControl w:val="true"/>
      </w:pPr>
      <w:r>
        <w:rPr>
          <w:rFonts w:ascii="Times New Roman" w:hAnsi="Times New Roman" w:eastAsia="Times New Roman"/>
          <w:color w:val="202124"/>
          <w:sz w:val="20"/>
        </w:rPr>
        <w:t>Discovery and computation are different research tasks. The Archive organizes posts through overlapping WordPress categories, and some posts contain multiple examples or appear in multiple category lists. This structure supports thematic browsing but does not provide a uniform analytical unit for every visible count (LGBTQ VIDEO GAME ARCHIVE, 2025a, 2025b). The Archive also states that its master list exceeds 1,200 games while completed research covers about 400, and that no reliable denominator exists for the total number of games published by year; consequently, it cannot answer what percentage of all games contains LGBTQ+ content (LGBTQ VIDEO GAME ARCHIVE, 2025a).</w:t>
      </w:r>
    </w:p>
    <w:p>
      <w:pPr>
        <w:keepNext w:val="0"/>
        <w:ind w:firstLine="397"/>
        <w:widowControl w:val="true"/>
      </w:pPr>
      <w:r>
        <w:rPr>
          <w:rFonts w:ascii="Times New Roman" w:hAnsi="Times New Roman" w:eastAsia="Times New Roman"/>
          <w:color w:val="202124"/>
          <w:sz w:val="20"/>
        </w:rPr>
        <w:t>Press Q was developed to support a different but complementary task: converting curated evidence and current entries into a structured, inspectable corpus from which researchers can generate filters, tables, visualizations, counts, and bounded percentages. Quiu adds a natural-language interface that receives the corpus as controlled context and is instructed to preserve missingness, provenance, counterevidence, and distinctions among characters, game systems, and queer readings (PRESS Q CODE, 2026; PRESS Q DATASET, 2026).</w:t>
      </w:r>
    </w:p>
    <w:p>
      <w:pPr>
        <w:keepNext w:val="0"/>
        <w:ind w:firstLine="397"/>
        <w:widowControl w:val="true"/>
      </w:pPr>
      <w:r>
        <w:rPr>
          <w:rFonts w:ascii="Times New Roman" w:hAnsi="Times New Roman" w:eastAsia="Times New Roman"/>
          <w:color w:val="202124"/>
          <w:sz w:val="20"/>
        </w:rPr>
        <w:t>This paper makes three contributions. First, it specifies the Press Q data model and the role of Quiu as a corpus-grounded research interface. Second, it evaluates which percentage questions are answerable from the current snapshot and which must be rejected or qualified. Third, it maps the gaps that Press Q may partially address without presenting the prototype as a replacement for the LGBTQ Video Game Archive (PRESS Q CODE, 2026; PRESS Q DATASET, 2026; LGBTQ VIDEO GAME ARCHIVE, 2025a).</w:t>
      </w:r>
    </w:p>
    <w:p>
      <w:pPr>
        <w:pStyle w:val="Heading2"/>
        <w:widowControl w:val="true"/>
      </w:pPr>
      <w:r>
        <w:t>1.1 Research questions</w:t>
      </w:r>
    </w:p>
    <w:p>
      <w:pPr>
        <w:spacing w:after="80"/>
        <w:ind w:firstLine="0" w:left="312"/>
        <w:widowControl w:val="true"/>
      </w:pPr>
      <w:r>
        <w:rPr>
          <w:rFonts w:ascii="Times New Roman" w:hAnsi="Times New Roman" w:eastAsia="Times New Roman"/>
          <w:b/>
          <w:color w:val="202124"/>
          <w:sz w:val="20"/>
        </w:rPr>
        <w:t>RQ1. Can the current Press Q corpus generate reproducible counts and percentages about LGBTQ+ characters, game systems, and queer readings?</w:t>
      </w:r>
    </w:p>
    <w:p>
      <w:pPr>
        <w:spacing w:after="80"/>
        <w:ind w:firstLine="0" w:left="312"/>
        <w:widowControl w:val="true"/>
      </w:pPr>
      <w:r>
        <w:rPr>
          <w:rFonts w:ascii="Times New Roman" w:hAnsi="Times New Roman" w:eastAsia="Times New Roman"/>
          <w:b/>
          <w:color w:val="202124"/>
          <w:sz w:val="20"/>
        </w:rPr>
        <w:t>RQ2. How does Quiu use the database to support research while reducing the risk of fabricated or ungrounded claims?</w:t>
      </w:r>
    </w:p>
    <w:p>
      <w:pPr>
        <w:spacing w:after="80"/>
        <w:ind w:firstLine="0" w:left="312"/>
        <w:widowControl w:val="true"/>
      </w:pPr>
      <w:r>
        <w:rPr>
          <w:rFonts w:ascii="Times New Roman" w:hAnsi="Times New Roman" w:eastAsia="Times New Roman"/>
          <w:b/>
          <w:color w:val="202124"/>
          <w:sz w:val="20"/>
        </w:rPr>
        <w:t>RQ3. Which gaps in the LGBTQ Video Game Archive can Press Q partially address, and which gaps remain because the dataset is incomplete?</w:t>
      </w:r>
    </w:p>
    <w:p>
      <w:pPr>
        <w:pStyle w:val="Heading1"/>
        <w:widowControl w:val="true"/>
      </w:pPr>
      <w:r>
        <w:t>2 Background and Related Work</w:t>
      </w:r>
    </w:p>
    <w:p>
      <w:pPr>
        <w:pStyle w:val="Heading2"/>
        <w:widowControl w:val="true"/>
      </w:pPr>
      <w:r>
        <w:t>2.1 Queer game archives and units of evidence</w:t>
      </w:r>
    </w:p>
    <w:p>
      <w:pPr>
        <w:keepNext w:val="0"/>
        <w:ind w:firstLine="397"/>
        <w:widowControl w:val="true"/>
      </w:pPr>
      <w:r>
        <w:rPr>
          <w:rFonts w:ascii="Times New Roman" w:hAnsi="Times New Roman" w:eastAsia="Times New Roman"/>
          <w:color w:val="202124"/>
          <w:sz w:val="20"/>
        </w:rPr>
        <w:t>Queer game scholarship treats representation as more than a list of explicitly identified characters. Identity, play, mechanics, authorship, reception, and interpretation may produce different kinds of evidence, and queer readings can be historically significant even when they do not establish canonical identity (SHAW, 2014; RUBERG; SHAW, 2017; RUBERG, 2019; SHAW; PERSAUD, 2020). The Archive operationalizes this breadth by recording explicit and implicit coding, player-created modifications, ambient content, homophobia and transphobia, and queerly read or rumored material (LGBTQ VIDEO GAME ARCHIVE, 2025a, 2025b).</w:t>
      </w:r>
    </w:p>
    <w:p>
      <w:pPr>
        <w:keepNext w:val="0"/>
        <w:ind w:firstLine="397"/>
        <w:widowControl w:val="true"/>
      </w:pPr>
      <w:r>
        <w:rPr>
          <w:rFonts w:ascii="Times New Roman" w:hAnsi="Times New Roman" w:eastAsia="Times New Roman"/>
          <w:color w:val="202124"/>
          <w:sz w:val="20"/>
        </w:rPr>
        <w:t>The breadth is analytically valuable but makes counting sensitive to the chosen unit. A romance system describes a possibility authorized by game rules; it does not prove a fixed identity for every compatible character. A queer reading documents reception and interpretation; it does not become canonical merely because it is recorded. Research derived from the Archive demonstrates that quantitative trends and reception histories can be studied together when those distinctions remain explicit (SHAW et al., 2019; SHAW; PERSAUD, 2020).</w:t>
      </w:r>
    </w:p>
    <w:p>
      <w:pPr>
        <w:pStyle w:val="Heading2"/>
        <w:widowControl w:val="true"/>
      </w:pPr>
      <w:r>
        <w:t>2.2 Situated data, provenance, and intersectionality</w:t>
      </w:r>
    </w:p>
    <w:p>
      <w:pPr>
        <w:keepNext w:val="0"/>
        <w:ind w:firstLine="397"/>
        <w:widowControl w:val="true"/>
      </w:pPr>
      <w:r>
        <w:rPr>
          <w:rFonts w:ascii="Times New Roman" w:hAnsi="Times New Roman" w:eastAsia="Times New Roman"/>
          <w:color w:val="202124"/>
          <w:sz w:val="20"/>
        </w:rPr>
        <w:t>Humanities data are constructed through selection, classification, and interpretation rather than discovered as neutral facts. Visualizations and percentages can therefore conceal curatorial boundaries unless they display denominators, missingness, and uncertainty (DRUCKER, 2011; D'IGNAZIO; KLEIN, 2020). The FAIR principles similarly emphasize metadata, provenance, and reuse conditions as requirements for findable and reusable scientific objects (WILKINSON et al., 2016).</w:t>
      </w:r>
    </w:p>
    <w:p>
      <w:pPr>
        <w:keepNext w:val="0"/>
        <w:ind w:firstLine="397"/>
        <w:widowControl w:val="true"/>
      </w:pPr>
      <w:r>
        <w:rPr>
          <w:rFonts w:ascii="Times New Roman" w:hAnsi="Times New Roman" w:eastAsia="Times New Roman"/>
          <w:color w:val="202124"/>
          <w:sz w:val="20"/>
        </w:rPr>
        <w:t>Intersectional analysis requires evidence for multiple axes without treating them as isolated or inferable from appearance. Crenshaw’s account of intersectionality shows how single-axis categories can erase experiences produced through overlapping structures of power (CRENSHAW, 1989). The Archive publicly codes gender and sexuality on the site while acknowledging that race, class, ability, role, and cross-cultural interpretation require further work; its underlying spreadsheet can be requested for research that needs additional dimensions (LGBTQ VIDEO GAME ARCHIVE, 2025a).</w:t>
      </w:r>
    </w:p>
    <w:p>
      <w:pPr>
        <w:pStyle w:val="Heading2"/>
        <w:widowControl w:val="true"/>
      </w:pPr>
      <w:r>
        <w:t>2.3 Grounding is not model training</w:t>
      </w:r>
    </w:p>
    <w:p>
      <w:pPr>
        <w:keepNext w:val="0"/>
        <w:ind w:firstLine="397"/>
        <w:widowControl w:val="true"/>
      </w:pPr>
      <w:r>
        <w:rPr>
          <w:rFonts w:ascii="Times New Roman" w:hAnsi="Times New Roman" w:eastAsia="Times New Roman"/>
          <w:color w:val="202124"/>
          <w:sz w:val="20"/>
        </w:rPr>
        <w:t>Retrieval-augmented generation combines language generation with external non-parametric memory and can produce more factual outputs than parametric-only baselines on some knowledge-intensive tasks (LEWIS et al., 2020). Retrieval-in-the-loop dialogue systems have also reduced knowledge hallucination under human evaluation, but the reported improvement is not a universal guarantee for other models, corpora, prompts, or domains (SHUSTER et al., 2021).</w:t>
      </w:r>
    </w:p>
    <w:p>
      <w:pPr>
        <w:keepNext w:val="0"/>
        <w:ind w:firstLine="397"/>
        <w:widowControl w:val="true"/>
      </w:pPr>
      <w:r>
        <w:rPr>
          <w:rFonts w:ascii="Times New Roman" w:hAnsi="Times New Roman" w:eastAsia="Times New Roman"/>
          <w:color w:val="202124"/>
          <w:sz w:val="20"/>
        </w:rPr>
        <w:t>Quiu’s current implementation is related to grounded generation but is not a retrieval-augmented system in the strict technical sense: the application serializes all three CSV datasets into the system context for each request, rather than retrieving selected records through an index or fine-tuning model parameters (PRESS Q CODE, 2026). NIST defines generative-AI confabulation as confidently presented erroneous content and recommends ongoing measurement and risk management because contextual prompting does not remove this system-level risk (NIST, 2024).</w:t>
      </w:r>
    </w:p>
    <w:p>
      <w:pPr>
        <w:pStyle w:val="Heading1"/>
        <w:widowControl w:val="true"/>
      </w:pPr>
      <w:r>
        <w:t>3 Press Q and Quiu</w:t>
      </w:r>
    </w:p>
    <w:p>
      <w:pPr>
        <w:pStyle w:val="Heading2"/>
        <w:widowControl w:val="true"/>
      </w:pPr>
      <w:r>
        <w:t>3.1 Data model</w:t>
      </w:r>
    </w:p>
    <w:p>
      <w:pPr>
        <w:keepNext w:val="0"/>
        <w:ind w:firstLine="397"/>
        <w:widowControl w:val="true"/>
      </w:pPr>
      <w:r>
        <w:rPr>
          <w:rFonts w:ascii="Times New Roman" w:hAnsi="Times New Roman" w:eastAsia="Times New Roman"/>
          <w:color w:val="202124"/>
          <w:sz w:val="20"/>
        </w:rPr>
        <w:t>Press Q separates three units of analysis. Character records describe an identifiable character and evidence about identity or coding. Game-system records describe player-facing possibilities such as gender customization, same-gender marriage, gender-independent romance, or queer family creation. Queer-reading records describe documented interpretation, dispute, reception, and counterevidence. The snapshot contains 28 fields for characters and 17 fields for each of the other two units (PRESS Q DATASET, 2026).</w:t>
      </w:r>
    </w:p>
    <w:p>
      <w:pPr>
        <w:keepNext w:val="0"/>
        <w:ind w:firstLine="397"/>
        <w:widowControl w:val="true"/>
      </w:pPr>
      <w:r>
        <w:rPr>
          <w:rFonts w:ascii="Times New Roman" w:hAnsi="Times New Roman" w:eastAsia="Times New Roman"/>
          <w:color w:val="202124"/>
          <w:sz w:val="20"/>
        </w:rPr>
        <w:t>Across the three files, the schema records source, source language, discovery path, research status, evidence confidence, platform or version, last review date, notes, and unit-specific qualifications. These fields operationalize provenance and revision as data while preserving the difference between confirmed identity, player-contingent possibility, and audience interpretation (PRESS Q DATASET, 2026; WILKINSON et al., 2016).</w:t>
      </w:r>
    </w:p>
    <w:p>
      <w:pPr>
        <w:pStyle w:val="Heading2"/>
        <w:widowControl w:val="true"/>
      </w:pPr>
      <w:r>
        <w:t>3.2 Entry and curation workflow</w:t>
      </w:r>
    </w:p>
    <w:p>
      <w:pPr>
        <w:keepNext w:val="0"/>
        <w:ind w:firstLine="397"/>
        <w:widowControl w:val="true"/>
      </w:pPr>
      <w:r>
        <w:rPr>
          <w:rFonts w:ascii="Times New Roman" w:hAnsi="Times New Roman" w:eastAsia="Times New Roman"/>
          <w:color w:val="202124"/>
          <w:sz w:val="20"/>
        </w:rPr>
        <w:t>The current prototype combines seeded records derived from archival and supplementary research with entries curated through Press Q’s administrative interface. The administrator can create, edit, delete, and export character and game-system rows, and those operations currently write to local CSV files (PRESS Q CODE, 2026). The public contribution interface produces a reviewable text draft that a contributor can copy or download; it does not directly insert an unreviewed submission into the research dataset (PRESS Q CODE, 2026).</w:t>
      </w:r>
    </w:p>
    <w:p>
      <w:pPr>
        <w:keepNext w:val="0"/>
        <w:ind w:firstLine="397"/>
        <w:widowControl w:val="true"/>
      </w:pPr>
      <w:r>
        <w:rPr>
          <w:rFonts w:ascii="Times New Roman" w:hAnsi="Times New Roman" w:eastAsia="Times New Roman"/>
          <w:color w:val="202124"/>
          <w:sz w:val="20"/>
        </w:rPr>
        <w:t>This workflow protects the corpus from automatic public writes but is not yet a production database. The administration interface itself warns that serverless hosting may not provide persistent disk storage and identifies a database connection as the next production step (PRESS Q CODE, 2026). Therefore, the term database in this paper refers to the structured research corpus and its planned persistence layer, while the audited implementation remains CSV-backed (PRESS Q CODE, 2026).</w:t>
      </w:r>
    </w:p>
    <w:p>
      <w:pPr>
        <w:pStyle w:val="Heading2"/>
        <w:widowControl w:val="true"/>
      </w:pPr>
      <w:r>
        <w:t>3.3 Research-support architecture</w:t>
      </w:r>
    </w:p>
    <w:p>
      <w:pPr>
        <w:pStyle w:val="ConferenceCaption"/>
        <w:jc w:val="center"/>
        <w:widowControl w:val="true"/>
      </w:pPr>
      <w:r>
        <w:t>Figure 1 - Proposed research-support architecture for Press Q and Quiu</w:t>
      </w:r>
    </w:p>
    <w:p>
      <w:pPr>
        <w:spacing w:after="40"/>
        <w:ind w:firstLine="0"/>
        <w:jc w:val="center"/>
        <w:widowControl w:val="true"/>
      </w:pPr>
      <w:r>
        <w:drawing>
          <wp:inline xmlns:a="http://schemas.openxmlformats.org/drawingml/2006/main" xmlns:pic="http://schemas.openxmlformats.org/drawingml/2006/picture">
            <wp:extent cx="5989320" cy="2963137"/>
            <wp:docPr id="1" name="Picture 1" title="Press Q and Quiu architecture" descr="Flow diagram from archival and current sources to a structured corpus, deterministic analytics, Quiu, and the researcher. A note states that the corpus grounds inference rather than fine-tuning the model."/>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989320" cy="2963137"/>
                    </a:xfrm>
                    <a:prstGeom prst="rect"/>
                  </pic:spPr>
                </pic:pic>
              </a:graphicData>
            </a:graphic>
          </wp:inline>
        </w:drawing>
      </w:r>
    </w:p>
    <w:p>
      <w:pPr>
        <w:pStyle w:val="ConferenceSource"/>
        <w:widowControl w:val="true"/>
      </w:pPr>
      <w:r>
        <w:t>Source: authors’ design based on the Press Q code and dataset snapshots (PRESS Q CODE, 2026; PRESS Q DATASET, 2026).</w:t>
      </w:r>
    </w:p>
    <w:p>
      <w:pPr>
        <w:keepNext w:val="0"/>
        <w:ind w:firstLine="397"/>
        <w:widowControl w:val="true"/>
      </w:pPr>
      <w:r>
        <w:rPr>
          <w:rFonts w:ascii="Times New Roman" w:hAnsi="Times New Roman" w:eastAsia="Times New Roman"/>
          <w:color w:val="202124"/>
          <w:sz w:val="20"/>
        </w:rPr>
        <w:t>Figure 1 distinguishes the current grounding mechanism from the recommended publication-grade pipeline. The current chat route provides all records to the model and asks it to count or summarize them. The target pipeline adds a deterministic analytics service that applies filters, validates field values, returns the numerator and denominator, and then asks Quiu to explain the verified result with qualifications and source references (PRESS Q CODE, 2026; NIST, 2024).</w:t>
      </w:r>
    </w:p>
    <w:p>
      <w:pPr>
        <w:pStyle w:val="Heading2"/>
        <w:widowControl w:val="true"/>
      </w:pPr>
      <w:r>
        <w:t>3.4 Quiu’s current safeguards</w:t>
      </w:r>
    </w:p>
    <w:p>
      <w:pPr>
        <w:keepNext w:val="0"/>
        <w:ind w:firstLine="397"/>
        <w:widowControl w:val="true"/>
      </w:pPr>
      <w:r>
        <w:rPr>
          <w:rFonts w:ascii="Times New Roman" w:hAnsi="Times New Roman" w:eastAsia="Times New Roman"/>
          <w:color w:val="202124"/>
          <w:sz w:val="20"/>
        </w:rPr>
        <w:t>The system prompt instructs Quiu to use only the supplied Press Q contexts, answer in the language of the latest question, keep the three units separate, preserve contested or creator-refuted readings, avoid inferring identity from game systems, state the denominator and inclusion boundary, distinguish unknown from not recorded and none documented, and refuse industry-wide prevalence claims (PRESS Q CODE, 2026). The model is configured with a temperature of 0.35 in the inspected snapshot, but temperature and prompting alone do not constitute a factuality evaluation (PRESS Q CODE, 2026; NIST, 2024).</w:t>
      </w:r>
    </w:p>
    <w:p>
      <w:pPr>
        <w:pStyle w:val="Heading1"/>
        <w:widowControl w:val="true"/>
      </w:pPr>
      <w:r>
        <w:t>4 Method</w:t>
      </w:r>
    </w:p>
    <w:p>
      <w:pPr>
        <w:pStyle w:val="Heading2"/>
        <w:widowControl w:val="true"/>
      </w:pPr>
      <w:r>
        <w:t>4.1 Design-oriented case study</w:t>
      </w:r>
    </w:p>
    <w:p>
      <w:pPr>
        <w:keepNext w:val="0"/>
        <w:ind w:firstLine="397"/>
        <w:widowControl w:val="true"/>
      </w:pPr>
      <w:r>
        <w:rPr>
          <w:rFonts w:ascii="Times New Roman" w:hAnsi="Times New Roman" w:eastAsia="Times New Roman"/>
          <w:color w:val="202124"/>
          <w:sz w:val="20"/>
        </w:rPr>
        <w:t>The study used an exploratory, design-oriented case study of the Press Q repository captured on 22 August 2026. Materials included the Next.js interface, the Quiu API route, the contribution and administration components, the project methodology, and three CSV files: pressq_seed_dataset.csv, game_queer_systems.csv, and queer_readings.csv (PRESS Q CODE, 2026; PRESS Q DATASET, 2026).</w:t>
      </w:r>
    </w:p>
    <w:p>
      <w:pPr>
        <w:keepNext w:val="0"/>
        <w:ind w:firstLine="397"/>
        <w:widowControl w:val="true"/>
      </w:pPr>
      <w:r>
        <w:rPr>
          <w:rFonts w:ascii="Times New Roman" w:hAnsi="Times New Roman" w:eastAsia="Times New Roman"/>
          <w:color w:val="202124"/>
          <w:sz w:val="20"/>
        </w:rPr>
        <w:t>The LGBTQ Video Game Archive was examined as a source and comparison infrastructure through its public methodology, limitation statement, category descriptions, and related publications. The study did not audit all Archive entries or evaluate the Archive team’s internal spreadsheet (LGBTQ VIDEO GAME ARCHIVE, 2025a, 2025b; SHAW et al., 2019; SHAW; PERSAUD, 2020).</w:t>
      </w:r>
    </w:p>
    <w:p>
      <w:pPr>
        <w:pStyle w:val="Heading2"/>
        <w:widowControl w:val="true"/>
      </w:pPr>
      <w:r>
        <w:t>4.2 Corpus audit and answerability tests</w:t>
      </w:r>
    </w:p>
    <w:p>
      <w:pPr>
        <w:keepNext w:val="0"/>
        <w:ind w:firstLine="397"/>
        <w:widowControl w:val="true"/>
      </w:pPr>
      <w:r>
        <w:rPr>
          <w:rFonts w:ascii="Times New Roman" w:hAnsi="Times New Roman" w:eastAsia="Times New Roman"/>
          <w:color w:val="202124"/>
          <w:sz w:val="20"/>
        </w:rPr>
        <w:t>Frequencies were computed within each analytical unit. A percentage was considered answerable only when the snapshot supplied a defined numerator, a defined denominator, and sufficiently consistent field values. Every reported percentage uses the formula n/N × 100 and refers only to the audited Press Q snapshot (PRESS Q DATASET, 2026).</w:t>
      </w:r>
    </w:p>
    <w:p>
      <w:pPr>
        <w:keepNext w:val="0"/>
        <w:ind w:firstLine="397"/>
        <w:widowControl w:val="true"/>
      </w:pPr>
      <w:r>
        <w:rPr>
          <w:rFonts w:ascii="Times New Roman" w:hAnsi="Times New Roman" w:eastAsia="Times New Roman"/>
          <w:color w:val="202124"/>
          <w:sz w:val="20"/>
        </w:rPr>
        <w:t>Five benchmark questions tested confirmed status, playable status, gender-independent romance, industry-wide prevalence, and intersectionality coverage. The first three have local corpus denominators; industry prevalence lacks a population denominator, and intersectionality coverage is undermined by inconsistent indicator values (PRESS Q DATASET, 2026; LGBTQ VIDEO GAME ARCHIVE, 2025a).</w:t>
      </w:r>
    </w:p>
    <w:p>
      <w:pPr>
        <w:pStyle w:val="Heading2"/>
        <w:widowControl w:val="true"/>
      </w:pPr>
      <w:r>
        <w:t>4.3 Scope of the AI assessment</w:t>
      </w:r>
    </w:p>
    <w:p>
      <w:pPr>
        <w:keepNext w:val="0"/>
        <w:ind w:firstLine="397"/>
        <w:widowControl w:val="true"/>
      </w:pPr>
      <w:r>
        <w:rPr>
          <w:rFonts w:ascii="Times New Roman" w:hAnsi="Times New Roman" w:eastAsia="Times New Roman"/>
          <w:color w:val="202124"/>
          <w:sz w:val="20"/>
        </w:rPr>
        <w:t>Quiu was assessed through architecture and prompt inspection; no model calls estimated hallucination, arithmetic accuracy, multilingual robustness, citation fidelity, or adversarial resistance. The study therefore evaluates whether the design constrains available information, not whether the assistant has achieved a measured factuality threshold (PRESS Q CODE, 2026; NIST, 2024).</w:t>
      </w:r>
    </w:p>
    <w:p>
      <w:pPr>
        <w:pStyle w:val="Heading1"/>
        <w:widowControl w:val="true"/>
      </w:pPr>
      <w:r>
        <w:t>5 Results</w:t>
      </w:r>
    </w:p>
    <w:p>
      <w:pPr>
        <w:pStyle w:val="Heading2"/>
        <w:widowControl w:val="true"/>
      </w:pPr>
      <w:r>
        <w:t>5.1 Corpus composition</w:t>
      </w:r>
    </w:p>
    <w:p>
      <w:pPr>
        <w:keepNext w:val="0"/>
        <w:ind w:firstLine="397"/>
        <w:widowControl w:val="true"/>
      </w:pPr>
      <w:r>
        <w:rPr>
          <w:rFonts w:ascii="Times New Roman" w:hAnsi="Times New Roman" w:eastAsia="Times New Roman"/>
          <w:color w:val="202124"/>
          <w:sz w:val="20"/>
        </w:rPr>
        <w:t>The snapshot contains 94 records across 38 distinct game or series labels. Because one title may appear in more than one analytical unit, the 38 labels are a union across files rather than the sum of per-file title counts (PRESS Q DATASET, 2026).</w:t>
      </w:r>
    </w:p>
    <w:p>
      <w:pPr>
        <w:pStyle w:val="ConferenceCaption"/>
        <w:widowControl w:val="true"/>
      </w:pPr>
      <w:r>
        <w:t>Table 1 - Composition of the Press Q snapshot</w:t>
      </w:r>
    </w:p>
    <w:tbl>
      <w:tblPr>
        <w:tblW w:type="dxa" w:w="9072"/>
        <w:tblLayout w:type="fixed"/>
        <w:tblLook w:firstColumn="1" w:firstRow="1" w:lastColumn="0" w:lastRow="0" w:noHBand="0" w:noVBand="1" w:val="04A0"/>
        <w:tblInd w:w="120" w:type="dxa"/>
        <w:tblBorders>
          <w:top w:val="single" w:sz="5" w:space="0" w:color="B9C0D5"/>
          <w:left w:val="single" w:sz="5" w:space="0" w:color="B9C0D5"/>
          <w:bottom w:val="single" w:sz="5" w:space="0" w:color="B9C0D5"/>
          <w:right w:val="single" w:sz="5" w:space="0" w:color="B9C0D5"/>
          <w:insideH w:val="single" w:sz="5" w:space="0" w:color="B9C0D5"/>
          <w:insideV w:val="single" w:sz="5" w:space="0" w:color="B9C0D5"/>
        </w:tblBorders>
      </w:tblPr>
      <w:tblGrid>
        <w:gridCol w:w="1900"/>
        <w:gridCol w:w="1100"/>
        <w:gridCol w:w="1250"/>
        <w:gridCol w:w="1250"/>
        <w:gridCol w:w="3572"/>
      </w:tblGrid>
      <w:tr>
        <w:trPr>
          <w:tblHeader w:val="true"/>
          <w:cantSplit w:val="true"/>
        </w:trPr>
        <w:tc>
          <w:tcPr>
            <w:tcW w:type="dxa" w:w="1900"/>
            <w:shd w:fill="29345F"/>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b/>
                <w:color w:val="FFFFFF"/>
                <w:sz w:val="17"/>
              </w:rPr>
            </w:r>
            <w:r>
              <w:rPr>
                <w:rFonts w:ascii="Times New Roman" w:hAnsi="Times New Roman" w:eastAsia="Times New Roman"/>
                <w:b/>
                <w:color w:val="FFFFFF"/>
                <w:sz w:val="18"/>
              </w:rPr>
              <w:t>Unit</w:t>
            </w:r>
          </w:p>
        </w:tc>
        <w:tc>
          <w:tcPr>
            <w:tcW w:type="dxa" w:w="1100"/>
            <w:shd w:fill="29345F"/>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b/>
                <w:color w:val="FFFFFF"/>
                <w:sz w:val="17"/>
              </w:rPr>
            </w:r>
            <w:r>
              <w:rPr>
                <w:rFonts w:ascii="Times New Roman" w:hAnsi="Times New Roman" w:eastAsia="Times New Roman"/>
                <w:b/>
                <w:color w:val="FFFFFF"/>
                <w:sz w:val="18"/>
              </w:rPr>
              <w:t>Records</w:t>
            </w:r>
          </w:p>
        </w:tc>
        <w:tc>
          <w:tcPr>
            <w:tcW w:type="dxa" w:w="1250"/>
            <w:shd w:fill="29345F"/>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b/>
                <w:color w:val="FFFFFF"/>
                <w:sz w:val="17"/>
              </w:rPr>
            </w:r>
            <w:r>
              <w:rPr>
                <w:rFonts w:ascii="Times New Roman" w:hAnsi="Times New Roman" w:eastAsia="Times New Roman"/>
                <w:b/>
                <w:color w:val="FFFFFF"/>
                <w:sz w:val="18"/>
              </w:rPr>
              <w:t>Title labels</w:t>
            </w:r>
          </w:p>
        </w:tc>
        <w:tc>
          <w:tcPr>
            <w:tcW w:type="dxa" w:w="1250"/>
            <w:shd w:fill="29345F"/>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b/>
                <w:color w:val="FFFFFF"/>
                <w:sz w:val="17"/>
              </w:rPr>
            </w:r>
            <w:r>
              <w:rPr>
                <w:rFonts w:ascii="Times New Roman" w:hAnsi="Times New Roman" w:eastAsia="Times New Roman"/>
                <w:b/>
                <w:color w:val="FFFFFF"/>
                <w:sz w:val="18"/>
              </w:rPr>
              <w:t>Period</w:t>
            </w:r>
          </w:p>
        </w:tc>
        <w:tc>
          <w:tcPr>
            <w:tcW w:type="dxa" w:w="3572"/>
            <w:shd w:fill="29345F"/>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b/>
                <w:color w:val="FFFFFF"/>
                <w:sz w:val="17"/>
              </w:rPr>
            </w:r>
            <w:r>
              <w:rPr>
                <w:rFonts w:ascii="Times New Roman" w:hAnsi="Times New Roman" w:eastAsia="Times New Roman"/>
                <w:b/>
                <w:color w:val="FFFFFF"/>
                <w:sz w:val="18"/>
              </w:rPr>
              <w:t>Analytical object</w:t>
            </w:r>
          </w:p>
        </w:tc>
      </w:tr>
      <w:tr>
        <w:trPr>
          <w:cantSplit w:val="true"/>
        </w:trPr>
        <w:tc>
          <w:tcPr>
            <w:tcW w:type="dxa" w:w="1900"/>
            <w:tcMar>
              <w:top w:w="80" w:type="dxa"/>
              <w:start w:w="120" w:type="dxa"/>
              <w:bottom w:w="80" w:type="dxa"/>
              <w:end w:w="120" w:type="dxa"/>
            </w:tcMar>
            <w:vAlign w:val="center"/>
          </w:tcPr>
          <w:p>
            <w:pPr>
              <w:spacing w:before="0" w:after="0" w:line="240" w:lineRule="auto"/>
              <w:ind w:firstLine="0" w:left="0" w:right="0"/>
              <w:jc w:val="left"/>
            </w:pPr>
            <w:r>
              <w:rPr>
                <w:rFonts w:ascii="Times New Roman" w:hAnsi="Times New Roman" w:eastAsia="Times New Roman"/>
                <w:color w:val="202124"/>
                <w:sz w:val="17"/>
              </w:rPr>
            </w:r>
            <w:r>
              <w:rPr>
                <w:rFonts w:ascii="Times New Roman" w:hAnsi="Times New Roman" w:eastAsia="Times New Roman"/>
                <w:b w:val="0"/>
                <w:color w:val="202124"/>
                <w:sz w:val="18"/>
              </w:rPr>
              <w:t>Characters</w:t>
            </w:r>
          </w:p>
        </w:tc>
        <w:tc>
          <w:tcPr>
            <w:tcW w:type="dxa" w:w="1100"/>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color w:val="202124"/>
                <w:sz w:val="17"/>
              </w:rPr>
            </w:r>
            <w:r>
              <w:rPr>
                <w:rFonts w:ascii="Times New Roman" w:hAnsi="Times New Roman" w:eastAsia="Times New Roman"/>
                <w:b w:val="0"/>
                <w:color w:val="202124"/>
                <w:sz w:val="18"/>
              </w:rPr>
              <w:t>60</w:t>
            </w:r>
          </w:p>
        </w:tc>
        <w:tc>
          <w:tcPr>
            <w:tcW w:type="dxa" w:w="1250"/>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color w:val="202124"/>
                <w:sz w:val="17"/>
              </w:rPr>
            </w:r>
            <w:r>
              <w:rPr>
                <w:rFonts w:ascii="Times New Roman" w:hAnsi="Times New Roman" w:eastAsia="Times New Roman"/>
                <w:b w:val="0"/>
                <w:color w:val="202124"/>
                <w:sz w:val="18"/>
              </w:rPr>
              <w:t>24</w:t>
            </w:r>
          </w:p>
        </w:tc>
        <w:tc>
          <w:tcPr>
            <w:tcW w:type="dxa" w:w="1250"/>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color w:val="202124"/>
                <w:sz w:val="17"/>
              </w:rPr>
            </w:r>
            <w:r>
              <w:rPr>
                <w:rFonts w:ascii="Times New Roman" w:hAnsi="Times New Roman" w:eastAsia="Times New Roman"/>
                <w:b w:val="0"/>
                <w:color w:val="202124"/>
                <w:sz w:val="18"/>
              </w:rPr>
              <w:t>1990–2020</w:t>
            </w:r>
          </w:p>
        </w:tc>
        <w:tc>
          <w:tcPr>
            <w:tcW w:type="dxa" w:w="3572"/>
            <w:tcMar>
              <w:top w:w="80" w:type="dxa"/>
              <w:start w:w="120" w:type="dxa"/>
              <w:bottom w:w="80" w:type="dxa"/>
              <w:end w:w="120" w:type="dxa"/>
            </w:tcMar>
            <w:vAlign w:val="center"/>
          </w:tcPr>
          <w:p>
            <w:pPr>
              <w:spacing w:before="0" w:after="0" w:line="240" w:lineRule="auto"/>
              <w:ind w:firstLine="0" w:left="0" w:right="0"/>
              <w:jc w:val="left"/>
            </w:pPr>
            <w:r>
              <w:rPr>
                <w:rFonts w:ascii="Times New Roman" w:hAnsi="Times New Roman" w:eastAsia="Times New Roman"/>
                <w:color w:val="202124"/>
                <w:sz w:val="17"/>
              </w:rPr>
            </w:r>
            <w:r>
              <w:rPr>
                <w:rFonts w:ascii="Times New Roman" w:hAnsi="Times New Roman" w:eastAsia="Times New Roman"/>
                <w:b w:val="0"/>
                <w:color w:val="202124"/>
                <w:sz w:val="18"/>
              </w:rPr>
              <w:t>Character-level identity or coding evidence</w:t>
            </w:r>
          </w:p>
        </w:tc>
      </w:tr>
      <w:tr>
        <w:trPr>
          <w:cantSplit w:val="true"/>
        </w:trPr>
        <w:tc>
          <w:tcPr>
            <w:tcW w:type="dxa" w:w="1900"/>
            <w:tcMar>
              <w:top w:w="80" w:type="dxa"/>
              <w:start w:w="120" w:type="dxa"/>
              <w:bottom w:w="80" w:type="dxa"/>
              <w:end w:w="120" w:type="dxa"/>
            </w:tcMar>
            <w:vAlign w:val="center"/>
          </w:tcPr>
          <w:p>
            <w:pPr>
              <w:spacing w:before="0" w:after="0" w:line="240" w:lineRule="auto"/>
              <w:ind w:firstLine="0" w:left="0" w:right="0"/>
              <w:jc w:val="left"/>
            </w:pPr>
            <w:r>
              <w:rPr>
                <w:rFonts w:ascii="Times New Roman" w:hAnsi="Times New Roman" w:eastAsia="Times New Roman"/>
                <w:color w:val="202124"/>
                <w:sz w:val="17"/>
              </w:rPr>
            </w:r>
            <w:r>
              <w:rPr>
                <w:rFonts w:ascii="Times New Roman" w:hAnsi="Times New Roman" w:eastAsia="Times New Roman"/>
                <w:b w:val="0"/>
                <w:color w:val="202124"/>
                <w:sz w:val="18"/>
              </w:rPr>
              <w:t>Game systems</w:t>
            </w:r>
          </w:p>
        </w:tc>
        <w:tc>
          <w:tcPr>
            <w:tcW w:type="dxa" w:w="1100"/>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color w:val="202124"/>
                <w:sz w:val="17"/>
              </w:rPr>
            </w:r>
            <w:r>
              <w:rPr>
                <w:rFonts w:ascii="Times New Roman" w:hAnsi="Times New Roman" w:eastAsia="Times New Roman"/>
                <w:b w:val="0"/>
                <w:color w:val="202124"/>
                <w:sz w:val="18"/>
              </w:rPr>
              <w:t>22</w:t>
            </w:r>
          </w:p>
        </w:tc>
        <w:tc>
          <w:tcPr>
            <w:tcW w:type="dxa" w:w="1250"/>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color w:val="202124"/>
                <w:sz w:val="17"/>
              </w:rPr>
            </w:r>
            <w:r>
              <w:rPr>
                <w:rFonts w:ascii="Times New Roman" w:hAnsi="Times New Roman" w:eastAsia="Times New Roman"/>
                <w:b w:val="0"/>
                <w:color w:val="202124"/>
                <w:sz w:val="18"/>
              </w:rPr>
              <w:t>14</w:t>
            </w:r>
          </w:p>
        </w:tc>
        <w:tc>
          <w:tcPr>
            <w:tcW w:type="dxa" w:w="1250"/>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color w:val="202124"/>
                <w:sz w:val="17"/>
              </w:rPr>
            </w:r>
            <w:r>
              <w:rPr>
                <w:rFonts w:ascii="Times New Roman" w:hAnsi="Times New Roman" w:eastAsia="Times New Roman"/>
                <w:b w:val="0"/>
                <w:color w:val="202124"/>
                <w:sz w:val="18"/>
              </w:rPr>
              <w:t>1990–2018</w:t>
            </w:r>
          </w:p>
        </w:tc>
        <w:tc>
          <w:tcPr>
            <w:tcW w:type="dxa" w:w="3572"/>
            <w:tcMar>
              <w:top w:w="80" w:type="dxa"/>
              <w:start w:w="120" w:type="dxa"/>
              <w:bottom w:w="80" w:type="dxa"/>
              <w:end w:w="120" w:type="dxa"/>
            </w:tcMar>
            <w:vAlign w:val="center"/>
          </w:tcPr>
          <w:p>
            <w:pPr>
              <w:spacing w:before="0" w:after="0" w:line="240" w:lineRule="auto"/>
              <w:ind w:firstLine="0" w:left="0" w:right="0"/>
              <w:jc w:val="left"/>
            </w:pPr>
            <w:r>
              <w:rPr>
                <w:rFonts w:ascii="Times New Roman" w:hAnsi="Times New Roman" w:eastAsia="Times New Roman"/>
                <w:color w:val="202124"/>
                <w:sz w:val="17"/>
              </w:rPr>
            </w:r>
            <w:r>
              <w:rPr>
                <w:rFonts w:ascii="Times New Roman" w:hAnsi="Times New Roman" w:eastAsia="Times New Roman"/>
                <w:b w:val="0"/>
                <w:color w:val="202124"/>
                <w:sz w:val="18"/>
              </w:rPr>
              <w:t>Player-facing possibility and dependency</w:t>
            </w:r>
          </w:p>
        </w:tc>
      </w:tr>
      <w:tr>
        <w:trPr>
          <w:cantSplit w:val="true"/>
        </w:trPr>
        <w:tc>
          <w:tcPr>
            <w:tcW w:type="dxa" w:w="1900"/>
            <w:tcMar>
              <w:top w:w="80" w:type="dxa"/>
              <w:start w:w="120" w:type="dxa"/>
              <w:bottom w:w="80" w:type="dxa"/>
              <w:end w:w="120" w:type="dxa"/>
            </w:tcMar>
            <w:vAlign w:val="center"/>
          </w:tcPr>
          <w:p>
            <w:pPr>
              <w:spacing w:before="0" w:after="0" w:line="240" w:lineRule="auto"/>
              <w:ind w:firstLine="0" w:left="0" w:right="0"/>
              <w:jc w:val="left"/>
            </w:pPr>
            <w:r>
              <w:rPr>
                <w:rFonts w:ascii="Times New Roman" w:hAnsi="Times New Roman" w:eastAsia="Times New Roman"/>
                <w:color w:val="202124"/>
                <w:sz w:val="17"/>
              </w:rPr>
            </w:r>
            <w:r>
              <w:rPr>
                <w:rFonts w:ascii="Times New Roman" w:hAnsi="Times New Roman" w:eastAsia="Times New Roman"/>
                <w:b w:val="0"/>
                <w:color w:val="202124"/>
                <w:sz w:val="18"/>
              </w:rPr>
              <w:t>Queer readings</w:t>
            </w:r>
          </w:p>
        </w:tc>
        <w:tc>
          <w:tcPr>
            <w:tcW w:type="dxa" w:w="1100"/>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color w:val="202124"/>
                <w:sz w:val="17"/>
              </w:rPr>
            </w:r>
            <w:r>
              <w:rPr>
                <w:rFonts w:ascii="Times New Roman" w:hAnsi="Times New Roman" w:eastAsia="Times New Roman"/>
                <w:b w:val="0"/>
                <w:color w:val="202124"/>
                <w:sz w:val="18"/>
              </w:rPr>
              <w:t>12</w:t>
            </w:r>
          </w:p>
        </w:tc>
        <w:tc>
          <w:tcPr>
            <w:tcW w:type="dxa" w:w="1250"/>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color w:val="202124"/>
                <w:sz w:val="17"/>
              </w:rPr>
            </w:r>
            <w:r>
              <w:rPr>
                <w:rFonts w:ascii="Times New Roman" w:hAnsi="Times New Roman" w:eastAsia="Times New Roman"/>
                <w:b w:val="0"/>
                <w:color w:val="202124"/>
                <w:sz w:val="18"/>
              </w:rPr>
              <w:t>7</w:t>
            </w:r>
          </w:p>
        </w:tc>
        <w:tc>
          <w:tcPr>
            <w:tcW w:type="dxa" w:w="1250"/>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color w:val="202124"/>
                <w:sz w:val="17"/>
              </w:rPr>
            </w:r>
            <w:r>
              <w:rPr>
                <w:rFonts w:ascii="Times New Roman" w:hAnsi="Times New Roman" w:eastAsia="Times New Roman"/>
                <w:b w:val="0"/>
                <w:color w:val="202124"/>
                <w:sz w:val="18"/>
              </w:rPr>
              <w:t>1984–2016</w:t>
            </w:r>
          </w:p>
        </w:tc>
        <w:tc>
          <w:tcPr>
            <w:tcW w:type="dxa" w:w="3572"/>
            <w:tcMar>
              <w:top w:w="80" w:type="dxa"/>
              <w:start w:w="120" w:type="dxa"/>
              <w:bottom w:w="80" w:type="dxa"/>
              <w:end w:w="120" w:type="dxa"/>
            </w:tcMar>
            <w:vAlign w:val="center"/>
          </w:tcPr>
          <w:p>
            <w:pPr>
              <w:spacing w:before="0" w:after="0" w:line="240" w:lineRule="auto"/>
              <w:ind w:firstLine="0" w:left="0" w:right="0"/>
              <w:jc w:val="left"/>
            </w:pPr>
            <w:r>
              <w:rPr>
                <w:rFonts w:ascii="Times New Roman" w:hAnsi="Times New Roman" w:eastAsia="Times New Roman"/>
                <w:color w:val="202124"/>
                <w:sz w:val="17"/>
              </w:rPr>
            </w:r>
            <w:r>
              <w:rPr>
                <w:rFonts w:ascii="Times New Roman" w:hAnsi="Times New Roman" w:eastAsia="Times New Roman"/>
                <w:b w:val="0"/>
                <w:color w:val="202124"/>
                <w:sz w:val="18"/>
              </w:rPr>
              <w:t>Interpretation, reception, and counterevidence</w:t>
            </w:r>
          </w:p>
        </w:tc>
      </w:tr>
    </w:tbl>
    <w:p>
      <w:pPr>
        <w:pStyle w:val="ConferenceSource"/>
        <w:widowControl w:val="true"/>
      </w:pPr>
      <w:r>
        <w:t>Source: Press Q dataset snapshot, 22 August 2026 (PRESS Q DATASET, 2026).</w:t>
      </w:r>
    </w:p>
    <w:p>
      <w:pPr>
        <w:pStyle w:val="Heading2"/>
        <w:widowControl w:val="true"/>
      </w:pPr>
      <w:r>
        <w:t>5.2 Which percentage questions are answerable?</w:t>
      </w:r>
    </w:p>
    <w:p>
      <w:pPr>
        <w:keepNext w:val="0"/>
        <w:ind w:firstLine="397"/>
        <w:widowControl w:val="true"/>
      </w:pPr>
      <w:r>
        <w:rPr>
          <w:rFonts w:ascii="Times New Roman" w:hAnsi="Times New Roman" w:eastAsia="Times New Roman"/>
          <w:color w:val="202124"/>
          <w:sz w:val="20"/>
        </w:rPr>
        <w:t>Among the 60 character records, 41 are marked confirmed (68.3%), 17 ambiguous (28.3%), and two not confirmed (3.3%). Twenty-nine character records are playable (48.3%), while 31 are non-playable (51.7%). Among the 22 game-system records, six describe gender-independent romance (27.3%) (PRESS Q DATASET, 2026).</w:t>
      </w:r>
    </w:p>
    <w:p>
      <w:pPr>
        <w:pStyle w:val="ConferenceCaption"/>
        <w:widowControl w:val="true"/>
      </w:pPr>
      <w:r>
        <w:t>Table 2 - Benchmark questions, denominators, and bounded answers</w:t>
      </w:r>
    </w:p>
    <w:tbl>
      <w:tblPr>
        <w:tblW w:type="dxa" w:w="9072"/>
        <w:tblLayout w:type="fixed"/>
        <w:tblLook w:firstColumn="1" w:firstRow="1" w:lastColumn="0" w:lastRow="0" w:noHBand="0" w:noVBand="1" w:val="04A0"/>
        <w:tblInd w:w="120" w:type="dxa"/>
        <w:tblBorders>
          <w:top w:val="single" w:sz="5" w:space="0" w:color="B9C0D5"/>
          <w:left w:val="single" w:sz="5" w:space="0" w:color="B9C0D5"/>
          <w:bottom w:val="single" w:sz="5" w:space="0" w:color="B9C0D5"/>
          <w:right w:val="single" w:sz="5" w:space="0" w:color="B9C0D5"/>
          <w:insideH w:val="single" w:sz="5" w:space="0" w:color="B9C0D5"/>
          <w:insideV w:val="single" w:sz="5" w:space="0" w:color="B9C0D5"/>
        </w:tblBorders>
      </w:tblPr>
      <w:tblGrid>
        <w:gridCol w:w="2700"/>
        <w:gridCol w:w="2050"/>
        <w:gridCol w:w="1422"/>
        <w:gridCol w:w="2900"/>
      </w:tblGrid>
      <w:tr>
        <w:trPr>
          <w:tblHeader w:val="true"/>
          <w:cantSplit w:val="true"/>
        </w:trPr>
        <w:tc>
          <w:tcPr>
            <w:tcW w:type="dxa" w:w="2700"/>
            <w:shd w:fill="29345F"/>
            <w:tcMar>
              <w:top w:w="80" w:type="dxa"/>
              <w:start w:w="120" w:type="dxa"/>
              <w:bottom w:w="80" w:type="dxa"/>
              <w:end w:w="120" w:type="dxa"/>
            </w:tcMar>
            <w:vAlign w:val="center"/>
          </w:tcPr>
          <w:p>
            <w:pPr>
              <w:spacing w:before="0" w:after="0" w:line="240" w:lineRule="auto"/>
              <w:ind w:firstLine="0" w:left="0" w:right="0"/>
              <w:jc w:val="center"/>
            </w:pPr>
            <w:r/>
            <w:r>
              <w:rPr>
                <w:rFonts w:ascii="Times New Roman" w:hAnsi="Times New Roman" w:eastAsia="Times New Roman"/>
                <w:b/>
                <w:color w:val="FFFFFF"/>
                <w:sz w:val="18"/>
              </w:rPr>
              <w:t>Question</w:t>
            </w:r>
          </w:p>
        </w:tc>
        <w:tc>
          <w:tcPr>
            <w:tcW w:type="dxa" w:w="2050"/>
            <w:shd w:fill="29345F"/>
            <w:tcMar>
              <w:top w:w="80" w:type="dxa"/>
              <w:start w:w="120" w:type="dxa"/>
              <w:bottom w:w="80" w:type="dxa"/>
              <w:end w:w="120" w:type="dxa"/>
            </w:tcMar>
            <w:vAlign w:val="center"/>
          </w:tcPr>
          <w:p>
            <w:pPr>
              <w:spacing w:before="0" w:after="0" w:line="240" w:lineRule="auto"/>
              <w:ind w:firstLine="0" w:left="0" w:right="0"/>
              <w:jc w:val="center"/>
            </w:pPr>
            <w:r/>
            <w:r>
              <w:rPr>
                <w:rFonts w:ascii="Times New Roman" w:hAnsi="Times New Roman" w:eastAsia="Times New Roman"/>
                <w:b/>
                <w:color w:val="FFFFFF"/>
                <w:sz w:val="18"/>
              </w:rPr>
              <w:t>Numerator / denominator</w:t>
            </w:r>
          </w:p>
        </w:tc>
        <w:tc>
          <w:tcPr>
            <w:tcW w:type="dxa" w:w="1422"/>
            <w:shd w:fill="29345F"/>
            <w:tcMar>
              <w:top w:w="80" w:type="dxa"/>
              <w:start w:w="120" w:type="dxa"/>
              <w:bottom w:w="80" w:type="dxa"/>
              <w:end w:w="120" w:type="dxa"/>
            </w:tcMar>
            <w:vAlign w:val="center"/>
          </w:tcPr>
          <w:p>
            <w:pPr>
              <w:spacing w:before="0" w:after="0" w:line="240" w:lineRule="auto"/>
              <w:ind w:firstLine="0" w:left="0" w:right="0"/>
              <w:jc w:val="center"/>
            </w:pPr>
            <w:r/>
            <w:r>
              <w:rPr>
                <w:rFonts w:ascii="Times New Roman" w:hAnsi="Times New Roman" w:eastAsia="Times New Roman"/>
                <w:b/>
                <w:color w:val="FFFFFF"/>
                <w:sz w:val="18"/>
              </w:rPr>
              <w:t>Result</w:t>
            </w:r>
          </w:p>
        </w:tc>
        <w:tc>
          <w:tcPr>
            <w:tcW w:type="dxa" w:w="2900"/>
            <w:shd w:fill="29345F"/>
            <w:tcMar>
              <w:top w:w="80" w:type="dxa"/>
              <w:start w:w="120" w:type="dxa"/>
              <w:bottom w:w="80" w:type="dxa"/>
              <w:end w:w="120" w:type="dxa"/>
            </w:tcMar>
            <w:vAlign w:val="center"/>
          </w:tcPr>
          <w:p>
            <w:pPr>
              <w:spacing w:before="0" w:after="0" w:line="240" w:lineRule="auto"/>
              <w:ind w:firstLine="0" w:left="0" w:right="0"/>
              <w:jc w:val="center"/>
            </w:pPr>
            <w:r/>
            <w:r>
              <w:rPr>
                <w:rFonts w:ascii="Times New Roman" w:hAnsi="Times New Roman" w:eastAsia="Times New Roman"/>
                <w:b/>
                <w:color w:val="FFFFFF"/>
                <w:sz w:val="18"/>
              </w:rPr>
              <w:t>Interpretation</w:t>
            </w:r>
          </w:p>
        </w:tc>
      </w:tr>
      <w:tr>
        <w:trPr>
          <w:cantSplit w:val="true"/>
        </w:trPr>
        <w:tc>
          <w:tcPr>
            <w:tcW w:type="dxa" w:w="27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Confirmed among current character records?</w:t>
            </w:r>
          </w:p>
        </w:tc>
        <w:tc>
          <w:tcPr>
            <w:tcW w:type="dxa" w:w="205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41 / 60</w:t>
            </w:r>
          </w:p>
        </w:tc>
        <w:tc>
          <w:tcPr>
            <w:tcW w:type="dxa" w:w="1422"/>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68.3%</w:t>
            </w:r>
          </w:p>
        </w:tc>
        <w:tc>
          <w:tcPr>
            <w:tcW w:type="dxa" w:w="29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Answerable for this snapshot only.</w:t>
            </w:r>
          </w:p>
        </w:tc>
      </w:tr>
      <w:tr>
        <w:trPr>
          <w:cantSplit w:val="true"/>
        </w:trPr>
        <w:tc>
          <w:tcPr>
            <w:tcW w:type="dxa" w:w="27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Playable among current character records?</w:t>
            </w:r>
          </w:p>
        </w:tc>
        <w:tc>
          <w:tcPr>
            <w:tcW w:type="dxa" w:w="205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29 / 60</w:t>
            </w:r>
          </w:p>
        </w:tc>
        <w:tc>
          <w:tcPr>
            <w:tcW w:type="dxa" w:w="1422"/>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48.3%</w:t>
            </w:r>
          </w:p>
        </w:tc>
        <w:tc>
          <w:tcPr>
            <w:tcW w:type="dxa" w:w="29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Answerable for this snapshot only.</w:t>
            </w:r>
          </w:p>
        </w:tc>
      </w:tr>
      <w:tr>
        <w:trPr>
          <w:cantSplit w:val="true"/>
        </w:trPr>
        <w:tc>
          <w:tcPr>
            <w:tcW w:type="dxa" w:w="27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Gender-independent romance among system records?</w:t>
            </w:r>
          </w:p>
        </w:tc>
        <w:tc>
          <w:tcPr>
            <w:tcW w:type="dxa" w:w="205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6 / 22</w:t>
            </w:r>
          </w:p>
        </w:tc>
        <w:tc>
          <w:tcPr>
            <w:tcW w:type="dxa" w:w="1422"/>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27.3%</w:t>
            </w:r>
          </w:p>
        </w:tc>
        <w:tc>
          <w:tcPr>
            <w:tcW w:type="dxa" w:w="29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Answerable for the system table only.</w:t>
            </w:r>
          </w:p>
        </w:tc>
      </w:tr>
      <w:tr>
        <w:trPr>
          <w:cantSplit w:val="true"/>
        </w:trPr>
        <w:tc>
          <w:tcPr>
            <w:tcW w:type="dxa" w:w="27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Queer characters among all video game characters?</w:t>
            </w:r>
          </w:p>
        </w:tc>
        <w:tc>
          <w:tcPr>
            <w:tcW w:type="dxa" w:w="205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No population denominator</w:t>
            </w:r>
          </w:p>
        </w:tc>
        <w:tc>
          <w:tcPr>
            <w:tcW w:type="dxa" w:w="1422"/>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Not answerable</w:t>
            </w:r>
          </w:p>
        </w:tc>
        <w:tc>
          <w:tcPr>
            <w:tcW w:type="dxa" w:w="29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Must not be inferred from the corpus.</w:t>
            </w:r>
          </w:p>
        </w:tc>
      </w:tr>
      <w:tr>
        <w:trPr>
          <w:cantSplit w:val="true"/>
        </w:trPr>
        <w:tc>
          <w:tcPr>
            <w:tcW w:type="dxa" w:w="27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Records with valid intersectionality coverage?</w:t>
            </w:r>
          </w:p>
        </w:tc>
        <w:tc>
          <w:tcPr>
            <w:tcW w:type="dxa" w:w="205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Indicator values inconsistent</w:t>
            </w:r>
          </w:p>
        </w:tc>
        <w:tc>
          <w:tcPr>
            <w:tcW w:type="dxa" w:w="1422"/>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Not reliable yet</w:t>
            </w:r>
          </w:p>
        </w:tc>
        <w:tc>
          <w:tcPr>
            <w:tcW w:type="dxa" w:w="29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Requires normalization and recoding.</w:t>
            </w:r>
          </w:p>
        </w:tc>
      </w:tr>
    </w:tbl>
    <w:p>
      <w:pPr>
        <w:pStyle w:val="ConferenceSource"/>
        <w:widowControl w:val="true"/>
      </w:pPr>
      <w:r>
        <w:t>Source: Press Q snapshot (PRESS Q DATASET, 2026); population-denominator limitation (LGBTQ VIDEO GAME ARCHIVE, 2025a).</w:t>
      </w:r>
    </w:p>
    <w:p>
      <w:pPr>
        <w:keepNext w:val="0"/>
        <w:ind w:firstLine="397"/>
        <w:widowControl w:val="true"/>
      </w:pPr>
      <w:r>
        <w:rPr>
          <w:rFonts w:ascii="Times New Roman" w:hAnsi="Times New Roman" w:eastAsia="Times New Roman"/>
          <w:color w:val="202124"/>
          <w:sz w:val="20"/>
        </w:rPr>
        <w:t>Table 2 answers RQ1 conditionally: structured data can generate reproducible percentages when the unit, inclusion rule, numerator, denominator, and snapshot date are explicit. The same data cannot estimate the percentage of all games or all video game characters that are queer because the corpus is purposive, incomplete, and not sampled from a known population (PRESS Q DATASET, 2026; LGBTQ VIDEO GAME ARCHIVE, 2025a).</w:t>
      </w:r>
    </w:p>
    <w:p>
      <w:pPr>
        <w:pStyle w:val="Heading2"/>
        <w:widowControl w:val="true"/>
      </w:pPr>
      <w:r>
        <w:t>5.3 Grounding and hallucination risk</w:t>
      </w:r>
    </w:p>
    <w:p>
      <w:pPr>
        <w:keepNext w:val="0"/>
        <w:ind w:firstLine="397"/>
        <w:widowControl w:val="true"/>
      </w:pPr>
      <w:r>
        <w:rPr>
          <w:rFonts w:ascii="Times New Roman" w:hAnsi="Times New Roman" w:eastAsia="Times New Roman"/>
          <w:color w:val="202124"/>
          <w:sz w:val="20"/>
        </w:rPr>
        <w:t>Quiu’s prompt-level constraints reduce the space of acceptable answers by supplying the corpus and prohibiting unsupported inference. This design is consistent with research showing that external knowledge can improve factuality, but those findings do not establish that every grounded response is correct (LEWIS et al., 2020; SHUSTER et al., 2021). In the current Press Q implementation, the language model still performs interpretation and may perform counting inside the generation step; therefore, it can miscount rows, omit a qualification, or produce a plausible statement that is not supported by the data (PRESS Q CODE, 2026; NIST, 2024).</w:t>
      </w:r>
    </w:p>
    <w:p>
      <w:pPr>
        <w:pStyle w:val="ConferenceCaption"/>
        <w:widowControl w:val="true"/>
      </w:pPr>
      <w:r>
        <w:t>Table 3 - Current safeguards and required validation</w:t>
      </w:r>
    </w:p>
    <w:tbl>
      <w:tblPr>
        <w:tblW w:type="dxa" w:w="9072"/>
        <w:tblLayout w:type="fixed"/>
        <w:tblLook w:firstColumn="1" w:firstRow="1" w:lastColumn="0" w:lastRow="0" w:noHBand="0" w:noVBand="1" w:val="04A0"/>
        <w:tblInd w:w="120" w:type="dxa"/>
        <w:tblBorders>
          <w:top w:val="single" w:sz="5" w:space="0" w:color="B9C0D5"/>
          <w:left w:val="single" w:sz="5" w:space="0" w:color="B9C0D5"/>
          <w:bottom w:val="single" w:sz="5" w:space="0" w:color="B9C0D5"/>
          <w:right w:val="single" w:sz="5" w:space="0" w:color="B9C0D5"/>
          <w:insideH w:val="single" w:sz="5" w:space="0" w:color="B9C0D5"/>
          <w:insideV w:val="single" w:sz="5" w:space="0" w:color="B9C0D5"/>
        </w:tblBorders>
      </w:tblPr>
      <w:tblGrid>
        <w:gridCol w:w="2850"/>
        <w:gridCol w:w="2700"/>
        <w:gridCol w:w="3522"/>
      </w:tblGrid>
      <w:tr>
        <w:trPr>
          <w:tblHeader w:val="true"/>
          <w:cantSplit w:val="true"/>
        </w:trPr>
        <w:tc>
          <w:tcPr>
            <w:tcW w:type="dxa" w:w="2850"/>
            <w:shd w:fill="29345F"/>
            <w:tcMar>
              <w:top w:w="80" w:type="dxa"/>
              <w:start w:w="120" w:type="dxa"/>
              <w:bottom w:w="80" w:type="dxa"/>
              <w:end w:w="120" w:type="dxa"/>
            </w:tcMar>
            <w:vAlign w:val="center"/>
          </w:tcPr>
          <w:p>
            <w:pPr>
              <w:spacing w:before="0" w:after="0" w:line="240" w:lineRule="auto"/>
              <w:ind w:firstLine="0" w:left="0" w:right="0"/>
              <w:jc w:val="center"/>
            </w:pPr>
            <w:r/>
            <w:r>
              <w:rPr>
                <w:rFonts w:ascii="Times New Roman" w:hAnsi="Times New Roman" w:eastAsia="Times New Roman"/>
                <w:b/>
                <w:color w:val="FFFFFF"/>
                <w:sz w:val="18"/>
              </w:rPr>
              <w:t>Current mechanism</w:t>
            </w:r>
          </w:p>
        </w:tc>
        <w:tc>
          <w:tcPr>
            <w:tcW w:type="dxa" w:w="2700"/>
            <w:shd w:fill="29345F"/>
            <w:tcMar>
              <w:top w:w="80" w:type="dxa"/>
              <w:start w:w="120" w:type="dxa"/>
              <w:bottom w:w="80" w:type="dxa"/>
              <w:end w:w="120" w:type="dxa"/>
            </w:tcMar>
            <w:vAlign w:val="center"/>
          </w:tcPr>
          <w:p>
            <w:pPr>
              <w:spacing w:before="0" w:after="0" w:line="240" w:lineRule="auto"/>
              <w:ind w:firstLine="0" w:left="0" w:right="0"/>
              <w:jc w:val="center"/>
            </w:pPr>
            <w:r/>
            <w:r>
              <w:rPr>
                <w:rFonts w:ascii="Times New Roman" w:hAnsi="Times New Roman" w:eastAsia="Times New Roman"/>
                <w:b/>
                <w:color w:val="FFFFFF"/>
                <w:sz w:val="18"/>
              </w:rPr>
              <w:t>Research value</w:t>
            </w:r>
          </w:p>
        </w:tc>
        <w:tc>
          <w:tcPr>
            <w:tcW w:type="dxa" w:w="3522"/>
            <w:shd w:fill="29345F"/>
            <w:tcMar>
              <w:top w:w="80" w:type="dxa"/>
              <w:start w:w="120" w:type="dxa"/>
              <w:bottom w:w="80" w:type="dxa"/>
              <w:end w:w="120" w:type="dxa"/>
            </w:tcMar>
            <w:vAlign w:val="center"/>
          </w:tcPr>
          <w:p>
            <w:pPr>
              <w:spacing w:before="0" w:after="0" w:line="240" w:lineRule="auto"/>
              <w:ind w:firstLine="0" w:left="0" w:right="0"/>
              <w:jc w:val="center"/>
            </w:pPr>
            <w:r/>
            <w:r>
              <w:rPr>
                <w:rFonts w:ascii="Times New Roman" w:hAnsi="Times New Roman" w:eastAsia="Times New Roman"/>
                <w:b/>
                <w:color w:val="FFFFFF"/>
                <w:sz w:val="18"/>
              </w:rPr>
              <w:t>Residual requirement</w:t>
            </w:r>
          </w:p>
        </w:tc>
      </w:tr>
      <w:tr>
        <w:trPr>
          <w:cantSplit w:val="true"/>
        </w:trPr>
        <w:tc>
          <w:tcPr>
            <w:tcW w:type="dxa" w:w="285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All three datasets inserted into the prompt</w:t>
            </w:r>
          </w:p>
        </w:tc>
        <w:tc>
          <w:tcPr>
            <w:tcW w:type="dxa" w:w="27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Restricts the available domain context</w:t>
            </w:r>
          </w:p>
        </w:tc>
        <w:tc>
          <w:tcPr>
            <w:tcW w:type="dxa" w:w="3522"/>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Replace full-context scaling with indexed retrieval or tool calls as the corpus grows</w:t>
            </w:r>
          </w:p>
        </w:tc>
      </w:tr>
      <w:tr>
        <w:trPr>
          <w:cantSplit w:val="true"/>
        </w:trPr>
        <w:tc>
          <w:tcPr>
            <w:tcW w:type="dxa" w:w="285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Explicit separation of characters, systems, and readings</w:t>
            </w:r>
          </w:p>
        </w:tc>
        <w:tc>
          <w:tcPr>
            <w:tcW w:type="dxa" w:w="27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Reduces category and counting errors</w:t>
            </w:r>
          </w:p>
        </w:tc>
        <w:tc>
          <w:tcPr>
            <w:tcW w:type="dxa" w:w="3522"/>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Add automated unit tests for every aggregate question</w:t>
            </w:r>
          </w:p>
        </w:tc>
      </w:tr>
      <w:tr>
        <w:trPr>
          <w:cantSplit w:val="true"/>
        </w:trPr>
        <w:tc>
          <w:tcPr>
            <w:tcW w:type="dxa" w:w="285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Missing-data and denominator instructions</w:t>
            </w:r>
          </w:p>
        </w:tc>
        <w:tc>
          <w:tcPr>
            <w:tcW w:type="dxa" w:w="27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Encourages bounded answers and refusals</w:t>
            </w:r>
          </w:p>
        </w:tc>
        <w:tc>
          <w:tcPr>
            <w:tcW w:type="dxa" w:w="3522"/>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Verify refusal behavior with adversarial and multilingual benchmarks</w:t>
            </w:r>
          </w:p>
        </w:tc>
      </w:tr>
      <w:tr>
        <w:trPr>
          <w:cantSplit w:val="true"/>
        </w:trPr>
        <w:tc>
          <w:tcPr>
            <w:tcW w:type="dxa" w:w="285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Low-temperature conversational generation</w:t>
            </w:r>
          </w:p>
        </w:tc>
        <w:tc>
          <w:tcPr>
            <w:tcW w:type="dxa" w:w="27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Supports stable tone</w:t>
            </w:r>
          </w:p>
        </w:tc>
        <w:tc>
          <w:tcPr>
            <w:tcW w:type="dxa" w:w="3522"/>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Do not treat temperature as evidence of factual accuracy</w:t>
            </w:r>
          </w:p>
        </w:tc>
      </w:tr>
      <w:tr>
        <w:trPr>
          <w:cantSplit w:val="true"/>
        </w:trPr>
        <w:tc>
          <w:tcPr>
            <w:tcW w:type="dxa" w:w="285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Source and evidence fields in records</w:t>
            </w:r>
          </w:p>
        </w:tc>
        <w:tc>
          <w:tcPr>
            <w:tcW w:type="dxa" w:w="27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Makes provenance available to the interface</w:t>
            </w:r>
          </w:p>
        </w:tc>
        <w:tc>
          <w:tcPr>
            <w:tcW w:type="dxa" w:w="3522"/>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Return row-level citations and preserve source links in each answer</w:t>
            </w:r>
          </w:p>
        </w:tc>
      </w:tr>
    </w:tbl>
    <w:p>
      <w:pPr>
        <w:pStyle w:val="ConferenceSource"/>
        <w:widowControl w:val="true"/>
      </w:pPr>
      <w:r>
        <w:t>Source: architecture audit of Press Q (PRESS Q CODE, 2026), interpreted against grounded-generation research and AI risk guidance (LEWIS et al., 2020; SHUSTER et al., 2021; NIST, 2024).</w:t>
      </w:r>
    </w:p>
    <w:p>
      <w:pPr>
        <w:pStyle w:val="Heading2"/>
        <w:widowControl w:val="true"/>
      </w:pPr>
      <w:r>
        <w:t>5.4 Can Press Q address gaps in the Archive?</w:t>
      </w:r>
    </w:p>
    <w:p>
      <w:pPr>
        <w:keepNext w:val="0"/>
        <w:ind w:firstLine="397"/>
        <w:widowControl w:val="true"/>
      </w:pPr>
      <w:r>
        <w:rPr>
          <w:rFonts w:ascii="Times New Roman" w:hAnsi="Times New Roman" w:eastAsia="Times New Roman"/>
          <w:color w:val="202124"/>
          <w:sz w:val="20"/>
        </w:rPr>
        <w:t>Press Q can address some gaps at the level of computational reuse, but it cannot make the source universe complete. The Archive is optimized for historical documentation and thematic discovery, while Press Q is designed to expose analytical units, fields, denominators, provenance, and missingness (LGBTQ VIDEO GAME ARCHIVE, 2025a, 2025b; PRESS Q CODE, 2026; PRESS Q DATASET, 2026).</w:t>
      </w:r>
    </w:p>
    <w:p>
      <w:pPr>
        <w:pStyle w:val="ConferenceCaption"/>
        <w:widowControl w:val="true"/>
      </w:pPr>
      <w:r>
        <w:t>Table 4 - Gap coverage and residual limits</w:t>
      </w:r>
    </w:p>
    <w:tbl>
      <w:tblPr>
        <w:tblW w:type="dxa" w:w="9072"/>
        <w:tblLayout w:type="fixed"/>
        <w:tblLook w:firstColumn="1" w:firstRow="1" w:lastColumn="0" w:lastRow="0" w:noHBand="0" w:noVBand="1" w:val="04A0"/>
        <w:tblInd w:w="120" w:type="dxa"/>
        <w:tblBorders>
          <w:top w:val="single" w:sz="5" w:space="0" w:color="B9C0D5"/>
          <w:left w:val="single" w:sz="5" w:space="0" w:color="B9C0D5"/>
          <w:bottom w:val="single" w:sz="5" w:space="0" w:color="B9C0D5"/>
          <w:right w:val="single" w:sz="5" w:space="0" w:color="B9C0D5"/>
          <w:insideH w:val="single" w:sz="5" w:space="0" w:color="B9C0D5"/>
          <w:insideV w:val="single" w:sz="5" w:space="0" w:color="B9C0D5"/>
        </w:tblBorders>
      </w:tblPr>
      <w:tblGrid>
        <w:gridCol w:w="2700"/>
        <w:gridCol w:w="3300"/>
        <w:gridCol w:w="3072"/>
      </w:tblGrid>
      <w:tr>
        <w:trPr>
          <w:tblHeader w:val="true"/>
          <w:cantSplit w:val="true"/>
        </w:trPr>
        <w:tc>
          <w:tcPr>
            <w:tcW w:type="dxa" w:w="2700"/>
            <w:shd w:fill="29345F"/>
            <w:tcMar>
              <w:top w:w="80" w:type="dxa"/>
              <w:start w:w="120" w:type="dxa"/>
              <w:bottom w:w="80" w:type="dxa"/>
              <w:end w:w="120" w:type="dxa"/>
            </w:tcMar>
            <w:vAlign w:val="center"/>
          </w:tcPr>
          <w:p>
            <w:pPr>
              <w:spacing w:before="0" w:after="0" w:line="240" w:lineRule="auto"/>
              <w:ind w:firstLine="0" w:left="0" w:right="0"/>
              <w:jc w:val="center"/>
            </w:pPr>
            <w:r/>
            <w:r>
              <w:rPr>
                <w:rFonts w:ascii="Times New Roman" w:hAnsi="Times New Roman" w:eastAsia="Times New Roman"/>
                <w:b/>
                <w:color w:val="FFFFFF"/>
                <w:sz w:val="18"/>
              </w:rPr>
              <w:t>Archive-related research gap</w:t>
            </w:r>
          </w:p>
        </w:tc>
        <w:tc>
          <w:tcPr>
            <w:tcW w:type="dxa" w:w="3300"/>
            <w:shd w:fill="29345F"/>
            <w:tcMar>
              <w:top w:w="80" w:type="dxa"/>
              <w:start w:w="120" w:type="dxa"/>
              <w:bottom w:w="80" w:type="dxa"/>
              <w:end w:w="120" w:type="dxa"/>
            </w:tcMar>
            <w:vAlign w:val="center"/>
          </w:tcPr>
          <w:p>
            <w:pPr>
              <w:spacing w:before="0" w:after="0" w:line="240" w:lineRule="auto"/>
              <w:ind w:firstLine="0" w:left="0" w:right="0"/>
              <w:jc w:val="center"/>
            </w:pPr>
            <w:r/>
            <w:r>
              <w:rPr>
                <w:rFonts w:ascii="Times New Roman" w:hAnsi="Times New Roman" w:eastAsia="Times New Roman"/>
                <w:b/>
                <w:color w:val="FFFFFF"/>
                <w:sz w:val="18"/>
              </w:rPr>
              <w:t>Press Q contribution</w:t>
            </w:r>
          </w:p>
        </w:tc>
        <w:tc>
          <w:tcPr>
            <w:tcW w:type="dxa" w:w="3072"/>
            <w:shd w:fill="29345F"/>
            <w:tcMar>
              <w:top w:w="80" w:type="dxa"/>
              <w:start w:w="120" w:type="dxa"/>
              <w:bottom w:w="80" w:type="dxa"/>
              <w:end w:w="120" w:type="dxa"/>
            </w:tcMar>
            <w:vAlign w:val="center"/>
          </w:tcPr>
          <w:p>
            <w:pPr>
              <w:spacing w:before="0" w:after="0" w:line="240" w:lineRule="auto"/>
              <w:ind w:firstLine="0" w:left="0" w:right="0"/>
              <w:jc w:val="center"/>
            </w:pPr>
            <w:r/>
            <w:r>
              <w:rPr>
                <w:rFonts w:ascii="Times New Roman" w:hAnsi="Times New Roman" w:eastAsia="Times New Roman"/>
                <w:b/>
                <w:color w:val="FFFFFF"/>
                <w:sz w:val="18"/>
              </w:rPr>
              <w:t>Coverage status</w:t>
            </w:r>
          </w:p>
        </w:tc>
      </w:tr>
      <w:tr>
        <w:trPr>
          <w:cantSplit w:val="true"/>
        </w:trPr>
        <w:tc>
          <w:tcPr>
            <w:tcW w:type="dxa" w:w="27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Overlapping posts and categories</w:t>
            </w:r>
          </w:p>
        </w:tc>
        <w:tc>
          <w:tcPr>
            <w:tcW w:type="dxa" w:w="33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Separates character, system, and reading records</w:t>
            </w:r>
          </w:p>
        </w:tc>
        <w:tc>
          <w:tcPr>
            <w:tcW w:type="dxa" w:w="3072"/>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Substantial at schema level; cross-table identifiers still needed</w:t>
            </w:r>
          </w:p>
        </w:tc>
      </w:tr>
      <w:tr>
        <w:trPr>
          <w:cantSplit w:val="true"/>
        </w:trPr>
        <w:tc>
          <w:tcPr>
            <w:tcW w:type="dxa" w:w="27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No denominator for industry prevalence</w:t>
            </w:r>
          </w:p>
        </w:tc>
        <w:tc>
          <w:tcPr>
            <w:tcW w:type="dxa" w:w="33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Shows denominators for the local corpus</w:t>
            </w:r>
          </w:p>
        </w:tc>
        <w:tc>
          <w:tcPr>
            <w:tcW w:type="dxa" w:w="3072"/>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Partial; cannot create a missing population denominator</w:t>
            </w:r>
          </w:p>
        </w:tc>
      </w:tr>
      <w:tr>
        <w:trPr>
          <w:cantSplit w:val="true"/>
        </w:trPr>
        <w:tc>
          <w:tcPr>
            <w:tcW w:type="dxa" w:w="27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Heterogeneous evidence</w:t>
            </w:r>
          </w:p>
        </w:tc>
        <w:tc>
          <w:tcPr>
            <w:tcW w:type="dxa" w:w="33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Stores source, confirmation, confidence, notes, and counterevidence</w:t>
            </w:r>
          </w:p>
        </w:tc>
        <w:tc>
          <w:tcPr>
            <w:tcW w:type="dxa" w:w="3072"/>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Partial; fields remain incomplete and require coding guidance</w:t>
            </w:r>
          </w:p>
        </w:tc>
      </w:tr>
      <w:tr>
        <w:trPr>
          <w:cantSplit w:val="true"/>
        </w:trPr>
        <w:tc>
          <w:tcPr>
            <w:tcW w:type="dxa" w:w="27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Limited public intersectional coding</w:t>
            </w:r>
          </w:p>
        </w:tc>
        <w:tc>
          <w:tcPr>
            <w:tcW w:type="dxa" w:w="33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Adds intersectionality fields</w:t>
            </w:r>
          </w:p>
        </w:tc>
        <w:tc>
          <w:tcPr>
            <w:tcW w:type="dxa" w:w="3072"/>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Partial; current indicator values are inconsistent</w:t>
            </w:r>
          </w:p>
        </w:tc>
      </w:tr>
      <w:tr>
        <w:trPr>
          <w:cantSplit w:val="true"/>
        </w:trPr>
        <w:tc>
          <w:tcPr>
            <w:tcW w:type="dxa" w:w="27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Version and localization change</w:t>
            </w:r>
          </w:p>
        </w:tc>
        <w:tc>
          <w:tcPr>
            <w:tcW w:type="dxa" w:w="33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Adds platform/version and review-date fields</w:t>
            </w:r>
          </w:p>
        </w:tc>
        <w:tc>
          <w:tcPr>
            <w:tcW w:type="dxa" w:w="3072"/>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Partial; platform/version is present for 32 of 60 character records</w:t>
            </w:r>
          </w:p>
        </w:tc>
      </w:tr>
      <w:tr>
        <w:trPr>
          <w:cantSplit w:val="true"/>
        </w:trPr>
        <w:tc>
          <w:tcPr>
            <w:tcW w:type="dxa" w:w="27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Contribution and updating workflow</w:t>
            </w:r>
          </w:p>
        </w:tc>
        <w:tc>
          <w:tcPr>
            <w:tcW w:type="dxa" w:w="33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Provides a public draft form and curated administration</w:t>
            </w:r>
          </w:p>
        </w:tc>
        <w:tc>
          <w:tcPr>
            <w:tcW w:type="dxa" w:w="3072"/>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Early prototype; persistent storage and governance are unresolved</w:t>
            </w:r>
          </w:p>
        </w:tc>
      </w:tr>
      <w:tr>
        <w:trPr>
          <w:cantSplit w:val="true"/>
        </w:trPr>
        <w:tc>
          <w:tcPr>
            <w:tcW w:type="dxa" w:w="27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Research access to complex records</w:t>
            </w:r>
          </w:p>
        </w:tc>
        <w:tc>
          <w:tcPr>
            <w:tcW w:type="dxa" w:w="33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Adds visual filters and Quiu’s natural-language interface</w:t>
            </w:r>
          </w:p>
        </w:tc>
        <w:tc>
          <w:tcPr>
            <w:tcW w:type="dxa" w:w="3072"/>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Promising; usability and factuality have not been evaluated</w:t>
            </w:r>
          </w:p>
        </w:tc>
      </w:tr>
    </w:tbl>
    <w:p>
      <w:pPr>
        <w:pStyle w:val="ConferenceSource"/>
        <w:widowControl w:val="true"/>
      </w:pPr>
      <w:r>
        <w:t>Source: comparison of the Archive’s public methodology with the Press Q code and dataset snapshots (LGBTQ VIDEO GAME ARCHIVE, 2025a, 2025b; PRESS Q CODE, 2026; PRESS Q DATASET, 2026).</w:t>
      </w:r>
    </w:p>
    <w:p>
      <w:pPr>
        <w:pStyle w:val="Heading1"/>
        <w:widowControl w:val="true"/>
      </w:pPr>
      <w:r>
        <w:t>6 Discussion</w:t>
      </w:r>
    </w:p>
    <w:p>
      <w:pPr>
        <w:pStyle w:val="Heading2"/>
        <w:widowControl w:val="true"/>
      </w:pPr>
      <w:r>
        <w:t>6.1 Automatic statistics are bounded research outputs</w:t>
      </w:r>
    </w:p>
    <w:p>
      <w:pPr>
        <w:keepNext w:val="0"/>
        <w:ind w:firstLine="397"/>
        <w:widowControl w:val="true"/>
      </w:pPr>
      <w:r>
        <w:rPr>
          <w:rFonts w:ascii="Times New Roman" w:hAnsi="Times New Roman" w:eastAsia="Times New Roman"/>
          <w:color w:val="202124"/>
          <w:sz w:val="20"/>
        </w:rPr>
        <w:t>The principal value of Press Q is not that it produces percentages automatically, but that it can expose how each percentage was constructed. A defensible output must identify the analytical unit, filters, numerator, denominator, snapshot date, missing values, and evidence status. These requirements follow from situated-data critiques and provenance principles, which treat calculability as a documented research decision rather than a guarantee of neutrality (DRUCKER, 2011; D'IGNAZIO; KLEIN, 2020; WILKINSON et al., 2016).</w:t>
      </w:r>
    </w:p>
    <w:p>
      <w:pPr>
        <w:keepNext w:val="0"/>
        <w:ind w:firstLine="397"/>
        <w:widowControl w:val="true"/>
      </w:pPr>
      <w:r>
        <w:rPr>
          <w:rFonts w:ascii="Times New Roman" w:hAnsi="Times New Roman" w:eastAsia="Times New Roman"/>
          <w:color w:val="202124"/>
          <w:sz w:val="20"/>
        </w:rPr>
        <w:t>Accordingly, the statement that 68.3% of the current character records are marked confirmed is valid only as 41 divided by 60 in the 22 August 2026 Press Q snapshot. It does not mean that 68.3% of characters in the Archive, in published games, or in the game industry are queer (PRESS Q DATASET, 2026; LGBTQ VIDEO GAME ARCHIVE, 2025a).</w:t>
      </w:r>
    </w:p>
    <w:p>
      <w:pPr>
        <w:pStyle w:val="Heading2"/>
        <w:widowControl w:val="true"/>
      </w:pPr>
      <w:r>
        <w:t>6.2 Quiu should explain verified calculations</w:t>
      </w:r>
    </w:p>
    <w:p>
      <w:pPr>
        <w:keepNext w:val="0"/>
        <w:ind w:firstLine="397"/>
        <w:widowControl w:val="true"/>
      </w:pPr>
      <w:r>
        <w:rPr>
          <w:rFonts w:ascii="Times New Roman" w:hAnsi="Times New Roman" w:eastAsia="Times New Roman"/>
          <w:color w:val="202124"/>
          <w:sz w:val="20"/>
        </w:rPr>
        <w:t>RQ2 is answered by distinguishing grounding from verification. The database narrows the evidence available to Quiu and the prompt establishes appropriate methodological boundaries, but the language model remains a generator rather than a database engine (PRESS Q CODE, 2026; NIST, 2024). The recommended architecture is therefore tool-mediated: a deterministic function should parse the requested unit and filters, validate controlled values, calculate the result, and return structured evidence that Quiu translates into natural language (NIST, 2024).</w:t>
      </w:r>
    </w:p>
    <w:p>
      <w:pPr>
        <w:keepNext w:val="0"/>
        <w:ind w:firstLine="397"/>
        <w:widowControl w:val="true"/>
      </w:pPr>
      <w:r>
        <w:rPr>
          <w:rFonts w:ascii="Times New Roman" w:hAnsi="Times New Roman" w:eastAsia="Times New Roman"/>
          <w:color w:val="202124"/>
          <w:sz w:val="20"/>
        </w:rPr>
        <w:t>This architecture also makes evaluation possible. A benchmark can compare Quiu’s final text with the deterministic result and score numerator accuracy, denominator accuracy, preservation of qualifications, citation fidelity, correct refusal, and language consistency. Retrieval and grounding research supports this direction, but Press Q still requires domain-specific testing with queer-game researchers and represented communities (SHUSTER et al., 2021; NIST, 2024).</w:t>
      </w:r>
    </w:p>
    <w:p>
      <w:pPr>
        <w:pStyle w:val="Heading2"/>
        <w:widowControl w:val="true"/>
      </w:pPr>
      <w:r>
        <w:t>6.3 Gap filling is complementary, not corrective</w:t>
      </w:r>
    </w:p>
    <w:p>
      <w:pPr>
        <w:keepNext w:val="0"/>
        <w:ind w:firstLine="397"/>
        <w:widowControl w:val="true"/>
      </w:pPr>
      <w:r>
        <w:rPr>
          <w:rFonts w:ascii="Times New Roman" w:hAnsi="Times New Roman" w:eastAsia="Times New Roman"/>
          <w:color w:val="202124"/>
          <w:sz w:val="20"/>
        </w:rPr>
        <w:t>RQ3 is answered partially. Press Q can make selected Archive-derived and newly curated evidence easier to compute, compare, and query. It can also document fields that the public Archive interface does not foreground, including evidence confidence, platform/version, intersectionality notes, and research status (LGBTQ VIDEO GAME ARCHIVE, 2025a; PRESS Q DATASET, 2026). It cannot retroactively supply missing games, languages, sources, versions, or population denominators, and it depends intellectually on the Archive’s historical and curatorial labor (LGBTQ VIDEO GAME ARCHIVE, 2025a).</w:t>
      </w:r>
    </w:p>
    <w:p>
      <w:pPr>
        <w:keepNext w:val="0"/>
        <w:ind w:firstLine="397"/>
        <w:widowControl w:val="true"/>
      </w:pPr>
      <w:r>
        <w:rPr>
          <w:rFonts w:ascii="Times New Roman" w:hAnsi="Times New Roman" w:eastAsia="Times New Roman"/>
          <w:color w:val="202124"/>
          <w:sz w:val="20"/>
        </w:rPr>
        <w:t>The relationship should therefore be reciprocal. Press Q should preserve record-level attribution, link to Archive pages and original evidence, communicate corrections where appropriate, and avoid extracting the Archive’s work without credit. The Archive explicitly requests acknowledgement because the project represents hundreds of hours of labor, much of it uncompensated (LGBTQ VIDEO GAME ARCHIVE, 2025a).</w:t>
      </w:r>
    </w:p>
    <w:p>
      <w:pPr>
        <w:pStyle w:val="Heading1"/>
        <w:widowControl w:val="true"/>
      </w:pPr>
      <w:r>
        <w:t>7 Limitations and Future Work</w:t>
      </w:r>
    </w:p>
    <w:p>
      <w:pPr>
        <w:keepNext w:val="0"/>
        <w:ind w:firstLine="397"/>
        <w:widowControl w:val="true"/>
      </w:pPr>
      <w:r>
        <w:rPr>
          <w:rFonts w:ascii="Times New Roman" w:hAnsi="Times New Roman" w:eastAsia="Times New Roman"/>
          <w:color w:val="202124"/>
          <w:sz w:val="20"/>
        </w:rPr>
        <w:t>The dataset is incomplete, purposively curated, concentrated in a limited set of titles and years, and not a probability sample; all reported percentages are internal corpus statistics (PRESS Q DATASET, 2026). The study did not validate all source claims, audit the Archive’s full master list, interview its team, or measure agreement between independent coders (LGBTQ VIDEO GAME ARCHIVE, 2025a; PRESS Q DATASET, 2026).</w:t>
      </w:r>
    </w:p>
    <w:p>
      <w:pPr>
        <w:keepNext w:val="0"/>
        <w:ind w:firstLine="397"/>
        <w:widowControl w:val="true"/>
      </w:pPr>
      <w:r>
        <w:rPr>
          <w:rFonts w:ascii="Times New Roman" w:hAnsi="Times New Roman" w:eastAsia="Times New Roman"/>
          <w:color w:val="202124"/>
          <w:sz w:val="20"/>
        </w:rPr>
        <w:t>The current intersectionality indicator contains 53 ‘no’ values, three ‘yes’ values, and four values that directly name an axis such as class, ethnicity, race, or religion. Platform/version is populated for 32 of 60 character records. These inconsistencies and missing values can alter filters and percentages and must be normalized before broader analysis (PRESS Q DATASET, 2026).</w:t>
      </w:r>
    </w:p>
    <w:p>
      <w:pPr>
        <w:keepNext w:val="0"/>
        <w:ind w:firstLine="397"/>
        <w:widowControl w:val="true"/>
      </w:pPr>
      <w:r>
        <w:rPr>
          <w:rFonts w:ascii="Times New Roman" w:hAnsi="Times New Roman" w:eastAsia="Times New Roman"/>
          <w:color w:val="202124"/>
          <w:sz w:val="20"/>
        </w:rPr>
        <w:t>Quiu has not yet undergone a published factuality, arithmetic, citation, usability, accessibility, multilingual, or adversarial evaluation. The current full-context design may also become impractical as the corpus grows, which motivates indexed retrieval and deterministic analysis tools (PRESS Q CODE, 2026; LEWIS et al., 2020; NIST, 2024).</w:t>
      </w:r>
    </w:p>
    <w:p>
      <w:pPr>
        <w:keepNext w:val="0"/>
        <w:ind w:firstLine="397"/>
        <w:widowControl w:val="true"/>
      </w:pPr>
      <w:r>
        <w:rPr>
          <w:rFonts w:ascii="Times New Roman" w:hAnsi="Times New Roman" w:eastAsia="Times New Roman"/>
          <w:color w:val="202124"/>
          <w:sz w:val="20"/>
        </w:rPr>
        <w:t>Future work should migrate the corpus to a persistent relational database with stable identifiers and version history; publish a coding manual; normalize controlled fields; add independent coding and adjudication; implement deterministic aggregate tools; return record-level citations; create a multilingual benchmark of answerable and unanswerable questions; conduct participatory evaluation; and publish versioned data and code with persistent identifiers when rights permit (WILKINSON et al., 2016; NIST, 2024).</w:t>
      </w:r>
    </w:p>
    <w:p>
      <w:pPr>
        <w:pStyle w:val="Heading1"/>
        <w:widowControl w:val="true"/>
      </w:pPr>
      <w:r>
        <w:t>8 Conclusion</w:t>
      </w:r>
    </w:p>
    <w:p>
      <w:pPr>
        <w:keepNext w:val="0"/>
        <w:ind w:firstLine="397"/>
        <w:widowControl w:val="true"/>
      </w:pPr>
      <w:r>
        <w:rPr>
          <w:rFonts w:ascii="Times New Roman" w:hAnsi="Times New Roman" w:eastAsia="Times New Roman"/>
          <w:color w:val="202124"/>
          <w:sz w:val="20"/>
        </w:rPr>
        <w:t>Press Q demonstrates how structured queer-game evidence can support reproducible, bounded questions that a navigation-oriented archive cannot answer directly. In the current snapshot, questions such as the proportion of confirmed or playable character records are computable because the corpus supplies explicit units and denominators; questions about industry-wide prevalence remain unanswerable because the source universe is incomplete (PRESS Q DATASET, 2026; LGBTQ VIDEO GAME ARCHIVE, 2025a).</w:t>
      </w:r>
    </w:p>
    <w:p>
      <w:pPr>
        <w:keepNext w:val="0"/>
        <w:ind w:firstLine="397"/>
        <w:widowControl w:val="true"/>
      </w:pPr>
      <w:r>
        <w:rPr>
          <w:rFonts w:ascii="Times New Roman" w:hAnsi="Times New Roman" w:eastAsia="Times New Roman"/>
          <w:color w:val="202124"/>
          <w:sz w:val="20"/>
        </w:rPr>
        <w:t>Quiu makes that structured evidence accessible through natural language, but the database grounds the model rather than trains it, and grounding does not eliminate confabulation. The strongest conference contribution is therefore a hybrid research design: deterministic computation for claims, a language model for explanation, explicit provenance for verification, and visible limits for responsible interpretation (PRESS Q CODE, 2026; LEWIS et al., 2020; SHUSTER et al., 2021; NIST, 2024).</w:t>
      </w:r>
    </w:p>
    <w:p>
      <w:pPr>
        <w:keepNext w:val="0"/>
        <w:ind w:firstLine="397"/>
        <w:widowControl w:val="true"/>
      </w:pPr>
      <w:r>
        <w:rPr>
          <w:rFonts w:ascii="Times New Roman" w:hAnsi="Times New Roman" w:eastAsia="Times New Roman"/>
          <w:color w:val="202124"/>
          <w:sz w:val="20"/>
        </w:rPr>
        <w:t>Press Q can partially fill computational and interface gaps around the LGBTQ Video Game Archive while remaining dependent on its historical work. Its scientific value will depend on expanding and validating the dataset, evaluating Quiu empirically, and ensuring that automation preserves ambiguity, credit, and the political conditions of queer archival knowledge (LGBTQ VIDEO GAME ARCHIVE, 2025a; D'IGNAZIO; KLEIN, 2020; PRESS Q DATASET, 2026).</w:t>
      </w:r>
    </w:p>
    <w:p>
      <w:pPr>
        <w:pStyle w:val="Heading1"/>
        <w:widowControl w:val="true"/>
      </w:pPr>
      <w:r>
        <w:t>Declarations for Conference Submission</w:t>
      </w:r>
    </w:p>
    <w:p>
      <w:pPr>
        <w:spacing w:after="60"/>
        <w:ind w:firstLine="0"/>
        <w:widowControl w:val="true"/>
      </w:pPr>
      <w:r>
        <w:rPr>
          <w:rFonts w:ascii="Times New Roman" w:hAnsi="Times New Roman" w:eastAsia="Times New Roman"/>
          <w:b/>
          <w:color w:val="29345F"/>
          <w:sz w:val="19"/>
        </w:rPr>
        <w:t xml:space="preserve">Author information: </w:t>
      </w:r>
      <w:r>
        <w:rPr>
          <w:rFonts w:ascii="Times New Roman" w:hAnsi="Times New Roman" w:eastAsia="Times New Roman"/>
          <w:color w:val="202124"/>
          <w:sz w:val="19"/>
        </w:rPr>
        <w:t>Removed for review; restore names, affiliations, ORCIDs, and correspondence details according to the conference policy.</w:t>
      </w:r>
    </w:p>
    <w:p>
      <w:pPr>
        <w:spacing w:after="60"/>
        <w:ind w:firstLine="0"/>
        <w:widowControl w:val="true"/>
      </w:pPr>
      <w:r>
        <w:rPr>
          <w:rFonts w:ascii="Times New Roman" w:hAnsi="Times New Roman" w:eastAsia="Times New Roman"/>
          <w:b/>
          <w:color w:val="29345F"/>
          <w:sz w:val="19"/>
        </w:rPr>
        <w:t xml:space="preserve">Funding: </w:t>
      </w:r>
      <w:r>
        <w:rPr>
          <w:rFonts w:ascii="Times New Roman" w:hAnsi="Times New Roman" w:eastAsia="Times New Roman"/>
          <w:color w:val="202124"/>
          <w:sz w:val="19"/>
        </w:rPr>
        <w:t>[State the funding source and grant number, or declare that no specific funding was received.]</w:t>
      </w:r>
    </w:p>
    <w:p>
      <w:pPr>
        <w:spacing w:after="60"/>
        <w:ind w:firstLine="0"/>
        <w:widowControl w:val="true"/>
      </w:pPr>
      <w:r>
        <w:rPr>
          <w:rFonts w:ascii="Times New Roman" w:hAnsi="Times New Roman" w:eastAsia="Times New Roman"/>
          <w:b/>
          <w:color w:val="29345F"/>
          <w:sz w:val="19"/>
        </w:rPr>
        <w:t xml:space="preserve">Conflicts of interest: </w:t>
      </w:r>
      <w:r>
        <w:rPr>
          <w:rFonts w:ascii="Times New Roman" w:hAnsi="Times New Roman" w:eastAsia="Times New Roman"/>
          <w:color w:val="202124"/>
          <w:sz w:val="19"/>
        </w:rPr>
        <w:t>[State any conflicts, or declare that the authors have no conflicts of interest.]</w:t>
      </w:r>
    </w:p>
    <w:p>
      <w:pPr>
        <w:spacing w:after="60"/>
        <w:ind w:firstLine="0"/>
        <w:widowControl w:val="true"/>
      </w:pPr>
      <w:r>
        <w:rPr>
          <w:rFonts w:ascii="Times New Roman" w:hAnsi="Times New Roman" w:eastAsia="Times New Roman"/>
          <w:b/>
          <w:color w:val="29345F"/>
          <w:sz w:val="19"/>
        </w:rPr>
        <w:t xml:space="preserve">Data and code availability: </w:t>
      </w:r>
      <w:r>
        <w:rPr>
          <w:rFonts w:ascii="Times New Roman" w:hAnsi="Times New Roman" w:eastAsia="Times New Roman"/>
          <w:color w:val="202124"/>
          <w:sz w:val="19"/>
        </w:rPr>
        <w:t>The cited Press Q code and dataset snapshots are anonymized for review. Add the public repository URL and a versioned DOI before camera-ready publication.</w:t>
      </w:r>
    </w:p>
    <w:p>
      <w:pPr>
        <w:spacing w:after="60"/>
        <w:ind w:firstLine="0"/>
        <w:widowControl w:val="true"/>
      </w:pPr>
      <w:r>
        <w:rPr>
          <w:rFonts w:ascii="Times New Roman" w:hAnsi="Times New Roman" w:eastAsia="Times New Roman"/>
          <w:b/>
          <w:color w:val="29345F"/>
          <w:sz w:val="19"/>
        </w:rPr>
        <w:t xml:space="preserve">Generative AI use: </w:t>
      </w:r>
      <w:r>
        <w:rPr>
          <w:rFonts w:ascii="Times New Roman" w:hAnsi="Times New Roman" w:eastAsia="Times New Roman"/>
          <w:color w:val="202124"/>
          <w:sz w:val="19"/>
        </w:rPr>
        <w:t>Suggested disclosure: OpenAI Codex supported documentary research, drafting, translation, and document formatting. Human authors must verify every source, calculation, interpretation, and final claim under the conference policy.</w:t>
      </w:r>
    </w:p>
    <w:p>
      <w:pPr>
        <w:pStyle w:val="Heading1"/>
        <w:widowControl w:val="true"/>
      </w:pPr>
      <w:r>
        <w:t>References</w:t>
      </w:r>
    </w:p>
    <w:p>
      <w:pPr>
        <w:spacing w:after="50" w:line="240" w:lineRule="auto"/>
        <w:ind w:hanging="397" w:left="397"/>
        <w:widowControl w:val="true"/>
      </w:pPr>
      <w:r>
        <w:rPr>
          <w:rFonts w:ascii="Times New Roman" w:hAnsi="Times New Roman" w:eastAsia="Times New Roman"/>
          <w:color w:val="202124"/>
          <w:sz w:val="18"/>
        </w:rPr>
        <w:t xml:space="preserve">CRENSHAW, Kimberlé. Demarginalizing the intersection of race and sex: a Black feminist critique of antidiscrimination doctrine, feminist theory and antiracist politics. University of Chicago Legal Forum, v. 1989, n. 1, p. 139–167, 1989. </w:t>
      </w:r>
      <w:hyperlink r:id="rId14">
        <w:r>
          <w:rPr>
            <w:color w:val="3B4C8A"/>
            <w:u w:val="single"/>
            <w:rFonts w:ascii="Times New Roman" w:hAnsi="Times New Roman"/>
            <w:sz w:val="20"/>
          </w:rPr>
          <w:t>Institutional text</w:t>
        </w:r>
      </w:hyperlink>
    </w:p>
    <w:p>
      <w:pPr>
        <w:spacing w:after="50" w:line="240" w:lineRule="auto"/>
        <w:ind w:hanging="397" w:left="397"/>
        <w:widowControl w:val="true"/>
      </w:pPr>
      <w:r>
        <w:rPr>
          <w:rFonts w:ascii="Times New Roman" w:hAnsi="Times New Roman" w:eastAsia="Times New Roman"/>
          <w:color w:val="202124"/>
          <w:sz w:val="18"/>
        </w:rPr>
        <w:t xml:space="preserve">D'IGNAZIO, Catherine; KLEIN, Lauren F. Data Feminism. Cambridge: MIT Press, 2020. </w:t>
      </w:r>
      <w:hyperlink r:id="rId15">
        <w:r>
          <w:rPr>
            <w:color w:val="3B4C8A"/>
            <w:u w:val="single"/>
            <w:rFonts w:ascii="Times New Roman" w:hAnsi="Times New Roman"/>
            <w:sz w:val="20"/>
          </w:rPr>
          <w:t>DOI</w:t>
        </w:r>
      </w:hyperlink>
    </w:p>
    <w:p>
      <w:pPr>
        <w:spacing w:after="50" w:line="240" w:lineRule="auto"/>
        <w:ind w:hanging="397" w:left="397"/>
        <w:widowControl w:val="true"/>
      </w:pPr>
      <w:r>
        <w:rPr>
          <w:rFonts w:ascii="Times New Roman" w:hAnsi="Times New Roman" w:eastAsia="Times New Roman"/>
          <w:color w:val="202124"/>
          <w:sz w:val="18"/>
        </w:rPr>
        <w:t xml:space="preserve">DRUCKER, Johanna. Humanities approaches to graphical display. Digital Humanities Quarterly, v. 5, n. 1, 2011. </w:t>
      </w:r>
      <w:hyperlink r:id="rId16">
        <w:r>
          <w:rPr>
            <w:color w:val="3B4C8A"/>
            <w:u w:val="single"/>
            <w:rFonts w:ascii="Times New Roman" w:hAnsi="Times New Roman"/>
            <w:sz w:val="20"/>
          </w:rPr>
          <w:t>Full text</w:t>
        </w:r>
      </w:hyperlink>
    </w:p>
    <w:p>
      <w:pPr>
        <w:spacing w:after="50" w:line="240" w:lineRule="auto"/>
        <w:ind w:hanging="397" w:left="397"/>
        <w:widowControl w:val="true"/>
      </w:pPr>
      <w:r>
        <w:rPr>
          <w:rFonts w:ascii="Times New Roman" w:hAnsi="Times New Roman" w:eastAsia="Times New Roman"/>
          <w:color w:val="202124"/>
          <w:sz w:val="18"/>
        </w:rPr>
        <w:t xml:space="preserve">LEWIS, Patrick et al. Retrieval-augmented generation for knowledge-intensive NLP tasks. Advances in Neural Information Processing Systems, v. 33, p. 9459–9474, 2020. </w:t>
      </w:r>
      <w:hyperlink r:id="rId17">
        <w:r>
          <w:rPr>
            <w:color w:val="3B4C8A"/>
            <w:u w:val="single"/>
            <w:rFonts w:ascii="Times New Roman" w:hAnsi="Times New Roman"/>
            <w:sz w:val="20"/>
          </w:rPr>
          <w:t>Preprint</w:t>
        </w:r>
      </w:hyperlink>
    </w:p>
    <w:p>
      <w:pPr>
        <w:spacing w:after="50" w:line="240" w:lineRule="auto"/>
        <w:ind w:hanging="397" w:left="397"/>
        <w:widowControl w:val="true"/>
      </w:pPr>
      <w:r>
        <w:rPr>
          <w:rFonts w:ascii="Times New Roman" w:hAnsi="Times New Roman" w:eastAsia="Times New Roman"/>
          <w:color w:val="202124"/>
          <w:sz w:val="18"/>
        </w:rPr>
        <w:t xml:space="preserve">LGBTQ VIDEO GAME ARCHIVE. About (please read first!). Methodology and limitations updated 4 June 2025. Accessed 22 August 2026. </w:t>
      </w:r>
      <w:hyperlink r:id="rId18">
        <w:r>
          <w:rPr>
            <w:color w:val="3B4C8A"/>
            <w:u w:val="single"/>
            <w:rFonts w:ascii="Times New Roman" w:hAnsi="Times New Roman"/>
            <w:sz w:val="20"/>
          </w:rPr>
          <w:t>Archive methodology</w:t>
        </w:r>
      </w:hyperlink>
    </w:p>
    <w:p>
      <w:pPr>
        <w:spacing w:after="50" w:line="240" w:lineRule="auto"/>
        <w:ind w:hanging="397" w:left="397"/>
        <w:widowControl w:val="true"/>
      </w:pPr>
      <w:r>
        <w:rPr>
          <w:rFonts w:ascii="Times New Roman" w:hAnsi="Times New Roman" w:eastAsia="Times New Roman"/>
          <w:color w:val="202124"/>
          <w:sz w:val="18"/>
        </w:rPr>
        <w:t xml:space="preserve">LGBTQ VIDEO GAME ARCHIVE. Category descriptions. Accessed 22 August 2026. </w:t>
      </w:r>
      <w:hyperlink r:id="rId19">
        <w:r>
          <w:rPr>
            <w:color w:val="3B4C8A"/>
            <w:u w:val="single"/>
            <w:rFonts w:ascii="Times New Roman" w:hAnsi="Times New Roman"/>
            <w:sz w:val="20"/>
          </w:rPr>
          <w:t>Category descriptions</w:t>
        </w:r>
      </w:hyperlink>
    </w:p>
    <w:p>
      <w:pPr>
        <w:spacing w:after="50" w:line="240" w:lineRule="auto"/>
        <w:ind w:hanging="397" w:left="397"/>
        <w:widowControl w:val="true"/>
      </w:pPr>
      <w:r>
        <w:rPr>
          <w:rFonts w:ascii="Times New Roman" w:hAnsi="Times New Roman" w:eastAsia="Times New Roman"/>
          <w:color w:val="202124"/>
          <w:sz w:val="18"/>
        </w:rPr>
        <w:t xml:space="preserve">NATIONAL INSTITUTE OF STANDARDS AND TECHNOLOGY (NIST). Artificial Intelligence Risk Management Framework: Generative Artificial Intelligence Profile. NIST AI 600-1. Gaithersburg, 2024. </w:t>
      </w:r>
      <w:hyperlink r:id="rId20">
        <w:r>
          <w:rPr>
            <w:color w:val="3B4C8A"/>
            <w:u w:val="single"/>
            <w:rFonts w:ascii="Times New Roman" w:hAnsi="Times New Roman"/>
            <w:sz w:val="20"/>
          </w:rPr>
          <w:t>Official PDF</w:t>
        </w:r>
      </w:hyperlink>
    </w:p>
    <w:p>
      <w:pPr>
        <w:spacing w:after="50" w:line="240" w:lineRule="auto"/>
        <w:ind w:hanging="397" w:left="397"/>
        <w:widowControl w:val="true"/>
      </w:pPr>
      <w:r>
        <w:rPr>
          <w:rFonts w:ascii="Times New Roman" w:hAnsi="Times New Roman" w:eastAsia="Times New Roman"/>
          <w:color w:val="202124"/>
          <w:sz w:val="18"/>
        </w:rPr>
        <w:t>PRESS Q CODE. Press Q and Quiu source-code snapshot inspected 22 August 2026. Anonymized local repository for conference review. 2026.</w:t>
      </w:r>
    </w:p>
    <w:p>
      <w:pPr>
        <w:spacing w:after="50" w:line="240" w:lineRule="auto"/>
        <w:ind w:hanging="397" w:left="397"/>
        <w:widowControl w:val="true"/>
      </w:pPr>
      <w:r>
        <w:rPr>
          <w:rFonts w:ascii="Times New Roman" w:hAnsi="Times New Roman" w:eastAsia="Times New Roman"/>
          <w:color w:val="202124"/>
          <w:sz w:val="18"/>
        </w:rPr>
        <w:t>PRESS Q DATASET. pressq_seed_dataset.csv; game_queer_systems.csv; queer_readings.csv. Snapshot dated 22 August 2026. Anonymized for conference review. 2026.</w:t>
      </w:r>
    </w:p>
    <w:p>
      <w:pPr>
        <w:spacing w:after="50" w:line="240" w:lineRule="auto"/>
        <w:ind w:hanging="397" w:left="397"/>
        <w:widowControl w:val="true"/>
      </w:pPr>
      <w:r>
        <w:rPr>
          <w:rFonts w:ascii="Times New Roman" w:hAnsi="Times New Roman" w:eastAsia="Times New Roman"/>
          <w:color w:val="202124"/>
          <w:sz w:val="18"/>
        </w:rPr>
        <w:t xml:space="preserve">RUBERG, Bonnie. Video Games Have Always Been Queer. New York: New York University Press, 2019. </w:t>
      </w:r>
      <w:hyperlink r:id="rId21">
        <w:r>
          <w:rPr>
            <w:color w:val="3B4C8A"/>
            <w:u w:val="single"/>
            <w:rFonts w:ascii="Times New Roman" w:hAnsi="Times New Roman"/>
            <w:sz w:val="20"/>
          </w:rPr>
          <w:t>Publisher page</w:t>
        </w:r>
      </w:hyperlink>
    </w:p>
    <w:p>
      <w:pPr>
        <w:spacing w:after="50" w:line="240" w:lineRule="auto"/>
        <w:ind w:hanging="397" w:left="397"/>
        <w:widowControl w:val="true"/>
      </w:pPr>
      <w:r>
        <w:rPr>
          <w:rFonts w:ascii="Times New Roman" w:hAnsi="Times New Roman" w:eastAsia="Times New Roman"/>
          <w:color w:val="202124"/>
          <w:sz w:val="18"/>
        </w:rPr>
        <w:t xml:space="preserve">RUBERG, Bonnie; SHAW, Adrienne (eds.). Queer Game Studies. Minneapolis: University of Minnesota Press, 2017. </w:t>
      </w:r>
      <w:hyperlink r:id="rId22">
        <w:r>
          <w:rPr>
            <w:color w:val="3B4C8A"/>
            <w:u w:val="single"/>
            <w:rFonts w:ascii="Times New Roman" w:hAnsi="Times New Roman"/>
            <w:sz w:val="20"/>
          </w:rPr>
          <w:t>Publisher page</w:t>
        </w:r>
      </w:hyperlink>
    </w:p>
    <w:p>
      <w:pPr>
        <w:spacing w:after="50" w:line="240" w:lineRule="auto"/>
        <w:ind w:hanging="397" w:left="397"/>
        <w:widowControl w:val="true"/>
      </w:pPr>
      <w:r>
        <w:rPr>
          <w:rFonts w:ascii="Times New Roman" w:hAnsi="Times New Roman" w:eastAsia="Times New Roman"/>
          <w:color w:val="202124"/>
          <w:sz w:val="18"/>
        </w:rPr>
        <w:t xml:space="preserve">SHAW, Adrienne. Gaming at the Edge: Sexuality and Gender at the Margins of Gamer Culture. Minneapolis: University of Minnesota Press, 2014. </w:t>
      </w:r>
      <w:hyperlink r:id="rId23">
        <w:r>
          <w:rPr>
            <w:color w:val="3B4C8A"/>
            <w:u w:val="single"/>
            <w:rFonts w:ascii="Times New Roman" w:hAnsi="Times New Roman"/>
            <w:sz w:val="20"/>
          </w:rPr>
          <w:t>Publisher page</w:t>
        </w:r>
      </w:hyperlink>
    </w:p>
    <w:p>
      <w:pPr>
        <w:spacing w:after="50" w:line="240" w:lineRule="auto"/>
        <w:ind w:hanging="397" w:left="397"/>
        <w:widowControl w:val="true"/>
      </w:pPr>
      <w:r>
        <w:rPr>
          <w:rFonts w:ascii="Times New Roman" w:hAnsi="Times New Roman" w:eastAsia="Times New Roman"/>
          <w:color w:val="202124"/>
          <w:sz w:val="18"/>
        </w:rPr>
        <w:t xml:space="preserve">SHAW, Adrienne; LAUTERIA, Evan W.; YANG, Hannah; PERSAUD, Christopher J.; COLE, Alayna M. Counting queerness in games: trends in LGBTQ digital game representation, 1985–2005. International Journal of Communication, v. 13, p. 1544–1569, 2019. </w:t>
      </w:r>
      <w:hyperlink r:id="rId24">
        <w:r>
          <w:rPr>
            <w:color w:val="3B4C8A"/>
            <w:u w:val="single"/>
            <w:rFonts w:ascii="Times New Roman" w:hAnsi="Times New Roman"/>
            <w:sz w:val="20"/>
          </w:rPr>
          <w:t>Full text</w:t>
        </w:r>
      </w:hyperlink>
    </w:p>
    <w:p>
      <w:pPr>
        <w:spacing w:after="50" w:line="240" w:lineRule="auto"/>
        <w:ind w:hanging="397" w:left="397"/>
        <w:widowControl w:val="true"/>
      </w:pPr>
      <w:r>
        <w:rPr>
          <w:rFonts w:ascii="Times New Roman" w:hAnsi="Times New Roman" w:eastAsia="Times New Roman"/>
          <w:color w:val="202124"/>
          <w:sz w:val="18"/>
        </w:rPr>
        <w:t xml:space="preserve">SHAW, Adrienne; PERSAUD, Christopher J. Beyond texts: using queer readings to document LGBTQ game content. First Monday, v. 25, n. 8, 2020. </w:t>
      </w:r>
      <w:hyperlink r:id="rId25">
        <w:r>
          <w:rPr>
            <w:color w:val="3B4C8A"/>
            <w:u w:val="single"/>
            <w:rFonts w:ascii="Times New Roman" w:hAnsi="Times New Roman"/>
            <w:sz w:val="20"/>
          </w:rPr>
          <w:t>DOI</w:t>
        </w:r>
      </w:hyperlink>
    </w:p>
    <w:p>
      <w:pPr>
        <w:spacing w:after="50" w:line="240" w:lineRule="auto"/>
        <w:ind w:hanging="397" w:left="397"/>
        <w:widowControl w:val="true"/>
      </w:pPr>
      <w:r>
        <w:rPr>
          <w:rFonts w:ascii="Times New Roman" w:hAnsi="Times New Roman" w:eastAsia="Times New Roman"/>
          <w:color w:val="202124"/>
          <w:sz w:val="18"/>
        </w:rPr>
        <w:t xml:space="preserve">SHUSTER, Kurt; POFF, Spencer; CHEN, Moya; KIELA, Douwe; WESTON, Jason. Retrieval augmentation reduces hallucination in conversation. Findings of EMNLP 2021, p. 3784–3803, 2021. </w:t>
      </w:r>
      <w:hyperlink r:id="rId26">
        <w:r>
          <w:rPr>
            <w:color w:val="3B4C8A"/>
            <w:u w:val="single"/>
            <w:rFonts w:ascii="Times New Roman" w:hAnsi="Times New Roman"/>
            <w:sz w:val="20"/>
          </w:rPr>
          <w:t>DOI</w:t>
        </w:r>
      </w:hyperlink>
    </w:p>
    <w:p>
      <w:pPr>
        <w:spacing w:after="50" w:line="240" w:lineRule="auto"/>
        <w:ind w:hanging="397" w:left="397"/>
        <w:widowControl w:val="true"/>
      </w:pPr>
      <w:r>
        <w:rPr>
          <w:rFonts w:ascii="Times New Roman" w:hAnsi="Times New Roman" w:eastAsia="Times New Roman"/>
          <w:color w:val="202124"/>
          <w:sz w:val="18"/>
        </w:rPr>
        <w:t xml:space="preserve">WILKINSON, Mark D. et al. The FAIR Guiding Principles for scientific data management and stewardship. Scientific Data, v. 3, art. 160018, 2016. </w:t>
      </w:r>
      <w:hyperlink r:id="rId27">
        <w:r>
          <w:rPr>
            <w:color w:val="3B4C8A"/>
            <w:u w:val="single"/>
            <w:rFonts w:ascii="Times New Roman" w:hAnsi="Times New Roman"/>
            <w:sz w:val="20"/>
          </w:rPr>
          <w:t>DOI</w:t>
        </w:r>
      </w:hyperlink>
    </w:p>
    <w:sectPr>
      <w:headerReference w:type="default" r:id="rId9"/>
      <w:headerReference w:type="even" r:id="rId10"/>
      <w:footerReference w:type="default" r:id="rId11"/>
      <w:footerReference w:type="even" r:id="rId12"/>
      <w:pgSz w:w="11906" w:h="16838"/>
      <w:pgMar w:top="1417" w:right="1417" w:bottom="1417"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5F6368"/>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5F6368"/>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Times New Roman" w:hAnsi="Times New Roman" w:eastAsia="Times New Roman"/>
        <w:b/>
        <w:color w:val="5F6368"/>
        <w:sz w:val="16"/>
      </w:rPr>
      <w:t>PRESS Q + QUIU | CONFERENCE MANUSCRIPT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Times New Roman" w:hAnsi="Times New Roman" w:eastAsia="Times New Roman"/>
        <w:b/>
        <w:color w:val="5F6368"/>
        <w:sz w:val="16"/>
      </w:rPr>
      <w:t>PRESS Q + QUIU | CONFERENCE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venAndOddHeader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4" w:lineRule="auto"/>
      <w:ind w:firstLine="397"/>
      <w:jc w:val="both"/>
    </w:pPr>
    <w:rPr>
      <w:rFonts w:ascii="Times New Roman" w:hAnsi="Times New Roman"/>
      <w:color w:val="20212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line="240" w:lineRule="auto"/>
      <w:ind w:firstLine="0"/>
      <w:outlineLvl w:val="0"/>
    </w:pPr>
    <w:rPr>
      <w:rFonts w:asciiTheme="majorHAnsi" w:eastAsiaTheme="majorEastAsia" w:hAnsiTheme="majorHAnsi" w:cstheme="majorBidi" w:ascii="Times New Roman" w:hAnsi="Times New Roman"/>
      <w:b/>
      <w:bCs/>
      <w:color w:val="29345F"/>
      <w:sz w:val="25"/>
      <w:szCs w:val="28"/>
    </w:rPr>
  </w:style>
  <w:style w:type="paragraph" w:styleId="Heading2">
    <w:name w:val="heading 2"/>
    <w:basedOn w:val="Normal"/>
    <w:next w:val="Normal"/>
    <w:link w:val="Heading2Char"/>
    <w:uiPriority w:val="9"/>
    <w:unhideWhenUsed/>
    <w:qFormat/>
    <w:rsid w:val="00FC693F"/>
    <w:pPr>
      <w:keepNext/>
      <w:keepLines/>
      <w:spacing w:before="180" w:after="80" w:line="240" w:lineRule="auto"/>
      <w:ind w:firstLine="0"/>
      <w:outlineLvl w:val="1"/>
    </w:pPr>
    <w:rPr>
      <w:rFonts w:asciiTheme="majorHAnsi" w:eastAsiaTheme="majorEastAsia" w:hAnsiTheme="majorHAnsi" w:cstheme="majorBidi" w:ascii="Times New Roman" w:hAnsi="Times New Roman"/>
      <w:b/>
      <w:bCs/>
      <w:color w:val="29345F"/>
      <w:sz w:val="22"/>
      <w:szCs w:val="26"/>
    </w:rPr>
  </w:style>
  <w:style w:type="paragraph" w:styleId="Heading3">
    <w:name w:val="heading 3"/>
    <w:basedOn w:val="Normal"/>
    <w:next w:val="Normal"/>
    <w:link w:val="Heading3Char"/>
    <w:uiPriority w:val="9"/>
    <w:unhideWhenUsed/>
    <w:qFormat/>
    <w:rsid w:val="00FC693F"/>
    <w:pPr>
      <w:keepNext/>
      <w:keepLines/>
      <w:spacing w:before="140" w:after="60" w:line="240" w:lineRule="auto"/>
      <w:ind w:firstLine="0"/>
      <w:outlineLvl w:val="2"/>
    </w:pPr>
    <w:rPr>
      <w:rFonts w:asciiTheme="majorHAnsi" w:eastAsiaTheme="majorEastAsia" w:hAnsiTheme="majorHAnsi" w:cstheme="majorBidi" w:ascii="Times New Roman" w:hAnsi="Times New Roman"/>
      <w:b/>
      <w:bCs/>
      <w:color w:val="2934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ferenceAbstract">
    <w:name w:val="Conference Abstract"/>
    <w:pPr>
      <w:spacing w:after="80" w:line="247" w:lineRule="auto"/>
      <w:ind w:firstLine="0"/>
      <w:jc w:val="both"/>
    </w:pPr>
    <w:rPr>
      <w:rFonts w:ascii="Times New Roman" w:hAnsi="Times New Roman"/>
      <w:sz w:val="19"/>
    </w:rPr>
  </w:style>
  <w:style w:type="paragraph" w:customStyle="1" w:styleId="ConferenceCaption">
    <w:name w:val="Conference Caption"/>
    <w:pPr>
      <w:keepNext/>
      <w:spacing w:before="120" w:after="60"/>
      <w:ind w:firstLine="0"/>
    </w:pPr>
    <w:rPr>
      <w:rFonts w:ascii="Times New Roman" w:hAnsi="Times New Roman"/>
      <w:b/>
      <w:color w:val="29345F"/>
      <w:sz w:val="18"/>
    </w:rPr>
  </w:style>
  <w:style w:type="paragraph" w:customStyle="1" w:styleId="ConferenceSource">
    <w:name w:val="Conference Source"/>
    <w:pPr>
      <w:spacing w:before="60" w:after="100" w:line="240" w:lineRule="auto"/>
      <w:ind w:firstLine="0"/>
    </w:pPr>
    <w:rPr>
      <w:rFonts w:ascii="Times New Roman" w:hAnsi="Times New Roman"/>
      <w:color w:val="5F636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yperlink" Target="https://chicagounbound.uchicago.edu/uclf/vol1989/iss1/8/" TargetMode="External"/><Relationship Id="rId15" Type="http://schemas.openxmlformats.org/officeDocument/2006/relationships/hyperlink" Target="https://doi.org/10.7551/mitpress/11805.001.0001" TargetMode="External"/><Relationship Id="rId16" Type="http://schemas.openxmlformats.org/officeDocument/2006/relationships/hyperlink" Target="https://www.digitalhumanities.org/dhq/vol/5/1/000091/000091.html" TargetMode="External"/><Relationship Id="rId17" Type="http://schemas.openxmlformats.org/officeDocument/2006/relationships/hyperlink" Target="https://arxiv.org/abs/2005.11401" TargetMode="External"/><Relationship Id="rId18" Type="http://schemas.openxmlformats.org/officeDocument/2006/relationships/hyperlink" Target="https://lgbtqgamearchive.com/about/about-archive/" TargetMode="External"/><Relationship Id="rId19" Type="http://schemas.openxmlformats.org/officeDocument/2006/relationships/hyperlink" Target="https://lgbtqgamearchive.com/resources/category-descriptions/" TargetMode="External"/><Relationship Id="rId20" Type="http://schemas.openxmlformats.org/officeDocument/2006/relationships/hyperlink" Target="https://nvlpubs.nist.gov/nistpubs/ai/NIST.AI.600-1.pdf" TargetMode="External"/><Relationship Id="rId21" Type="http://schemas.openxmlformats.org/officeDocument/2006/relationships/hyperlink" Target="https://nyupress.org/9781479831036/video-games-have-always-been-queer/" TargetMode="External"/><Relationship Id="rId22" Type="http://schemas.openxmlformats.org/officeDocument/2006/relationships/hyperlink" Target="https://www.upress.umn.edu/9781517900373/queer-game-studies/" TargetMode="External"/><Relationship Id="rId23" Type="http://schemas.openxmlformats.org/officeDocument/2006/relationships/hyperlink" Target="https://www.upress.umn.edu/9780816693160/gaming-at-the-edge/" TargetMode="External"/><Relationship Id="rId24" Type="http://schemas.openxmlformats.org/officeDocument/2006/relationships/hyperlink" Target="https://ijoc.org/index.php/ijoc/article/view/9754/2611" TargetMode="External"/><Relationship Id="rId25" Type="http://schemas.openxmlformats.org/officeDocument/2006/relationships/hyperlink" Target="https://doi.org/10.5210/fm.v25i8.10439" TargetMode="External"/><Relationship Id="rId26" Type="http://schemas.openxmlformats.org/officeDocument/2006/relationships/hyperlink" Target="https://doi.org/10.18653/v1/2021.findings-emnlp.320" TargetMode="External"/><Relationship Id="rId27" Type="http://schemas.openxmlformats.org/officeDocument/2006/relationships/hyperlink" Target="https://doi.org/10.1038/sdata.2016.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Press Q and Quiu: A Data-Grounded Research Tool for LGBTQ+ Video Game Studies</dc:title>
  <dc:subject>Conference manuscript on structured data, bounded statistics, and grounded AI assistance</dc:subject>
  <dc:creator/>
  <cp:keywords>LGBTQ+; video games; research infrastructure; grounded AI; digital humanities; queer archives</cp:keywords>
  <dc:description>generated by python-docx</dc:description>
  <cp:lastModifiedBy/>
  <cp:revision>1</cp:revision>
  <dcterms:created xsi:type="dcterms:W3CDTF">2013-12-23T23:15:00Z</dcterms:created>
  <dcterms:modified xsi:type="dcterms:W3CDTF">2013-12-23T23:15:00Z</dcterms:modified>
  <cp:category/>
</cp:coreProperties>
</file>