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5.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5848F3">
      <w:pPr>
        <w:jc w:val="center"/>
      </w:pPr>
      <w:bookmarkStart w:id="0" w:name="_Toc153040565"/>
      <w:r>
        <w:drawing>
          <wp:inline distT="0" distB="0" distL="114300" distR="114300">
            <wp:extent cx="1386205" cy="1386205"/>
            <wp:effectExtent l="0" t="0" r="10795" b="10795"/>
            <wp:docPr id="34" name="图片 1"/>
            <wp:cNvGraphicFramePr/>
            <a:graphic xmlns:a="http://schemas.openxmlformats.org/drawingml/2006/main">
              <a:graphicData uri="http://schemas.openxmlformats.org/drawingml/2006/picture">
                <pic:pic xmlns:pic="http://schemas.openxmlformats.org/drawingml/2006/picture">
                  <pic:nvPicPr>
                    <pic:cNvPr id="34" name="图片 1"/>
                    <pic:cNvPicPr/>
                  </pic:nvPicPr>
                  <pic:blipFill>
                    <a:blip r:embed="rId24"/>
                    <a:stretch>
                      <a:fillRect/>
                    </a:stretch>
                  </pic:blipFill>
                  <pic:spPr>
                    <a:xfrm>
                      <a:off x="0" y="0"/>
                      <a:ext cx="1386205" cy="1386205"/>
                    </a:xfrm>
                    <a:prstGeom prst="rect">
                      <a:avLst/>
                    </a:prstGeom>
                    <a:noFill/>
                    <a:ln>
                      <a:noFill/>
                    </a:ln>
                  </pic:spPr>
                </pic:pic>
              </a:graphicData>
            </a:graphic>
          </wp:inline>
        </w:drawing>
      </w:r>
    </w:p>
    <w:p w14:paraId="25F349BA">
      <w:pPr>
        <w:jc w:val="center"/>
      </w:pPr>
    </w:p>
    <w:p w14:paraId="016027EF">
      <w:pPr>
        <w:jc w:val="center"/>
        <w:rPr>
          <w:b/>
          <w:sz w:val="72"/>
          <w:szCs w:val="72"/>
        </w:rPr>
      </w:pPr>
      <w:r>
        <w:rPr>
          <w:rFonts w:hint="eastAsia"/>
          <w:b/>
          <w:sz w:val="72"/>
          <w:szCs w:val="72"/>
        </w:rPr>
        <w:t>暨南大学</w:t>
      </w:r>
    </w:p>
    <w:p w14:paraId="60E8BA9D">
      <w:pPr>
        <w:jc w:val="center"/>
        <w:rPr>
          <w:b/>
          <w:sz w:val="72"/>
          <w:szCs w:val="72"/>
        </w:rPr>
      </w:pPr>
      <w:r>
        <w:rPr>
          <w:rFonts w:hint="eastAsia"/>
          <w:b/>
          <w:sz w:val="72"/>
          <w:szCs w:val="72"/>
        </w:rPr>
        <w:t>本科生毕业论文</w:t>
      </w:r>
    </w:p>
    <w:p w14:paraId="5B4BFB1E">
      <w:pPr>
        <w:jc w:val="center"/>
        <w:rPr>
          <w:sz w:val="36"/>
          <w:szCs w:val="36"/>
        </w:rPr>
      </w:pPr>
    </w:p>
    <w:p w14:paraId="0CED8A4A">
      <w:pPr>
        <w:jc w:val="center"/>
        <w:rPr>
          <w:rFonts w:hint="eastAsia"/>
        </w:rPr>
      </w:pPr>
    </w:p>
    <w:p w14:paraId="55C6312F">
      <w:pPr>
        <w:jc w:val="center"/>
        <w:rPr>
          <w:u w:val="single"/>
        </w:rPr>
      </w:pPr>
      <w:r>
        <w:rPr>
          <w:rFonts w:ascii="Times New Roman" w:hAnsi="Times New Roman" w:eastAsia="宋体" w:cs="Times New Roman"/>
          <w:b/>
          <w:kern w:val="2"/>
          <w:sz w:val="30"/>
          <w:szCs w:val="30"/>
          <w:lang w:val="en-US" w:eastAsia="zh-CN" w:bidi="ar-SA"/>
        </w:rPr>
        <w:t>论文题目</w:t>
      </w:r>
      <w:r>
        <w:rPr>
          <w:rFonts w:hint="eastAsia" w:ascii="宋体" w:hAnsi="宋体" w:eastAsia="宋体" w:cs="Times New Roman"/>
          <w:b/>
          <w:kern w:val="2"/>
          <w:sz w:val="30"/>
          <w:szCs w:val="30"/>
          <w:u w:val="thick"/>
          <w:lang w:val="en-US" w:eastAsia="zh-CN" w:bidi="ar-SA"/>
        </w:rPr>
        <w:t>全球水体中对苯二胺抗氧化剂及其醌类转化产物（6PPD/Q为例）的赋存与生态风险：文献挖掘的运用</w:t>
      </w:r>
    </w:p>
    <w:p w14:paraId="4170419C">
      <w:pPr>
        <w:ind w:firstLine="2108" w:firstLineChars="700"/>
        <w:rPr>
          <w:rFonts w:hint="eastAsia" w:ascii="宋体" w:hAnsi="宋体" w:eastAsia="宋体" w:cs="Times New Roman"/>
          <w:b/>
          <w:kern w:val="2"/>
          <w:sz w:val="30"/>
          <w:szCs w:val="30"/>
          <w:u w:val="single"/>
          <w:lang w:val="en-US" w:eastAsia="zh-CN" w:bidi="ar-SA"/>
        </w:rPr>
      </w:pPr>
      <w:r>
        <w:rPr>
          <w:rFonts w:hint="eastAsia" w:ascii="宋体" w:hAnsi="宋体" w:eastAsia="宋体" w:cs="Times New Roman"/>
          <w:b/>
          <w:kern w:val="2"/>
          <w:sz w:val="30"/>
          <w:szCs w:val="30"/>
          <w:lang w:val="en-US" w:eastAsia="zh-CN" w:bidi="ar-SA"/>
        </w:rPr>
        <w:t>学院</w:t>
      </w:r>
      <w:r>
        <w:rPr>
          <w:rFonts w:hint="eastAsia" w:ascii="宋体" w:hAnsi="宋体" w:eastAsia="宋体" w:cs="Times New Roman"/>
          <w:b/>
          <w:kern w:val="2"/>
          <w:sz w:val="30"/>
          <w:szCs w:val="30"/>
          <w:u w:val="thick"/>
          <w:lang w:val="en-US" w:eastAsia="zh-CN" w:bidi="ar-SA"/>
        </w:rPr>
        <w:t>____暨南大学环境与气候学院____</w:t>
      </w:r>
    </w:p>
    <w:p w14:paraId="0E11ADEF">
      <w:pPr>
        <w:ind w:firstLine="2129" w:firstLineChars="707"/>
        <w:rPr>
          <w:rFonts w:hint="eastAsia" w:ascii="宋体" w:hAnsi="宋体" w:eastAsia="宋体" w:cs="Times New Roman"/>
          <w:b/>
          <w:kern w:val="2"/>
          <w:sz w:val="30"/>
          <w:szCs w:val="30"/>
          <w:u w:val="single"/>
          <w:lang w:val="en-US" w:eastAsia="zh" w:bidi="ar-SA"/>
        </w:rPr>
      </w:pPr>
      <w:r>
        <w:rPr>
          <w:rFonts w:hint="eastAsia" w:ascii="宋体" w:hAnsi="宋体" w:eastAsia="宋体" w:cs="Times New Roman"/>
          <w:b/>
          <w:kern w:val="2"/>
          <w:sz w:val="30"/>
          <w:szCs w:val="30"/>
          <w:lang w:val="en-US" w:eastAsia="zh-CN" w:bidi="ar-SA"/>
        </w:rPr>
        <w:t>专业</w:t>
      </w:r>
      <w:r>
        <w:rPr>
          <w:rFonts w:hint="eastAsia" w:ascii="宋体" w:hAnsi="宋体" w:eastAsia="宋体" w:cs="Times New Roman"/>
          <w:b/>
          <w:kern w:val="2"/>
          <w:sz w:val="30"/>
          <w:szCs w:val="30"/>
          <w:u w:val="thick"/>
          <w:lang w:val="en-US" w:eastAsia="zh-CN" w:bidi="ar-SA"/>
        </w:rPr>
        <w:t>______环 境 科 学 与 工 程____</w:t>
      </w:r>
    </w:p>
    <w:p w14:paraId="7CC1BB6D">
      <w:pPr>
        <w:ind w:firstLine="2129" w:firstLineChars="707"/>
        <w:rPr>
          <w:rFonts w:hint="eastAsia" w:ascii="宋体" w:hAnsi="宋体" w:eastAsia="宋体" w:cs="Times New Roman"/>
          <w:b/>
          <w:kern w:val="2"/>
          <w:sz w:val="30"/>
          <w:szCs w:val="30"/>
          <w:u w:val="single"/>
          <w:lang w:val="en-US" w:eastAsia="zh" w:bidi="ar-SA"/>
        </w:rPr>
      </w:pPr>
      <w:r>
        <w:rPr>
          <w:rFonts w:hint="eastAsia" w:ascii="宋体" w:hAnsi="宋体" w:eastAsia="宋体" w:cs="Times New Roman"/>
          <w:b/>
          <w:kern w:val="2"/>
          <w:sz w:val="30"/>
          <w:szCs w:val="30"/>
          <w:lang w:val="en-US" w:eastAsia="zh-CN" w:bidi="ar-SA"/>
        </w:rPr>
        <w:t>姓名</w:t>
      </w:r>
      <w:r>
        <w:rPr>
          <w:rFonts w:hint="eastAsia" w:ascii="宋体" w:hAnsi="宋体" w:eastAsia="宋体" w:cs="Times New Roman"/>
          <w:b/>
          <w:kern w:val="2"/>
          <w:sz w:val="30"/>
          <w:szCs w:val="30"/>
          <w:u w:val="thick"/>
          <w:lang w:val="en-US" w:eastAsia="zh-CN" w:bidi="ar-SA"/>
        </w:rPr>
        <w:t>_______________张耀霖_________</w:t>
      </w:r>
    </w:p>
    <w:p w14:paraId="371E13A5">
      <w:pPr>
        <w:ind w:firstLine="2129" w:firstLineChars="707"/>
        <w:rPr>
          <w:rFonts w:hint="eastAsia" w:ascii="宋体" w:hAnsi="宋体" w:eastAsia="宋体" w:cs="Times New Roman"/>
          <w:b/>
          <w:kern w:val="2"/>
          <w:sz w:val="30"/>
          <w:szCs w:val="30"/>
          <w:u w:val="single"/>
          <w:lang w:val="en-US" w:eastAsia="zh" w:bidi="ar-SA"/>
        </w:rPr>
      </w:pPr>
      <w:r>
        <w:rPr>
          <w:rFonts w:hint="eastAsia" w:ascii="宋体" w:hAnsi="宋体" w:eastAsia="宋体" w:cs="Times New Roman"/>
          <w:b/>
          <w:kern w:val="2"/>
          <w:sz w:val="30"/>
          <w:szCs w:val="30"/>
          <w:lang w:val="en-US" w:eastAsia="zh-CN" w:bidi="ar-SA"/>
        </w:rPr>
        <w:t>学号</w:t>
      </w:r>
      <w:r>
        <w:rPr>
          <w:rFonts w:hint="eastAsia" w:ascii="宋体" w:hAnsi="宋体" w:eastAsia="宋体" w:cs="Times New Roman"/>
          <w:b/>
          <w:kern w:val="2"/>
          <w:sz w:val="30"/>
          <w:szCs w:val="30"/>
          <w:u w:val="thick"/>
          <w:lang w:val="en-US" w:eastAsia="zh-CN" w:bidi="ar-SA"/>
        </w:rPr>
        <w:t>_____________2022102538_______</w:t>
      </w:r>
    </w:p>
    <w:p w14:paraId="59654B45">
      <w:pPr>
        <w:ind w:firstLine="2084" w:firstLineChars="692"/>
        <w:rPr>
          <w:rFonts w:hint="eastAsia" w:ascii="宋体" w:hAnsi="宋体" w:eastAsia="宋体" w:cs="Times New Roman"/>
          <w:b/>
          <w:kern w:val="2"/>
          <w:sz w:val="30"/>
          <w:szCs w:val="30"/>
          <w:u w:val="single"/>
          <w:lang w:val="en-US" w:eastAsia="zh" w:bidi="ar-SA"/>
        </w:rPr>
      </w:pPr>
      <w:r>
        <w:rPr>
          <w:rFonts w:hint="eastAsia" w:ascii="宋体" w:hAnsi="宋体" w:eastAsia="宋体" w:cs="Times New Roman"/>
          <w:b/>
          <w:kern w:val="2"/>
          <w:sz w:val="30"/>
          <w:szCs w:val="30"/>
          <w:lang w:val="en-US" w:eastAsia="zh-CN" w:bidi="ar-SA"/>
        </w:rPr>
        <w:t>指导教师</w:t>
      </w:r>
      <w:r>
        <w:rPr>
          <w:rFonts w:hint="eastAsia" w:ascii="宋体" w:hAnsi="宋体" w:eastAsia="宋体" w:cs="Times New Roman"/>
          <w:b/>
          <w:kern w:val="2"/>
          <w:sz w:val="30"/>
          <w:szCs w:val="30"/>
          <w:u w:val="thick"/>
          <w:lang w:val="en-US" w:eastAsia="zh-CN" w:bidi="ar-SA"/>
        </w:rPr>
        <w:t>___________________________</w:t>
      </w:r>
    </w:p>
    <w:p w14:paraId="22435C7C">
      <w:pPr>
        <w:jc w:val="center"/>
        <w:rPr>
          <w:rFonts w:hint="eastAsia" w:ascii="宋体" w:hAnsi="宋体"/>
          <w:b/>
          <w:sz w:val="30"/>
          <w:szCs w:val="30"/>
        </w:rPr>
      </w:pPr>
    </w:p>
    <w:p w14:paraId="001BB0E1">
      <w:pPr>
        <w:jc w:val="center"/>
        <w:rPr>
          <w:rFonts w:eastAsia="楷体_GB2312"/>
          <w:sz w:val="44"/>
        </w:rPr>
        <w:sectPr>
          <w:footnotePr>
            <w:numFmt w:val="decimalEnclosedCircleChinese"/>
            <w:numRestart w:val="eachPage"/>
          </w:footnotePr>
          <w:pgSz w:w="11906" w:h="16838"/>
          <w:pgMar w:top="1418" w:right="1134" w:bottom="1418" w:left="1701" w:header="851" w:footer="992" w:gutter="0"/>
          <w:cols w:space="720" w:num="1"/>
          <w:titlePg/>
          <w:docGrid w:type="lines" w:linePitch="381" w:charSpace="0"/>
        </w:sectPr>
      </w:pPr>
      <w:r>
        <w:rPr>
          <w:b/>
          <w:sz w:val="30"/>
          <w:szCs w:val="30"/>
        </w:rPr>
        <w:t>2026年</w:t>
      </w:r>
      <w:r>
        <w:rPr>
          <w:rFonts w:hint="eastAsia"/>
          <w:b/>
          <w:sz w:val="30"/>
          <w:szCs w:val="30"/>
        </w:rPr>
        <w:t>4</w:t>
      </w:r>
      <w:r>
        <w:rPr>
          <w:b/>
          <w:sz w:val="30"/>
          <w:szCs w:val="30"/>
        </w:rPr>
        <w:t>月</w:t>
      </w:r>
      <w:r>
        <w:rPr>
          <w:rFonts w:hint="eastAsia"/>
          <w:b/>
          <w:sz w:val="30"/>
          <w:szCs w:val="30"/>
        </w:rPr>
        <w:t>21</w:t>
      </w:r>
      <w:r>
        <w:rPr>
          <w:b/>
          <w:sz w:val="30"/>
          <w:szCs w:val="30"/>
        </w:rPr>
        <w:t>日</w:t>
      </w:r>
    </w:p>
    <w:p w14:paraId="415D4F4D">
      <w:pPr>
        <w:spacing w:line="800" w:lineRule="exact"/>
        <w:jc w:val="left"/>
        <w:rPr>
          <w:rFonts w:hint="eastAsia" w:ascii="宋体" w:hAnsi="宋体" w:cs="宋体"/>
          <w:sz w:val="30"/>
          <w:szCs w:val="30"/>
        </w:rPr>
      </w:pPr>
      <w:bookmarkStart w:id="1" w:name="OLE_LINK1"/>
    </w:p>
    <w:p w14:paraId="33B81338">
      <w:pPr>
        <w:spacing w:line="800" w:lineRule="exact"/>
        <w:jc w:val="center"/>
        <w:rPr>
          <w:rFonts w:ascii="楷体_GB2312" w:eastAsia="楷体_GB2312"/>
          <w:b/>
          <w:bCs/>
          <w:sz w:val="44"/>
        </w:rPr>
      </w:pPr>
      <w:r>
        <w:rPr>
          <w:rFonts w:hint="eastAsia" w:ascii="楷体_GB2312" w:eastAsia="楷体_GB2312"/>
          <w:b/>
          <w:bCs/>
          <w:sz w:val="44"/>
        </w:rPr>
        <w:t>诚信声明</w:t>
      </w:r>
    </w:p>
    <w:p w14:paraId="37C60FD4">
      <w:pPr>
        <w:spacing w:line="800" w:lineRule="exact"/>
        <w:rPr>
          <w:rFonts w:ascii="楷体_GB2312" w:eastAsia="楷体_GB2312"/>
          <w:sz w:val="32"/>
        </w:rPr>
      </w:pPr>
    </w:p>
    <w:p w14:paraId="445A129B">
      <w:pPr>
        <w:spacing w:line="360" w:lineRule="auto"/>
        <w:ind w:firstLine="600" w:firstLineChars="200"/>
        <w:rPr>
          <w:rFonts w:eastAsia="楷体_GB2312"/>
          <w:color w:val="000000"/>
          <w:sz w:val="30"/>
        </w:rPr>
      </w:pPr>
      <w:r>
        <w:rPr>
          <w:rFonts w:hint="eastAsia" w:eastAsia="楷体_GB2312"/>
          <w:sz w:val="30"/>
        </w:rPr>
        <w:t>我声明，所呈交的毕业论文（设计）是本人在老师指导下进行的研究工作及取得的研究成果。除文中已经注明引用的内容外，本论文（设计）不包含任何其他个人或集体已经发表或撰写过的作品成果。在论文（设计）撰写过程中，本人严格遵守学术道德和学术规范，恪守学术诚信，坚决杜绝任何形式的抄袭、剽窃、伪造、篡改、买卖、代写毕业论文等学术不端行为，本人自愿承担因违反上述承诺而产生的后果和责任。</w:t>
      </w:r>
    </w:p>
    <w:bookmarkEnd w:id="1"/>
    <w:p w14:paraId="4E888EF0">
      <w:pPr>
        <w:pStyle w:val="7"/>
        <w:spacing w:line="800" w:lineRule="exact"/>
        <w:ind w:firstLine="600"/>
        <w:rPr>
          <w:rFonts w:eastAsia="楷体_GB2312"/>
          <w:sz w:val="30"/>
        </w:rPr>
      </w:pPr>
    </w:p>
    <w:p w14:paraId="67E063BA">
      <w:pPr>
        <w:pStyle w:val="7"/>
        <w:spacing w:line="800" w:lineRule="exact"/>
        <w:ind w:firstLine="600"/>
        <w:rPr>
          <w:rFonts w:eastAsia="楷体_GB2312"/>
          <w:sz w:val="30"/>
        </w:rPr>
      </w:pPr>
      <w:r>
        <w:rPr>
          <w:rFonts w:hint="eastAsia" w:eastAsia="楷体_GB2312"/>
          <w:sz w:val="30"/>
        </w:rPr>
        <w:drawing>
          <wp:anchor distT="0" distB="0" distL="114300" distR="114300" simplePos="0" relativeHeight="251668480" behindDoc="0" locked="0" layoutInCell="1" allowOverlap="1">
            <wp:simplePos x="0" y="0"/>
            <wp:positionH relativeFrom="column">
              <wp:posOffset>557530</wp:posOffset>
            </wp:positionH>
            <wp:positionV relativeFrom="paragraph">
              <wp:posOffset>436880</wp:posOffset>
            </wp:positionV>
            <wp:extent cx="729615" cy="32575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5"/>
                    <a:stretch>
                      <a:fillRect/>
                    </a:stretch>
                  </pic:blipFill>
                  <pic:spPr>
                    <a:xfrm>
                      <a:off x="0" y="0"/>
                      <a:ext cx="729615" cy="325755"/>
                    </a:xfrm>
                    <a:prstGeom prst="rect">
                      <a:avLst/>
                    </a:prstGeom>
                  </pic:spPr>
                </pic:pic>
              </a:graphicData>
            </a:graphic>
          </wp:anchor>
        </w:drawing>
      </w:r>
    </w:p>
    <w:p w14:paraId="265ECEE8">
      <w:pPr>
        <w:pStyle w:val="7"/>
        <w:spacing w:line="240" w:lineRule="auto"/>
        <w:ind w:firstLine="0" w:firstLineChars="0"/>
        <w:sectPr>
          <w:footerReference r:id="rId3" w:type="default"/>
          <w:footerReference r:id="rId4" w:type="even"/>
          <w:pgSz w:w="11906" w:h="16838"/>
          <w:pgMar w:top="1440" w:right="1797" w:bottom="1440" w:left="1797" w:header="851" w:footer="992" w:gutter="0"/>
          <w:pgNumType w:fmt="upperRoman" w:start="1"/>
          <w:cols w:space="720" w:num="1"/>
          <w:docGrid w:linePitch="312" w:charSpace="0"/>
        </w:sectPr>
      </w:pPr>
      <w:r>
        <w:rPr>
          <w:rFonts w:hint="eastAsia" w:eastAsia="楷体_GB2312"/>
          <w:sz w:val="30"/>
        </w:rPr>
        <w:t>签名：                            日期：</w:t>
      </w:r>
      <w:r>
        <w:rPr>
          <w:rFonts w:hint="eastAsia" w:eastAsia="楷体_GB2312"/>
          <w:sz w:val="30"/>
          <w:lang w:eastAsia="zh"/>
        </w:rPr>
        <w:t>2026</w:t>
      </w:r>
      <w:r>
        <w:rPr>
          <w:rFonts w:hint="eastAsia" w:eastAsia="楷体_GB2312"/>
          <w:sz w:val="30"/>
        </w:rPr>
        <w:t>年</w:t>
      </w:r>
      <w:r>
        <w:rPr>
          <w:rFonts w:hint="eastAsia" w:eastAsia="楷体_GB2312"/>
          <w:sz w:val="30"/>
          <w:lang w:eastAsia="zh"/>
        </w:rPr>
        <w:t>4</w:t>
      </w:r>
      <w:r>
        <w:rPr>
          <w:rFonts w:hint="eastAsia" w:eastAsia="楷体_GB2312"/>
          <w:sz w:val="30"/>
        </w:rPr>
        <w:t>月21日</w:t>
      </w:r>
    </w:p>
    <w:bookmarkEnd w:id="0"/>
    <w:p w14:paraId="1E34692F">
      <w:pPr>
        <w:spacing w:before="480" w:after="360"/>
        <w:jc w:val="center"/>
        <w:rPr>
          <w:rFonts w:eastAsia="黑体"/>
          <w:b/>
          <w:sz w:val="32"/>
          <w:szCs w:val="32"/>
        </w:rPr>
      </w:pPr>
      <w:r>
        <w:rPr>
          <w:rFonts w:eastAsia="黑体"/>
          <w:b/>
          <w:sz w:val="28"/>
          <w:szCs w:val="28"/>
        </w:rPr>
        <w:fldChar w:fldCharType="begin"/>
      </w:r>
      <w:r>
        <w:rPr>
          <w:rFonts w:eastAsia="黑体"/>
          <w:b/>
          <w:sz w:val="28"/>
          <w:szCs w:val="28"/>
        </w:rPr>
        <w:instrText xml:space="preserve"> HYPERLINK "摘要" </w:instrText>
      </w:r>
      <w:r>
        <w:rPr>
          <w:rFonts w:eastAsia="黑体"/>
          <w:b/>
          <w:sz w:val="28"/>
          <w:szCs w:val="28"/>
        </w:rPr>
        <w:fldChar w:fldCharType="separate"/>
      </w:r>
      <w:r>
        <w:rPr>
          <w:rStyle w:val="26"/>
          <w:rFonts w:eastAsia="黑体"/>
          <w:b/>
          <w:sz w:val="28"/>
          <w:szCs w:val="28"/>
        </w:rPr>
        <w:t>摘要</w:t>
      </w:r>
      <w:r>
        <w:rPr>
          <w:rFonts w:eastAsia="黑体"/>
          <w:b/>
          <w:sz w:val="28"/>
          <w:szCs w:val="28"/>
        </w:rPr>
        <w:fldChar w:fldCharType="end"/>
      </w:r>
    </w:p>
    <w:p w14:paraId="5BB3EDD0">
      <w:pPr>
        <w:widowControl/>
        <w:rPr>
          <w:color w:val="000000"/>
          <w:sz w:val="24"/>
        </w:rPr>
      </w:pPr>
      <w:r>
        <w:rPr>
          <w:rFonts w:hint="eastAsia"/>
          <w:color w:val="000000"/>
          <w:kern w:val="0"/>
          <w:sz w:val="24"/>
          <w:lang w:eastAsia="zh" w:bidi="ar"/>
        </w:rPr>
        <w:t>橡胶抗氧化剂添加剂</w:t>
      </w:r>
      <w:r>
        <w:rPr>
          <w:color w:val="000000"/>
          <w:kern w:val="0"/>
          <w:sz w:val="24"/>
          <w:lang w:bidi="ar"/>
        </w:rPr>
        <w:t>N-(1,3-二甲基丁基)-N'-苯基对苯二胺</w:t>
      </w:r>
      <w:r>
        <w:rPr>
          <w:rFonts w:hint="eastAsia"/>
          <w:color w:val="000000"/>
          <w:kern w:val="0"/>
          <w:sz w:val="24"/>
          <w:lang w:eastAsia="zh" w:bidi="ar"/>
        </w:rPr>
        <w:t>(</w:t>
      </w:r>
      <w:r>
        <w:rPr>
          <w:rFonts w:eastAsia="Arial"/>
          <w:color w:val="000000"/>
          <w:sz w:val="24"/>
          <w:shd w:val="clear" w:color="auto" w:fill="FFFFFF"/>
        </w:rPr>
        <w:t>N-(1,3-dimethylbutyl)-N'-phenyl-p-phenylenediamine</w:t>
      </w:r>
      <w:r>
        <w:rPr>
          <w:rFonts w:hint="eastAsia" w:eastAsia="Arial"/>
          <w:color w:val="000000"/>
          <w:sz w:val="24"/>
          <w:shd w:val="clear" w:color="auto" w:fill="FFFFFF"/>
          <w:lang w:eastAsia="zh"/>
        </w:rPr>
        <w:t>,6PPD)</w:t>
      </w:r>
      <w:r>
        <w:rPr>
          <w:rFonts w:hint="eastAsia"/>
          <w:color w:val="000000"/>
          <w:kern w:val="0"/>
          <w:sz w:val="24"/>
          <w:lang w:eastAsia="zh" w:bidi="ar"/>
        </w:rPr>
        <w:t>，常被用于轮胎生产工业。在轮胎的日常使用中，6PPD与大气环境中的氧基团与光发生氧化，生成醌类氧化产物</w:t>
      </w:r>
      <w:r>
        <w:rPr>
          <w:color w:val="000000"/>
          <w:kern w:val="0"/>
          <w:sz w:val="24"/>
          <w:lang w:bidi="ar"/>
        </w:rPr>
        <w:t>N-(1,3-二甲基丁基)-N'-苯基对苯醌二亚胺</w:t>
      </w:r>
      <w:r>
        <w:rPr>
          <w:color w:val="000000"/>
          <w:kern w:val="0"/>
          <w:sz w:val="24"/>
          <w:lang w:eastAsia="zh" w:bidi="ar"/>
        </w:rPr>
        <w:t>(</w:t>
      </w:r>
      <w:r>
        <w:rPr>
          <w:color w:val="000000"/>
          <w:sz w:val="24"/>
          <w:shd w:val="clear" w:color="auto" w:fill="FFFFFF"/>
        </w:rPr>
        <w:t>N-(1,3-dimethylbutyl)-N'-phenyl-p-benzoquinonediimine</w:t>
      </w:r>
      <w:r>
        <w:rPr>
          <w:color w:val="000000"/>
          <w:sz w:val="24"/>
          <w:shd w:val="clear" w:color="auto" w:fill="FFFFFF"/>
          <w:lang w:eastAsia="zh"/>
        </w:rPr>
        <w:t>,6PPDQ</w:t>
      </w:r>
      <w:r>
        <w:rPr>
          <w:rFonts w:hint="eastAsia"/>
          <w:color w:val="000000"/>
          <w:sz w:val="24"/>
          <w:shd w:val="clear" w:color="auto" w:fill="FFFFFF"/>
          <w:lang w:eastAsia="zh"/>
        </w:rPr>
        <w:t>)。在日常的磨损中，带有6PPD和6PPDQ的橡胶颗粒被排放进入进入自然环境中。因6PPD和6PPDQ在全球报道中的数据呈现报道密集，有效性数据少和重复数据多的情况，在此</w:t>
      </w:r>
      <w:r>
        <w:rPr>
          <w:color w:val="000000"/>
          <w:kern w:val="0"/>
          <w:sz w:val="24"/>
          <w:lang w:bidi="ar"/>
        </w:rPr>
        <w:t>针对新型环境污染物6PPD及其高毒性转化产物6PPDQ，构建了一套融合文献检索、数据筛选、文本挖掘与神经网络建模的全流程数据挖掘体系。</w:t>
      </w:r>
      <w:r>
        <w:rPr>
          <w:rFonts w:hint="eastAsia"/>
          <w:color w:val="000000"/>
          <w:kern w:val="0"/>
          <w:sz w:val="24"/>
          <w:lang w:eastAsia="zh" w:bidi="ar"/>
        </w:rPr>
        <w:t>在科学检索网站(WebofScience,WOS)中通过机器学习与文本挖掘的方式，对报道6PPD/Q在全球水体，生物体和沉积物中数据的文献进行汇编。文献有效率为2.4%(N=6360)。其中所涉及的神经网络(NeuralNetwork,NN)</w:t>
      </w:r>
      <w:r>
        <w:rPr>
          <w:color w:val="000000"/>
          <w:kern w:val="0"/>
          <w:sz w:val="24"/>
          <w:lang w:bidi="ar"/>
        </w:rPr>
        <w:t>识别准确率稳定在75%-85%</w:t>
      </w:r>
      <w:r>
        <w:rPr>
          <w:rFonts w:hint="eastAsia"/>
          <w:color w:val="000000"/>
          <w:kern w:val="0"/>
          <w:sz w:val="24"/>
          <w:lang w:eastAsia="zh" w:bidi="ar"/>
        </w:rPr>
        <w:t>。在污染物</w:t>
      </w:r>
      <w:r>
        <w:rPr>
          <w:color w:val="000000"/>
          <w:kern w:val="0"/>
          <w:sz w:val="24"/>
          <w:lang w:bidi="ar"/>
        </w:rPr>
        <w:t>地理</w:t>
      </w:r>
      <w:r>
        <w:rPr>
          <w:rFonts w:hint="eastAsia"/>
          <w:color w:val="000000"/>
          <w:kern w:val="0"/>
          <w:sz w:val="24"/>
          <w:lang w:eastAsia="zh" w:bidi="ar"/>
        </w:rPr>
        <w:t>汇编</w:t>
      </w:r>
      <w:r>
        <w:rPr>
          <w:color w:val="000000"/>
          <w:kern w:val="0"/>
          <w:sz w:val="24"/>
          <w:lang w:bidi="ar"/>
        </w:rPr>
        <w:t>分布上，污染物浓度呈现显著的“中纬度富集</w:t>
      </w:r>
      <w:r>
        <w:rPr>
          <w:color w:val="000000"/>
          <w:kern w:val="0"/>
          <w:sz w:val="24"/>
          <w:lang w:eastAsia="zh" w:bidi="ar"/>
        </w:rPr>
        <w:t>(</w:t>
      </w:r>
      <w:r>
        <w:rPr>
          <w:color w:val="000000"/>
          <w:sz w:val="24"/>
        </w:rPr>
        <w:t>Enrichmentinmid-latitudes</w:t>
      </w:r>
      <w:r>
        <w:rPr>
          <w:color w:val="000000"/>
          <w:sz w:val="24"/>
          <w:lang w:eastAsia="zh"/>
        </w:rPr>
        <w:t>,EM)</w:t>
      </w:r>
      <w:r>
        <w:rPr>
          <w:color w:val="000000"/>
          <w:kern w:val="0"/>
          <w:sz w:val="24"/>
          <w:lang w:bidi="ar"/>
        </w:rPr>
        <w:t>”现象，在北纬30°-45°区间形成高密度带，且与人口密度及交通强度呈正相关。介质分布上，</w:t>
      </w:r>
      <w:r>
        <w:rPr>
          <w:rFonts w:hint="eastAsia"/>
          <w:color w:val="000000"/>
          <w:kern w:val="0"/>
          <w:sz w:val="24"/>
          <w:lang w:eastAsia="zh" w:bidi="ar"/>
        </w:rPr>
        <w:t>报道信息的文献数据中水</w:t>
      </w:r>
      <w:r>
        <w:rPr>
          <w:color w:val="000000"/>
          <w:kern w:val="0"/>
          <w:sz w:val="24"/>
          <w:lang w:bidi="ar"/>
        </w:rPr>
        <w:t>相检出量占比最高</w:t>
      </w:r>
      <w:r>
        <w:rPr>
          <w:rFonts w:hint="eastAsia"/>
          <w:color w:val="000000"/>
          <w:kern w:val="0"/>
          <w:sz w:val="24"/>
          <w:lang w:eastAsia="zh" w:bidi="ar"/>
        </w:rPr>
        <w:t>(</w:t>
      </w:r>
      <w:r>
        <w:rPr>
          <w:color w:val="000000"/>
          <w:kern w:val="0"/>
          <w:sz w:val="24"/>
          <w:lang w:bidi="ar"/>
        </w:rPr>
        <w:t>50.0%</w:t>
      </w:r>
      <w:r>
        <w:rPr>
          <w:rFonts w:hint="eastAsia"/>
          <w:color w:val="000000"/>
          <w:kern w:val="0"/>
          <w:sz w:val="24"/>
          <w:lang w:eastAsia="zh" w:bidi="ar"/>
        </w:rPr>
        <w:t>)</w:t>
      </w:r>
      <w:r>
        <w:rPr>
          <w:color w:val="000000"/>
          <w:kern w:val="0"/>
          <w:sz w:val="24"/>
          <w:lang w:bidi="ar"/>
        </w:rPr>
        <w:t>，其次为</w:t>
      </w:r>
      <w:r>
        <w:rPr>
          <w:rFonts w:hint="eastAsia"/>
          <w:color w:val="000000"/>
          <w:kern w:val="0"/>
          <w:sz w:val="24"/>
          <w:lang w:eastAsia="zh" w:bidi="ar"/>
        </w:rPr>
        <w:t>沉积物</w:t>
      </w:r>
      <w:r>
        <w:rPr>
          <w:color w:val="000000"/>
          <w:kern w:val="0"/>
          <w:sz w:val="24"/>
          <w:lang w:bidi="ar"/>
        </w:rPr>
        <w:t>相</w:t>
      </w:r>
      <w:r>
        <w:rPr>
          <w:rFonts w:hint="eastAsia"/>
          <w:color w:val="000000"/>
          <w:kern w:val="0"/>
          <w:sz w:val="24"/>
          <w:lang w:eastAsia="zh" w:bidi="ar"/>
        </w:rPr>
        <w:t>(</w:t>
      </w:r>
      <w:r>
        <w:rPr>
          <w:color w:val="000000"/>
          <w:kern w:val="0"/>
          <w:sz w:val="24"/>
          <w:lang w:bidi="ar"/>
        </w:rPr>
        <w:t>33.0%</w:t>
      </w:r>
      <w:r>
        <w:rPr>
          <w:rFonts w:hint="eastAsia"/>
          <w:color w:val="000000"/>
          <w:kern w:val="0"/>
          <w:sz w:val="24"/>
          <w:lang w:eastAsia="zh" w:bidi="ar"/>
        </w:rPr>
        <w:t>)</w:t>
      </w:r>
      <w:r>
        <w:rPr>
          <w:color w:val="000000"/>
          <w:kern w:val="0"/>
          <w:sz w:val="24"/>
          <w:lang w:bidi="ar"/>
        </w:rPr>
        <w:t>和</w:t>
      </w:r>
      <w:r>
        <w:rPr>
          <w:rFonts w:hint="eastAsia"/>
          <w:color w:val="000000"/>
          <w:kern w:val="0"/>
          <w:sz w:val="24"/>
          <w:lang w:eastAsia="zh" w:bidi="ar"/>
        </w:rPr>
        <w:t>生物</w:t>
      </w:r>
      <w:r>
        <w:rPr>
          <w:color w:val="000000"/>
          <w:kern w:val="0"/>
          <w:sz w:val="24"/>
          <w:lang w:bidi="ar"/>
        </w:rPr>
        <w:t>相</w:t>
      </w:r>
      <w:r>
        <w:rPr>
          <w:rFonts w:hint="eastAsia"/>
          <w:color w:val="000000"/>
          <w:kern w:val="0"/>
          <w:sz w:val="24"/>
          <w:lang w:eastAsia="zh" w:bidi="ar"/>
        </w:rPr>
        <w:t>(</w:t>
      </w:r>
      <w:r>
        <w:rPr>
          <w:color w:val="000000"/>
          <w:kern w:val="0"/>
          <w:sz w:val="24"/>
          <w:lang w:bidi="ar"/>
        </w:rPr>
        <w:t>17.0%</w:t>
      </w:r>
      <w:r>
        <w:rPr>
          <w:rFonts w:hint="eastAsia"/>
          <w:color w:val="000000"/>
          <w:kern w:val="0"/>
          <w:sz w:val="24"/>
          <w:lang w:eastAsia="zh" w:bidi="ar"/>
        </w:rPr>
        <w:t>)</w:t>
      </w:r>
      <w:r>
        <w:rPr>
          <w:color w:val="000000"/>
          <w:kern w:val="0"/>
          <w:sz w:val="24"/>
          <w:lang w:bidi="ar"/>
        </w:rPr>
        <w:t>。</w:t>
      </w:r>
      <w:r>
        <w:rPr>
          <w:rFonts w:hint="eastAsia"/>
          <w:color w:val="000000"/>
          <w:kern w:val="0"/>
          <w:sz w:val="24"/>
          <w:lang w:eastAsia="zh" w:bidi="ar"/>
        </w:rPr>
        <w:t>最终</w:t>
      </w:r>
      <w:r>
        <w:rPr>
          <w:color w:val="000000"/>
          <w:kern w:val="0"/>
          <w:sz w:val="24"/>
          <w:lang w:bidi="ar"/>
        </w:rPr>
        <w:t>通过大规模</w:t>
      </w:r>
      <w:r>
        <w:rPr>
          <w:rFonts w:hint="eastAsia"/>
          <w:color w:val="000000"/>
          <w:kern w:val="0"/>
          <w:sz w:val="24"/>
          <w:lang w:eastAsia="zh" w:bidi="ar"/>
        </w:rPr>
        <w:t>地理浓度信息的</w:t>
      </w:r>
      <w:r>
        <w:rPr>
          <w:color w:val="000000"/>
          <w:kern w:val="0"/>
          <w:sz w:val="24"/>
          <w:lang w:bidi="ar"/>
        </w:rPr>
        <w:t>数据汇编</w:t>
      </w:r>
      <w:r>
        <w:rPr>
          <w:rFonts w:hint="eastAsia"/>
          <w:color w:val="000000"/>
          <w:kern w:val="0"/>
          <w:sz w:val="24"/>
          <w:lang w:eastAsia="zh" w:bidi="ar"/>
        </w:rPr>
        <w:t>，绘制地区浓度热图</w:t>
      </w:r>
      <w:r>
        <w:rPr>
          <w:color w:val="000000"/>
          <w:kern w:val="0"/>
          <w:sz w:val="24"/>
          <w:lang w:bidi="ar"/>
        </w:rPr>
        <w:t>，为该类污染物的生态风险评估</w:t>
      </w:r>
      <w:r>
        <w:rPr>
          <w:rFonts w:hint="eastAsia"/>
          <w:color w:val="000000"/>
          <w:kern w:val="0"/>
          <w:sz w:val="24"/>
          <w:lang w:eastAsia="zh" w:bidi="ar"/>
        </w:rPr>
        <w:t>与法规的指定出台</w:t>
      </w:r>
      <w:r>
        <w:rPr>
          <w:color w:val="000000"/>
          <w:kern w:val="0"/>
          <w:sz w:val="24"/>
          <w:lang w:bidi="ar"/>
        </w:rPr>
        <w:t>提供了坚实的数据支撑。</w:t>
      </w:r>
    </w:p>
    <w:p w14:paraId="20B7382E">
      <w:pPr>
        <w:spacing w:before="240" w:after="180" w:line="360" w:lineRule="auto"/>
        <w:jc w:val="left"/>
        <w:rPr>
          <w:b/>
          <w:bCs/>
          <w:sz w:val="28"/>
          <w:szCs w:val="28"/>
          <w:lang w:eastAsia="zh"/>
        </w:rPr>
        <w:sectPr>
          <w:headerReference r:id="rId5" w:type="default"/>
          <w:footerReference r:id="rId7" w:type="default"/>
          <w:headerReference r:id="rId6" w:type="even"/>
          <w:footerReference r:id="rId8" w:type="even"/>
          <w:pgSz w:w="11906" w:h="16838"/>
          <w:pgMar w:top="1417" w:right="1134" w:bottom="1417" w:left="1701" w:header="851" w:footer="992" w:gutter="0"/>
          <w:pgNumType w:fmt="upperRoman" w:start="1"/>
          <w:cols w:space="720" w:num="1"/>
          <w:docGrid w:linePitch="312" w:charSpace="0"/>
        </w:sectPr>
      </w:pPr>
      <w:r>
        <w:rPr>
          <w:rFonts w:ascii="宋体" w:hAnsi="宋体"/>
          <w:b/>
          <w:bCs/>
          <w:sz w:val="24"/>
        </w:rPr>
        <w:t>关键词：</w:t>
      </w:r>
      <w:r>
        <w:rPr>
          <w:color w:val="000000"/>
          <w:kern w:val="0"/>
          <w:sz w:val="24"/>
          <w:lang w:bidi="ar"/>
        </w:rPr>
        <w:t>N-(1,3-二甲基丁基)-N'-苯基对苯二胺</w:t>
      </w:r>
      <w:r>
        <w:rPr>
          <w:rFonts w:hint="eastAsia"/>
          <w:color w:val="000000"/>
          <w:kern w:val="0"/>
          <w:sz w:val="24"/>
          <w:lang w:bidi="ar"/>
        </w:rPr>
        <w:t>；</w:t>
      </w:r>
      <w:r>
        <w:rPr>
          <w:color w:val="000000"/>
          <w:kern w:val="0"/>
          <w:sz w:val="24"/>
          <w:lang w:bidi="ar"/>
        </w:rPr>
        <w:t>N-(1,3-二甲基丁基)-N'-苯基对苯醌二亚胺</w:t>
      </w:r>
      <w:r>
        <w:rPr>
          <w:rFonts w:hint="eastAsia" w:ascii="宋体" w:hAnsi="宋体" w:cs="宋体"/>
          <w:color w:val="000000"/>
          <w:sz w:val="24"/>
        </w:rPr>
        <w:t>；全球</w:t>
      </w:r>
      <w:r>
        <w:rPr>
          <w:rFonts w:hint="eastAsia" w:ascii="宋体" w:hAnsi="宋体" w:cs="宋体"/>
          <w:color w:val="000000"/>
          <w:sz w:val="24"/>
          <w:lang w:eastAsia="zh"/>
        </w:rPr>
        <w:t>水体</w:t>
      </w:r>
      <w:r>
        <w:rPr>
          <w:rFonts w:hint="eastAsia" w:ascii="宋体" w:hAnsi="宋体" w:cs="宋体"/>
          <w:color w:val="000000"/>
          <w:sz w:val="24"/>
        </w:rPr>
        <w:t>环境</w:t>
      </w:r>
      <w:r>
        <w:rPr>
          <w:rFonts w:hint="eastAsia" w:ascii="宋体" w:hAnsi="宋体" w:cs="宋体"/>
          <w:color w:val="000000"/>
          <w:sz w:val="24"/>
          <w:lang w:eastAsia="zh"/>
        </w:rPr>
        <w:t>分布</w:t>
      </w:r>
      <w:r>
        <w:rPr>
          <w:rFonts w:hint="eastAsia" w:ascii="宋体" w:hAnsi="宋体" w:cs="宋体"/>
          <w:color w:val="000000"/>
          <w:sz w:val="24"/>
        </w:rPr>
        <w:t>；</w:t>
      </w:r>
      <w:r>
        <w:rPr>
          <w:rFonts w:hint="eastAsia" w:ascii="宋体" w:hAnsi="宋体" w:cs="宋体"/>
          <w:color w:val="000000"/>
          <w:sz w:val="24"/>
          <w:lang w:eastAsia="zh"/>
        </w:rPr>
        <w:t>文本挖掘</w:t>
      </w:r>
    </w:p>
    <w:p w14:paraId="3DCD9986">
      <w:pPr>
        <w:spacing w:before="480" w:after="360"/>
        <w:jc w:val="center"/>
        <w:rPr>
          <w:rFonts w:hint="eastAsia"/>
          <w:b/>
          <w:bCs/>
          <w:sz w:val="28"/>
          <w:szCs w:val="28"/>
        </w:rPr>
      </w:pPr>
      <w:r>
        <w:fldChar w:fldCharType="begin"/>
      </w:r>
      <w:r>
        <w:instrText xml:space="preserve"> HYPERLINK "abstract" </w:instrText>
      </w:r>
      <w:r>
        <w:fldChar w:fldCharType="separate"/>
      </w:r>
      <w:r>
        <w:rPr>
          <w:rStyle w:val="26"/>
          <w:b/>
          <w:bCs/>
          <w:sz w:val="28"/>
          <w:szCs w:val="28"/>
        </w:rPr>
        <w:t>ABSTRACT</w:t>
      </w:r>
      <w:r>
        <w:rPr>
          <w:rStyle w:val="26"/>
          <w:b/>
          <w:bCs/>
          <w:sz w:val="28"/>
          <w:szCs w:val="28"/>
        </w:rPr>
        <w:fldChar w:fldCharType="end"/>
      </w:r>
    </w:p>
    <w:p w14:paraId="5738B0E7">
      <w:pPr>
        <w:widowControl/>
        <w:spacing w:line="360" w:lineRule="atLeast"/>
        <w:rPr>
          <w:sz w:val="24"/>
        </w:rPr>
      </w:pPr>
      <w:r>
        <w:rPr>
          <w:rFonts w:hint="eastAsia"/>
          <w:sz w:val="24"/>
        </w:rPr>
        <w:t>The rubber antioxidant additive N-(1,3-dimethylbutyl)-N'-phenyl-p-phenylenediamine (6PPD) is widely used in the tire manufacturing industry. During routine tire use, 6PPD undergoes oxidation reactions with oxygen radicals and light in the atmosphere, forming the quinone oxidation product N-(1,3-dimethylbutyl)-N'-phenyl-p-benzoquinonediimine (6PPDQ). Through daily tire wear, rubber particles containing 6PPD and 6PPDQ are released into the natural environment. Given that global reported data on 6PPD and 6PPDQ are characterized by dense coverage, scarce valid records, and a high proportion of duplicated data, a full-process data mining framework integrating literature retrieval, data screening, text mining, and neural network modeling was constructed for the emerging environmental contaminant 6PPD and its highly toxic transformation product 6PPDQ. Using machine learning and text mining approaches, studies reporting concentrations of 6PPD/Q in global water bodies, organisms, and sediments were compiled from the scientific database Web of Science (WOS). The effective literature rate was 2.4% (N=6360), and the recognition accuracy of the involved neural network (NN) remained stable at 75%–85%. Regarding the geographical distribution of the contaminants, their concentrations exhibited a distinct Enrichment in Mid-latitudes (EM) pattern, forming a high-concentration zone within the latitude range of 30°N–45°N, which was positively correlated with population density and traffic intensity. In terms of environmental medium distribution, water samples accounted for the highest proportion (50.0%) of reported detections in the literature data, followed by sediment (33.0%) and biota (17.0%). Ultimately, regional concentration heatmaps were generated based on the large-scale compilation of geospatial concentration data, providing robust data support for the ecological risk assessment and regulatory formulation of this class of contaminants.</w:t>
      </w:r>
    </w:p>
    <w:p w14:paraId="34E75FBE">
      <w:pPr>
        <w:widowControl/>
        <w:spacing w:line="360" w:lineRule="atLeast"/>
        <w:rPr>
          <w:sz w:val="24"/>
        </w:rPr>
      </w:pPr>
      <w:r>
        <w:rPr>
          <w:rFonts w:hint="eastAsia"/>
          <w:sz w:val="24"/>
        </w:rPr>
        <w:t>Key Words: N-(1,3-dimethylbutyl)-N'-phenyl-p-phenylenediamine (6PPD); N-(1,3-dimethylbutyl)-N'-phenyl-p-benzoquinonediimine (6PPDQ/6PPD-quinone); global aquatic environmental distribution; text mining</w:t>
      </w:r>
    </w:p>
    <w:p w14:paraId="292017F9">
      <w:pPr>
        <w:widowControl/>
        <w:spacing w:line="360" w:lineRule="atLeast"/>
        <w:rPr>
          <w:sz w:val="24"/>
        </w:rPr>
        <w:sectPr>
          <w:headerReference r:id="rId9" w:type="default"/>
          <w:footerReference r:id="rId11" w:type="default"/>
          <w:headerReference r:id="rId10" w:type="even"/>
          <w:footerReference r:id="rId12" w:type="even"/>
          <w:pgSz w:w="11906" w:h="16838"/>
          <w:pgMar w:top="1440" w:right="1797" w:bottom="1440" w:left="1797" w:header="851" w:footer="992" w:gutter="0"/>
          <w:pgNumType w:fmt="upperRoman"/>
          <w:cols w:space="720" w:num="1"/>
          <w:docGrid w:linePitch="312" w:charSpace="0"/>
        </w:sectPr>
      </w:pPr>
    </w:p>
    <w:p w14:paraId="69CDE56F">
      <w:pPr>
        <w:spacing w:before="480" w:after="360"/>
        <w:jc w:val="center"/>
        <w:rPr>
          <w:rFonts w:eastAsia="黑体"/>
          <w:b/>
          <w:sz w:val="28"/>
          <w:szCs w:val="28"/>
        </w:rPr>
      </w:pPr>
      <w:r>
        <w:rPr>
          <w:rFonts w:eastAsia="仿宋_GB2312"/>
          <w:b/>
          <w:sz w:val="28"/>
          <w:szCs w:val="28"/>
        </w:rPr>
        <mc:AlternateContent>
          <mc:Choice Requires="wps">
            <w:drawing>
              <wp:anchor distT="0" distB="0" distL="114300" distR="114300" simplePos="0" relativeHeight="251659264" behindDoc="0" locked="0" layoutInCell="1" allowOverlap="1">
                <wp:simplePos x="0" y="0"/>
                <wp:positionH relativeFrom="column">
                  <wp:posOffset>3447415</wp:posOffset>
                </wp:positionH>
                <wp:positionV relativeFrom="paragraph">
                  <wp:posOffset>-7627620</wp:posOffset>
                </wp:positionV>
                <wp:extent cx="914400" cy="609600"/>
                <wp:effectExtent l="1680210" t="0" r="8890" b="596900"/>
                <wp:wrapNone/>
                <wp:docPr id="17" name="自选图形 33"/>
                <wp:cNvGraphicFramePr/>
                <a:graphic xmlns:a="http://schemas.openxmlformats.org/drawingml/2006/main">
                  <a:graphicData uri="http://schemas.microsoft.com/office/word/2010/wordprocessingShape">
                    <wps:wsp>
                      <wps:cNvSpPr/>
                      <wps:spPr>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cap="flat" cmpd="sng">
                          <a:solidFill>
                            <a:srgbClr val="000000"/>
                          </a:solidFill>
                          <a:prstDash val="solid"/>
                          <a:miter/>
                          <a:headEnd type="none" w="med" len="med"/>
                          <a:tailEnd type="none" w="med" len="med"/>
                        </a:ln>
                      </wps:spPr>
                      <wps:txbx>
                        <w:txbxContent>
                          <w:p w14:paraId="623257B1"/>
                        </w:txbxContent>
                      </wps:txbx>
                      <wps:bodyPr wrap="square" upright="1"/>
                    </wps:wsp>
                  </a:graphicData>
                </a:graphic>
              </wp:anchor>
            </w:drawing>
          </mc:Choice>
          <mc:Fallback>
            <w:pict>
              <v:shape id="自选图形 33" o:spid="_x0000_s1026" o:spt="45" type="#_x0000_t45" style="position:absolute;left:0pt;margin-left:271.45pt;margin-top:-600.6pt;height:48pt;width:72pt;z-index:251659264;mso-width-relative:page;mso-height-relative:page;" fillcolor="#FFFFFF" filled="t" stroked="t" coordsize="21600,21600" o:gfxdata="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1YwSz9wAAAAPAQAADwAAAAAAAAABACAAAAAiAAAAZHJzL2Rvd25yZXYu&#10;eG1sUEsBAhQAFAAAAAgAh07iQPU7wsZpAgAALQUAAA4AAAAAAAAAAQAgAAAAKwEAAGRycy9lMm9E&#10;b2MueG1sUEsFBgAAAAAGAAYAWQEAAAYGAAAAAA==&#10;" adj="-39600,42660,-20565,4050,-1800,4050">
                <v:fill on="t" focussize="0,0"/>
                <v:stroke color="#000000" joinstyle="miter"/>
                <v:imagedata o:title=""/>
                <o:lock v:ext="edit" aspectratio="f"/>
                <v:textbox>
                  <w:txbxContent>
                    <w:p w14:paraId="623257B1"/>
                  </w:txbxContent>
                </v:textbox>
              </v:shape>
            </w:pict>
          </mc:Fallback>
        </mc:AlternateContent>
      </w:r>
      <w:r>
        <w:rPr>
          <w:rFonts w:eastAsia="黑体"/>
          <w:b/>
          <w:sz w:val="28"/>
          <w:szCs w:val="28"/>
        </w:rPr>
        <w:t>目录</w:t>
      </w:r>
    </w:p>
    <w:p w14:paraId="1AE7D268">
      <w:pPr>
        <w:tabs>
          <w:tab w:val="right" w:leader="dot" w:pos="7980"/>
          <w:tab w:val="right" w:leader="dot" w:pos="8296"/>
        </w:tabs>
        <w:spacing w:before="120"/>
        <w:jc w:val="left"/>
        <w:rPr>
          <w:rFonts w:eastAsia="等线"/>
          <w:szCs w:val="22"/>
        </w:rPr>
      </w:pPr>
      <w:r>
        <w:fldChar w:fldCharType="begin"/>
      </w:r>
      <w:r>
        <w:instrText xml:space="preserve"> HYPERLINK \l "_Toc38568576" </w:instrText>
      </w:r>
      <w:r>
        <w:fldChar w:fldCharType="separate"/>
      </w:r>
      <w:r>
        <w:rPr>
          <w:rFonts w:eastAsia="黑体"/>
          <w:color w:val="000000"/>
          <w:sz w:val="28"/>
          <w:szCs w:val="22"/>
        </w:rPr>
        <w:t>摘要</w:t>
      </w:r>
      <w:r>
        <w:rPr>
          <w:rFonts w:hint="eastAsia" w:eastAsia="黑体"/>
          <w:color w:val="000000"/>
          <w:sz w:val="28"/>
          <w:szCs w:val="22"/>
        </w:rPr>
        <w:tab/>
      </w:r>
      <w:r>
        <w:rPr>
          <w:rFonts w:hint="eastAsia" w:eastAsia="黑体"/>
          <w:color w:val="000000"/>
          <w:sz w:val="28"/>
          <w:szCs w:val="22"/>
        </w:rPr>
        <w:fldChar w:fldCharType="end"/>
      </w:r>
      <w:r>
        <w:rPr>
          <w:rFonts w:eastAsia="黑体"/>
          <w:sz w:val="28"/>
          <w:szCs w:val="22"/>
        </w:rPr>
        <w:t>Ⅰ</w:t>
      </w:r>
    </w:p>
    <w:p w14:paraId="4A7F95A8">
      <w:pPr>
        <w:tabs>
          <w:tab w:val="right" w:leader="dot" w:pos="7980"/>
          <w:tab w:val="right" w:leader="dot" w:pos="8296"/>
        </w:tabs>
        <w:spacing w:before="120"/>
        <w:jc w:val="left"/>
        <w:rPr>
          <w:rFonts w:eastAsia="黑体"/>
          <w:szCs w:val="22"/>
        </w:rPr>
      </w:pPr>
      <w:r>
        <w:fldChar w:fldCharType="begin"/>
      </w:r>
      <w:r>
        <w:instrText xml:space="preserve"> HYPERLINK \l "_Toc38568577" </w:instrText>
      </w:r>
      <w:r>
        <w:fldChar w:fldCharType="separate"/>
      </w:r>
      <w:r>
        <w:rPr>
          <w:rFonts w:eastAsia="黑体"/>
          <w:b/>
          <w:bCs/>
          <w:color w:val="000000"/>
          <w:kern w:val="44"/>
          <w:sz w:val="28"/>
          <w:szCs w:val="22"/>
        </w:rPr>
        <w:t>ABSTRACT</w:t>
      </w:r>
      <w:r>
        <w:rPr>
          <w:rFonts w:hint="eastAsia" w:eastAsia="黑体"/>
          <w:color w:val="000000"/>
          <w:kern w:val="44"/>
          <w:sz w:val="28"/>
          <w:szCs w:val="22"/>
        </w:rPr>
        <w:tab/>
      </w:r>
      <w:r>
        <w:rPr>
          <w:rFonts w:hint="eastAsia" w:eastAsia="黑体"/>
          <w:sz w:val="28"/>
          <w:szCs w:val="22"/>
        </w:rPr>
        <w:t>I</w:t>
      </w:r>
      <w:r>
        <w:rPr>
          <w:rFonts w:hint="eastAsia" w:eastAsia="黑体"/>
          <w:sz w:val="28"/>
          <w:szCs w:val="22"/>
        </w:rPr>
        <w:fldChar w:fldCharType="end"/>
      </w:r>
      <w:r>
        <w:rPr>
          <w:rFonts w:hint="eastAsia" w:eastAsia="黑体"/>
          <w:sz w:val="28"/>
          <w:szCs w:val="22"/>
        </w:rPr>
        <w:t>I</w:t>
      </w:r>
    </w:p>
    <w:p w14:paraId="1B9D1883">
      <w:pPr>
        <w:tabs>
          <w:tab w:val="right" w:leader="dot" w:pos="7980"/>
          <w:tab w:val="right" w:leader="dot" w:pos="8296"/>
        </w:tabs>
        <w:spacing w:before="120"/>
        <w:jc w:val="left"/>
        <w:rPr>
          <w:rFonts w:eastAsia="黑体"/>
          <w:sz w:val="28"/>
          <w:szCs w:val="28"/>
        </w:rPr>
      </w:pPr>
      <w:r>
        <w:rPr>
          <w:rFonts w:eastAsia="黑体"/>
          <w:sz w:val="28"/>
          <w:szCs w:val="28"/>
        </w:rPr>
        <w:t>第1章</w:t>
      </w:r>
      <w:r>
        <w:rPr>
          <w:rFonts w:hint="eastAsia" w:eastAsia="黑体"/>
          <w:sz w:val="28"/>
          <w:szCs w:val="28"/>
        </w:rPr>
        <w:t xml:space="preserve"> 绪论</w:t>
      </w:r>
      <w:r>
        <w:rPr>
          <w:rFonts w:hint="eastAsia" w:eastAsia="黑体"/>
          <w:sz w:val="28"/>
          <w:szCs w:val="28"/>
        </w:rPr>
        <w:tab/>
      </w:r>
      <w:r>
        <w:rPr>
          <w:rFonts w:eastAsia="黑体"/>
          <w:sz w:val="24"/>
        </w:rPr>
        <w:t>1</w:t>
      </w:r>
    </w:p>
    <w:p w14:paraId="74C22231">
      <w:pPr>
        <w:tabs>
          <w:tab w:val="right" w:leader="dot" w:pos="7980"/>
          <w:tab w:val="right" w:leader="dot" w:pos="8296"/>
        </w:tabs>
        <w:spacing w:before="120"/>
        <w:ind w:right="165" w:rightChars="79" w:firstLine="240" w:firstLineChars="100"/>
        <w:jc w:val="left"/>
        <w:rPr>
          <w:rFonts w:eastAsia="黑体"/>
          <w:sz w:val="24"/>
        </w:rPr>
      </w:pPr>
      <w:r>
        <w:rPr>
          <w:rFonts w:eastAsia="黑体"/>
          <w:sz w:val="24"/>
        </w:rPr>
        <w:t>1.1</w:t>
      </w:r>
      <w:r>
        <w:rPr>
          <w:rFonts w:hint="eastAsia" w:eastAsia="黑体"/>
          <w:sz w:val="24"/>
        </w:rPr>
        <w:t xml:space="preserve"> 研究背景</w:t>
      </w:r>
      <w:r>
        <w:rPr>
          <w:rFonts w:hint="eastAsia" w:eastAsia="黑体"/>
          <w:sz w:val="24"/>
          <w:lang w:eastAsia="zh"/>
        </w:rPr>
        <w:t>与意义</w:t>
      </w:r>
      <w:r>
        <w:rPr>
          <w:rFonts w:hint="eastAsia" w:eastAsia="黑体"/>
          <w:sz w:val="24"/>
        </w:rPr>
        <w:tab/>
      </w:r>
      <w:r>
        <w:rPr>
          <w:rFonts w:eastAsia="黑体"/>
          <w:sz w:val="24"/>
        </w:rPr>
        <w:t>1</w:t>
      </w:r>
    </w:p>
    <w:p w14:paraId="7EC3C713">
      <w:pPr>
        <w:tabs>
          <w:tab w:val="right" w:leader="dot" w:pos="7980"/>
          <w:tab w:val="right" w:leader="dot" w:pos="8296"/>
        </w:tabs>
        <w:spacing w:before="120"/>
        <w:ind w:right="165" w:rightChars="79" w:firstLine="240" w:firstLineChars="100"/>
        <w:jc w:val="left"/>
        <w:rPr>
          <w:rFonts w:eastAsia="黑体"/>
          <w:sz w:val="24"/>
        </w:rPr>
      </w:pPr>
      <w:r>
        <w:rPr>
          <w:rFonts w:eastAsia="黑体"/>
          <w:sz w:val="24"/>
        </w:rPr>
        <w:t>1.2</w:t>
      </w:r>
      <w:r>
        <w:rPr>
          <w:rFonts w:hint="eastAsia" w:eastAsia="黑体"/>
          <w:sz w:val="24"/>
        </w:rPr>
        <w:t xml:space="preserve"> 研究目标与技术路线</w:t>
      </w:r>
      <w:r>
        <w:rPr>
          <w:rFonts w:hint="eastAsia" w:eastAsia="黑体"/>
          <w:sz w:val="24"/>
        </w:rPr>
        <w:tab/>
      </w:r>
      <w:r>
        <w:rPr>
          <w:rFonts w:hint="eastAsia" w:eastAsia="黑体"/>
          <w:sz w:val="24"/>
        </w:rPr>
        <w:t>3</w:t>
      </w:r>
    </w:p>
    <w:p w14:paraId="160FEB95">
      <w:pPr>
        <w:tabs>
          <w:tab w:val="right" w:leader="dot" w:pos="7980"/>
          <w:tab w:val="right" w:leader="dot" w:pos="8296"/>
        </w:tabs>
        <w:spacing w:before="120"/>
        <w:ind w:right="165" w:rightChars="79" w:firstLine="480" w:firstLineChars="200"/>
        <w:jc w:val="left"/>
        <w:rPr>
          <w:rFonts w:hint="eastAsia" w:eastAsia="黑体"/>
          <w:sz w:val="24"/>
        </w:rPr>
      </w:pPr>
      <w:r>
        <w:rPr>
          <w:rFonts w:eastAsia="黑体"/>
          <w:sz w:val="24"/>
        </w:rPr>
        <w:t>1.2</w:t>
      </w:r>
      <w:r>
        <w:rPr>
          <w:rFonts w:hint="eastAsia" w:eastAsia="黑体"/>
          <w:sz w:val="24"/>
        </w:rPr>
        <w:t>.1 文献检索与初筛流程（A1）</w:t>
      </w:r>
      <w:r>
        <w:rPr>
          <w:rFonts w:hint="eastAsia" w:eastAsia="黑体"/>
          <w:sz w:val="24"/>
        </w:rPr>
        <w:tab/>
      </w:r>
      <w:r>
        <w:rPr>
          <w:rFonts w:hint="eastAsia" w:eastAsia="黑体"/>
          <w:sz w:val="24"/>
        </w:rPr>
        <w:t>3</w:t>
      </w:r>
    </w:p>
    <w:p w14:paraId="7BCD6E3E">
      <w:pPr>
        <w:tabs>
          <w:tab w:val="right" w:leader="dot" w:pos="7980"/>
          <w:tab w:val="right" w:leader="dot" w:pos="8296"/>
        </w:tabs>
        <w:spacing w:before="120"/>
        <w:ind w:right="165" w:rightChars="79" w:firstLine="480" w:firstLineChars="200"/>
        <w:jc w:val="left"/>
        <w:rPr>
          <w:rFonts w:hint="eastAsia" w:eastAsia="黑体"/>
          <w:sz w:val="24"/>
        </w:rPr>
      </w:pPr>
      <w:r>
        <w:rPr>
          <w:rFonts w:eastAsia="黑体"/>
          <w:sz w:val="24"/>
        </w:rPr>
        <w:t>1.2</w:t>
      </w:r>
      <w:r>
        <w:rPr>
          <w:rFonts w:hint="eastAsia" w:eastAsia="黑体"/>
          <w:sz w:val="24"/>
        </w:rPr>
        <w:t>.2 布尔检索与WOS文献预处理（B1+B2）</w:t>
      </w:r>
      <w:r>
        <w:rPr>
          <w:rFonts w:hint="eastAsia" w:eastAsia="黑体"/>
          <w:sz w:val="24"/>
        </w:rPr>
        <w:tab/>
      </w:r>
      <w:r>
        <w:rPr>
          <w:rFonts w:hint="eastAsia" w:eastAsia="黑体"/>
          <w:sz w:val="24"/>
        </w:rPr>
        <w:t>3</w:t>
      </w:r>
    </w:p>
    <w:p w14:paraId="130B4CCB">
      <w:pPr>
        <w:tabs>
          <w:tab w:val="right" w:leader="dot" w:pos="7980"/>
          <w:tab w:val="right" w:leader="dot" w:pos="8296"/>
        </w:tabs>
        <w:spacing w:before="120"/>
        <w:ind w:right="165" w:rightChars="79" w:firstLine="480" w:firstLineChars="200"/>
        <w:jc w:val="left"/>
        <w:rPr>
          <w:rFonts w:hint="eastAsia" w:eastAsia="黑体"/>
          <w:sz w:val="24"/>
        </w:rPr>
      </w:pPr>
      <w:r>
        <w:rPr>
          <w:rFonts w:eastAsia="黑体"/>
          <w:sz w:val="24"/>
        </w:rPr>
        <w:t>1.2</w:t>
      </w:r>
      <w:r>
        <w:rPr>
          <w:rFonts w:hint="eastAsia" w:eastAsia="黑体"/>
          <w:sz w:val="24"/>
        </w:rPr>
        <w:t>.3 文本神经网络模型的选型与构建（D1）</w:t>
      </w:r>
      <w:r>
        <w:rPr>
          <w:rFonts w:hint="eastAsia" w:eastAsia="黑体"/>
          <w:sz w:val="24"/>
        </w:rPr>
        <w:tab/>
      </w:r>
      <w:r>
        <w:rPr>
          <w:rFonts w:hint="eastAsia" w:eastAsia="黑体"/>
          <w:sz w:val="24"/>
        </w:rPr>
        <w:t>3</w:t>
      </w:r>
    </w:p>
    <w:p w14:paraId="338DBC6C">
      <w:pPr>
        <w:tabs>
          <w:tab w:val="right" w:leader="dot" w:pos="7980"/>
          <w:tab w:val="right" w:leader="dot" w:pos="8296"/>
        </w:tabs>
        <w:spacing w:before="120"/>
        <w:ind w:right="165" w:rightChars="79" w:firstLine="480" w:firstLineChars="200"/>
        <w:jc w:val="left"/>
        <w:rPr>
          <w:rFonts w:eastAsia="黑体"/>
          <w:sz w:val="24"/>
        </w:rPr>
      </w:pPr>
      <w:r>
        <w:rPr>
          <w:rFonts w:eastAsia="黑体"/>
          <w:sz w:val="24"/>
        </w:rPr>
        <w:t>1.2</w:t>
      </w:r>
      <w:r>
        <w:rPr>
          <w:rFonts w:hint="eastAsia" w:eastAsia="黑体"/>
          <w:sz w:val="24"/>
        </w:rPr>
        <w:t>.4 文本关键簇类实验（D2）</w:t>
      </w:r>
      <w:r>
        <w:rPr>
          <w:rFonts w:hint="eastAsia" w:eastAsia="黑体"/>
          <w:sz w:val="24"/>
        </w:rPr>
        <w:tab/>
      </w:r>
      <w:r>
        <w:rPr>
          <w:rFonts w:hint="eastAsia" w:eastAsia="黑体"/>
          <w:sz w:val="24"/>
        </w:rPr>
        <w:t>3</w:t>
      </w:r>
    </w:p>
    <w:p w14:paraId="6F74350B">
      <w:pPr>
        <w:tabs>
          <w:tab w:val="right" w:leader="dot" w:pos="7980"/>
          <w:tab w:val="right" w:leader="dot" w:pos="8296"/>
        </w:tabs>
        <w:spacing w:before="120"/>
        <w:ind w:right="165" w:rightChars="79" w:firstLine="480" w:firstLineChars="200"/>
        <w:jc w:val="left"/>
        <w:rPr>
          <w:rFonts w:hint="eastAsia" w:eastAsia="黑体"/>
          <w:sz w:val="24"/>
        </w:rPr>
      </w:pPr>
      <w:r>
        <w:rPr>
          <w:rFonts w:eastAsia="黑体"/>
          <w:sz w:val="24"/>
        </w:rPr>
        <w:t>1.2</w:t>
      </w:r>
      <w:r>
        <w:rPr>
          <w:rFonts w:hint="eastAsia" w:eastAsia="黑体"/>
          <w:sz w:val="24"/>
        </w:rPr>
        <w:t>.5 依托Python程序文本批量读取（D3）</w:t>
      </w:r>
      <w:r>
        <w:rPr>
          <w:rFonts w:hint="eastAsia" w:eastAsia="黑体"/>
          <w:sz w:val="24"/>
        </w:rPr>
        <w:tab/>
      </w:r>
      <w:r>
        <w:rPr>
          <w:rFonts w:hint="eastAsia" w:eastAsia="黑体"/>
          <w:sz w:val="24"/>
        </w:rPr>
        <w:t>3</w:t>
      </w:r>
    </w:p>
    <w:p w14:paraId="15D00EA3">
      <w:pPr>
        <w:tabs>
          <w:tab w:val="right" w:leader="dot" w:pos="7980"/>
          <w:tab w:val="right" w:leader="dot" w:pos="8296"/>
        </w:tabs>
        <w:spacing w:before="120"/>
        <w:ind w:right="165" w:rightChars="79"/>
        <w:jc w:val="left"/>
        <w:rPr>
          <w:rFonts w:hint="eastAsia" w:eastAsia="黑体"/>
          <w:sz w:val="28"/>
          <w:szCs w:val="28"/>
        </w:rPr>
      </w:pPr>
      <w:r>
        <w:rPr>
          <w:rFonts w:eastAsia="黑体"/>
          <w:sz w:val="28"/>
          <w:szCs w:val="28"/>
        </w:rPr>
        <w:t>第</w:t>
      </w:r>
      <w:r>
        <w:rPr>
          <w:rFonts w:hint="eastAsia" w:eastAsia="黑体"/>
          <w:sz w:val="28"/>
          <w:szCs w:val="28"/>
        </w:rPr>
        <w:t>2</w:t>
      </w:r>
      <w:r>
        <w:rPr>
          <w:rFonts w:eastAsia="黑体"/>
          <w:sz w:val="28"/>
          <w:szCs w:val="28"/>
        </w:rPr>
        <w:t>章</w:t>
      </w:r>
      <w:r>
        <w:rPr>
          <w:rFonts w:hint="eastAsia" w:eastAsia="黑体"/>
          <w:sz w:val="28"/>
          <w:szCs w:val="28"/>
        </w:rPr>
        <w:t xml:space="preserve"> 结果与讨论</w:t>
      </w:r>
      <w:r>
        <w:rPr>
          <w:rFonts w:hint="eastAsia" w:eastAsia="黑体"/>
          <w:sz w:val="28"/>
          <w:szCs w:val="28"/>
        </w:rPr>
        <w:tab/>
      </w:r>
      <w:r>
        <w:rPr>
          <w:rFonts w:hint="eastAsia" w:eastAsia="黑体"/>
          <w:sz w:val="24"/>
        </w:rPr>
        <w:t>13</w:t>
      </w:r>
    </w:p>
    <w:p w14:paraId="69CE3D6F">
      <w:pPr>
        <w:tabs>
          <w:tab w:val="right" w:leader="dot" w:pos="7980"/>
          <w:tab w:val="right" w:leader="dot" w:pos="8296"/>
        </w:tabs>
        <w:spacing w:before="120"/>
        <w:ind w:right="165" w:rightChars="79" w:firstLine="240" w:firstLineChars="100"/>
        <w:jc w:val="left"/>
        <w:rPr>
          <w:rFonts w:eastAsia="黑体"/>
          <w:sz w:val="24"/>
        </w:rPr>
      </w:pPr>
      <w:r>
        <w:rPr>
          <w:rFonts w:hint="eastAsia" w:eastAsia="黑体"/>
          <w:sz w:val="24"/>
        </w:rPr>
        <w:t>2</w:t>
      </w:r>
      <w:r>
        <w:rPr>
          <w:rFonts w:eastAsia="黑体"/>
          <w:sz w:val="24"/>
        </w:rPr>
        <w:t>.1</w:t>
      </w:r>
      <w:r>
        <w:rPr>
          <w:rFonts w:hint="eastAsia" w:eastAsia="黑体"/>
          <w:sz w:val="24"/>
        </w:rPr>
        <w:t xml:space="preserve"> 文献文本环境关键词贡献度与关联度分析</w:t>
      </w:r>
      <w:r>
        <w:rPr>
          <w:rFonts w:hint="eastAsia" w:eastAsia="黑体"/>
          <w:sz w:val="24"/>
        </w:rPr>
        <w:tab/>
      </w:r>
      <w:r>
        <w:rPr>
          <w:rFonts w:eastAsia="黑体"/>
          <w:sz w:val="24"/>
        </w:rPr>
        <w:t>46</w:t>
      </w:r>
    </w:p>
    <w:p w14:paraId="2817AA56">
      <w:pPr>
        <w:tabs>
          <w:tab w:val="right" w:leader="dot" w:pos="7980"/>
          <w:tab w:val="right" w:leader="dot" w:pos="8296"/>
        </w:tabs>
        <w:spacing w:before="120"/>
        <w:ind w:right="165" w:rightChars="79" w:firstLine="240" w:firstLineChars="100"/>
        <w:jc w:val="left"/>
        <w:rPr>
          <w:rFonts w:eastAsia="黑体"/>
          <w:sz w:val="24"/>
        </w:rPr>
      </w:pPr>
      <w:r>
        <w:rPr>
          <w:rFonts w:hint="eastAsia" w:eastAsia="黑体"/>
          <w:sz w:val="24"/>
        </w:rPr>
        <w:t>2</w:t>
      </w:r>
      <w:r>
        <w:rPr>
          <w:rFonts w:eastAsia="黑体"/>
          <w:sz w:val="24"/>
        </w:rPr>
        <w:t>.2</w:t>
      </w:r>
      <w:r>
        <w:rPr>
          <w:rFonts w:hint="eastAsia" w:eastAsia="黑体"/>
          <w:sz w:val="24"/>
        </w:rPr>
        <w:t xml:space="preserve"> 文献文本提取关键词匹配分析</w:t>
      </w:r>
      <w:r>
        <w:rPr>
          <w:rFonts w:hint="eastAsia" w:eastAsia="黑体"/>
          <w:sz w:val="24"/>
        </w:rPr>
        <w:tab/>
      </w:r>
      <w:r>
        <w:rPr>
          <w:rFonts w:eastAsia="黑体"/>
          <w:sz w:val="24"/>
        </w:rPr>
        <w:t>47</w:t>
      </w:r>
    </w:p>
    <w:p w14:paraId="0AA5C74F">
      <w:pPr>
        <w:tabs>
          <w:tab w:val="right" w:leader="dot" w:pos="7980"/>
          <w:tab w:val="right" w:leader="dot" w:pos="8296"/>
        </w:tabs>
        <w:spacing w:before="120"/>
        <w:ind w:right="165" w:rightChars="79" w:firstLine="240" w:firstLineChars="100"/>
        <w:jc w:val="left"/>
        <w:rPr>
          <w:rFonts w:hint="eastAsia" w:eastAsia="黑体"/>
          <w:sz w:val="24"/>
        </w:rPr>
      </w:pPr>
      <w:r>
        <w:rPr>
          <w:rFonts w:hint="eastAsia" w:eastAsia="黑体"/>
          <w:sz w:val="24"/>
        </w:rPr>
        <w:t>2</w:t>
      </w:r>
      <w:r>
        <w:rPr>
          <w:rFonts w:eastAsia="黑体"/>
          <w:sz w:val="24"/>
        </w:rPr>
        <w:t>.3</w:t>
      </w:r>
      <w:r>
        <w:rPr>
          <w:rFonts w:hint="eastAsia" w:eastAsia="黑体"/>
          <w:sz w:val="24"/>
        </w:rPr>
        <w:t xml:space="preserve"> 基于机器学习与文本挖掘的数据汇编</w:t>
      </w:r>
      <w:r>
        <w:rPr>
          <w:rFonts w:hint="eastAsia" w:eastAsia="黑体"/>
          <w:sz w:val="24"/>
        </w:rPr>
        <w:tab/>
      </w:r>
      <w:r>
        <w:rPr>
          <w:rFonts w:eastAsia="黑体"/>
          <w:sz w:val="24"/>
        </w:rPr>
        <w:t>48</w:t>
      </w:r>
    </w:p>
    <w:p w14:paraId="14DBE36A">
      <w:pPr>
        <w:tabs>
          <w:tab w:val="right" w:leader="dot" w:pos="7980"/>
          <w:tab w:val="right" w:leader="dot" w:pos="8296"/>
        </w:tabs>
        <w:spacing w:before="120"/>
        <w:ind w:right="165" w:rightChars="79" w:firstLine="480" w:firstLineChars="200"/>
        <w:jc w:val="left"/>
        <w:rPr>
          <w:rFonts w:eastAsia="黑体"/>
          <w:sz w:val="24"/>
        </w:rPr>
      </w:pPr>
      <w:r>
        <w:rPr>
          <w:rFonts w:hint="eastAsia" w:eastAsia="黑体"/>
          <w:sz w:val="24"/>
        </w:rPr>
        <w:t>2</w:t>
      </w:r>
      <w:r>
        <w:rPr>
          <w:rFonts w:eastAsia="黑体"/>
          <w:sz w:val="24"/>
        </w:rPr>
        <w:t>.3.</w:t>
      </w:r>
      <w:r>
        <w:rPr>
          <w:rFonts w:hint="eastAsia" w:eastAsia="黑体"/>
          <w:sz w:val="24"/>
        </w:rPr>
        <w:t>1 基于机器学习与文本挖掘的地理数据汇编</w:t>
      </w:r>
      <w:r>
        <w:rPr>
          <w:rFonts w:hint="eastAsia" w:eastAsia="黑体"/>
          <w:sz w:val="24"/>
        </w:rPr>
        <w:tab/>
      </w:r>
      <w:r>
        <w:rPr>
          <w:rFonts w:eastAsia="黑体"/>
          <w:sz w:val="24"/>
        </w:rPr>
        <w:t>51</w:t>
      </w:r>
    </w:p>
    <w:p w14:paraId="52B01872">
      <w:pPr>
        <w:tabs>
          <w:tab w:val="right" w:leader="dot" w:pos="7980"/>
          <w:tab w:val="right" w:leader="dot" w:pos="8296"/>
        </w:tabs>
        <w:spacing w:before="120"/>
        <w:ind w:right="165" w:rightChars="79" w:firstLine="480" w:firstLineChars="200"/>
        <w:jc w:val="left"/>
        <w:rPr>
          <w:rFonts w:eastAsia="黑体"/>
          <w:sz w:val="24"/>
        </w:rPr>
      </w:pPr>
      <w:r>
        <w:rPr>
          <w:rFonts w:hint="eastAsia" w:eastAsia="黑体"/>
          <w:sz w:val="24"/>
        </w:rPr>
        <w:t>2</w:t>
      </w:r>
      <w:r>
        <w:rPr>
          <w:rFonts w:eastAsia="黑体"/>
          <w:sz w:val="24"/>
        </w:rPr>
        <w:t>.3</w:t>
      </w:r>
      <w:r>
        <w:rPr>
          <w:rFonts w:hint="eastAsia" w:eastAsia="黑体"/>
          <w:sz w:val="24"/>
        </w:rPr>
        <w:t>.2 基于机器学习与文本挖掘的生物体内浓度数据汇编</w:t>
      </w:r>
      <w:r>
        <w:rPr>
          <w:rFonts w:hint="eastAsia" w:eastAsia="黑体"/>
          <w:sz w:val="24"/>
        </w:rPr>
        <w:tab/>
      </w:r>
      <w:r>
        <w:rPr>
          <w:rFonts w:eastAsia="黑体"/>
          <w:sz w:val="24"/>
        </w:rPr>
        <w:t>53</w:t>
      </w:r>
    </w:p>
    <w:p w14:paraId="48A6BD6F">
      <w:pPr>
        <w:tabs>
          <w:tab w:val="right" w:leader="dot" w:pos="7980"/>
          <w:tab w:val="right" w:leader="dot" w:pos="8296"/>
        </w:tabs>
        <w:spacing w:before="120"/>
        <w:ind w:firstLine="480" w:firstLineChars="200"/>
        <w:jc w:val="left"/>
        <w:rPr>
          <w:rFonts w:eastAsia="黑体"/>
          <w:sz w:val="24"/>
        </w:rPr>
      </w:pPr>
      <w:r>
        <w:rPr>
          <w:rFonts w:hint="eastAsia" w:eastAsia="黑体"/>
          <w:sz w:val="24"/>
        </w:rPr>
        <w:t>2</w:t>
      </w:r>
      <w:r>
        <w:rPr>
          <w:rFonts w:eastAsia="黑体"/>
          <w:sz w:val="24"/>
        </w:rPr>
        <w:t>.3</w:t>
      </w:r>
      <w:r>
        <w:rPr>
          <w:rFonts w:hint="eastAsia" w:eastAsia="黑体"/>
          <w:sz w:val="24"/>
        </w:rPr>
        <w:t>.3 全球水体与沉积物中6PPD/Q的赋存全景</w:t>
      </w:r>
      <w:r>
        <w:rPr>
          <w:rFonts w:hint="eastAsia" w:eastAsia="黑体"/>
          <w:sz w:val="24"/>
        </w:rPr>
        <w:tab/>
      </w:r>
      <w:r>
        <w:rPr>
          <w:rFonts w:eastAsia="黑体"/>
          <w:sz w:val="24"/>
        </w:rPr>
        <w:t>53</w:t>
      </w:r>
    </w:p>
    <w:p w14:paraId="3C4D3B15">
      <w:pPr>
        <w:tabs>
          <w:tab w:val="right" w:leader="dot" w:pos="7980"/>
          <w:tab w:val="right" w:leader="dot" w:pos="8296"/>
        </w:tabs>
        <w:spacing w:before="120"/>
        <w:ind w:firstLine="960" w:firstLineChars="400"/>
        <w:jc w:val="left"/>
        <w:rPr>
          <w:rFonts w:eastAsia="黑体"/>
          <w:sz w:val="24"/>
        </w:rPr>
      </w:pPr>
      <w:r>
        <w:rPr>
          <w:rFonts w:hint="eastAsia" w:eastAsia="黑体"/>
          <w:sz w:val="24"/>
        </w:rPr>
        <w:t>2</w:t>
      </w:r>
      <w:r>
        <w:rPr>
          <w:rFonts w:eastAsia="黑体"/>
          <w:sz w:val="24"/>
        </w:rPr>
        <w:t>.3</w:t>
      </w:r>
      <w:r>
        <w:rPr>
          <w:rFonts w:hint="eastAsia" w:eastAsia="黑体"/>
          <w:sz w:val="24"/>
        </w:rPr>
        <w:t>.3.1 中国区域水体与沉积物中6PPD/Q的赋存全景</w:t>
      </w:r>
      <w:r>
        <w:rPr>
          <w:rFonts w:hint="eastAsia" w:eastAsia="黑体"/>
          <w:sz w:val="24"/>
        </w:rPr>
        <w:tab/>
      </w:r>
      <w:r>
        <w:rPr>
          <w:rFonts w:eastAsia="黑体"/>
          <w:sz w:val="24"/>
        </w:rPr>
        <w:t>53</w:t>
      </w:r>
    </w:p>
    <w:p w14:paraId="20738A82">
      <w:pPr>
        <w:tabs>
          <w:tab w:val="right" w:leader="dot" w:pos="7980"/>
          <w:tab w:val="right" w:leader="dot" w:pos="8296"/>
        </w:tabs>
        <w:spacing w:before="120"/>
        <w:ind w:firstLine="960" w:firstLineChars="400"/>
        <w:jc w:val="left"/>
        <w:rPr>
          <w:rFonts w:eastAsia="黑体"/>
          <w:sz w:val="24"/>
        </w:rPr>
      </w:pPr>
      <w:r>
        <w:rPr>
          <w:rFonts w:hint="eastAsia" w:eastAsia="黑体"/>
          <w:sz w:val="24"/>
        </w:rPr>
        <w:t>2</w:t>
      </w:r>
      <w:r>
        <w:rPr>
          <w:rFonts w:eastAsia="黑体"/>
          <w:sz w:val="24"/>
        </w:rPr>
        <w:t>.3</w:t>
      </w:r>
      <w:r>
        <w:rPr>
          <w:rFonts w:hint="eastAsia" w:eastAsia="黑体"/>
          <w:sz w:val="24"/>
        </w:rPr>
        <w:t>.3.2 全球其他区域水体与沉积物中6PPD/Q的赋存详述</w:t>
      </w:r>
      <w:r>
        <w:rPr>
          <w:rFonts w:hint="eastAsia" w:eastAsia="黑体"/>
          <w:sz w:val="24"/>
        </w:rPr>
        <w:tab/>
      </w:r>
      <w:r>
        <w:rPr>
          <w:rFonts w:eastAsia="黑体"/>
          <w:sz w:val="24"/>
        </w:rPr>
        <w:t>53</w:t>
      </w:r>
    </w:p>
    <w:p w14:paraId="62529A50">
      <w:pPr>
        <w:tabs>
          <w:tab w:val="right" w:leader="dot" w:pos="7980"/>
          <w:tab w:val="right" w:leader="dot" w:pos="8296"/>
        </w:tabs>
        <w:spacing w:before="120"/>
        <w:ind w:firstLine="1680" w:firstLineChars="700"/>
        <w:jc w:val="left"/>
        <w:rPr>
          <w:rFonts w:eastAsia="黑体"/>
          <w:sz w:val="24"/>
        </w:rPr>
      </w:pPr>
      <w:r>
        <w:rPr>
          <w:rFonts w:hint="eastAsia" w:eastAsia="黑体"/>
          <w:sz w:val="24"/>
        </w:rPr>
        <w:t>2</w:t>
      </w:r>
      <w:r>
        <w:rPr>
          <w:rFonts w:eastAsia="黑体"/>
          <w:sz w:val="24"/>
        </w:rPr>
        <w:t>.3</w:t>
      </w:r>
      <w:r>
        <w:rPr>
          <w:rFonts w:hint="eastAsia" w:eastAsia="黑体"/>
          <w:sz w:val="24"/>
        </w:rPr>
        <w:t>.3.2.1 北美地区：美国与加拿大的详尽数据</w:t>
      </w:r>
      <w:r>
        <w:rPr>
          <w:rFonts w:hint="eastAsia" w:eastAsia="黑体"/>
          <w:sz w:val="24"/>
        </w:rPr>
        <w:tab/>
      </w:r>
      <w:r>
        <w:rPr>
          <w:rFonts w:eastAsia="黑体"/>
          <w:sz w:val="24"/>
        </w:rPr>
        <w:t>53</w:t>
      </w:r>
    </w:p>
    <w:p w14:paraId="4763B6CF">
      <w:pPr>
        <w:tabs>
          <w:tab w:val="right" w:leader="dot" w:pos="7980"/>
          <w:tab w:val="right" w:leader="dot" w:pos="8296"/>
        </w:tabs>
        <w:spacing w:before="120"/>
        <w:ind w:firstLine="1680" w:firstLineChars="700"/>
        <w:jc w:val="left"/>
        <w:rPr>
          <w:rFonts w:hint="eastAsia" w:eastAsia="黑体"/>
          <w:sz w:val="24"/>
        </w:rPr>
      </w:pPr>
      <w:r>
        <w:rPr>
          <w:rFonts w:hint="eastAsia" w:eastAsia="黑体"/>
          <w:sz w:val="24"/>
        </w:rPr>
        <w:t>2</w:t>
      </w:r>
      <w:r>
        <w:rPr>
          <w:rFonts w:eastAsia="黑体"/>
          <w:sz w:val="24"/>
        </w:rPr>
        <w:t>.3</w:t>
      </w:r>
      <w:r>
        <w:rPr>
          <w:rFonts w:hint="eastAsia" w:eastAsia="黑体"/>
          <w:sz w:val="24"/>
        </w:rPr>
        <w:t>.3.2.2 亚太及其他地区：韩国澳洲与欧洲的实测数据</w:t>
      </w:r>
      <w:r>
        <w:rPr>
          <w:rFonts w:hint="eastAsia" w:eastAsia="黑体"/>
          <w:sz w:val="24"/>
        </w:rPr>
        <w:tab/>
      </w:r>
      <w:r>
        <w:rPr>
          <w:rFonts w:eastAsia="黑体"/>
          <w:sz w:val="24"/>
        </w:rPr>
        <w:t>53</w:t>
      </w:r>
    </w:p>
    <w:p w14:paraId="3FBE1401">
      <w:pPr>
        <w:tabs>
          <w:tab w:val="right" w:leader="dot" w:pos="7980"/>
          <w:tab w:val="right" w:leader="dot" w:pos="8296"/>
        </w:tabs>
        <w:spacing w:before="120"/>
        <w:ind w:right="165" w:rightChars="79"/>
        <w:jc w:val="left"/>
        <w:rPr>
          <w:rFonts w:hint="eastAsia" w:eastAsia="黑体"/>
          <w:sz w:val="28"/>
          <w:szCs w:val="28"/>
        </w:rPr>
      </w:pPr>
      <w:r>
        <w:rPr>
          <w:rFonts w:eastAsia="黑体"/>
          <w:sz w:val="28"/>
          <w:szCs w:val="28"/>
        </w:rPr>
        <w:t>第</w:t>
      </w:r>
      <w:r>
        <w:rPr>
          <w:rFonts w:hint="eastAsia" w:eastAsia="黑体"/>
          <w:sz w:val="28"/>
          <w:szCs w:val="28"/>
        </w:rPr>
        <w:t>3</w:t>
      </w:r>
      <w:r>
        <w:rPr>
          <w:rFonts w:eastAsia="黑体"/>
          <w:sz w:val="28"/>
          <w:szCs w:val="28"/>
        </w:rPr>
        <w:t>章</w:t>
      </w:r>
      <w:r>
        <w:rPr>
          <w:rFonts w:hint="eastAsia" w:eastAsia="黑体"/>
          <w:sz w:val="28"/>
          <w:szCs w:val="28"/>
        </w:rPr>
        <w:t xml:space="preserve"> 结论</w:t>
      </w:r>
      <w:r>
        <w:rPr>
          <w:rFonts w:hint="eastAsia" w:eastAsia="黑体"/>
          <w:sz w:val="28"/>
          <w:szCs w:val="28"/>
        </w:rPr>
        <w:tab/>
      </w:r>
      <w:r>
        <w:rPr>
          <w:rFonts w:hint="eastAsia" w:eastAsia="黑体"/>
          <w:sz w:val="24"/>
        </w:rPr>
        <w:t>13</w:t>
      </w:r>
    </w:p>
    <w:p w14:paraId="7A124B8B">
      <w:pPr>
        <w:tabs>
          <w:tab w:val="right" w:leader="dot" w:pos="7980"/>
          <w:tab w:val="right" w:leader="dot" w:pos="8296"/>
        </w:tabs>
        <w:spacing w:before="120"/>
        <w:jc w:val="left"/>
        <w:rPr>
          <w:rFonts w:eastAsia="黑体"/>
          <w:sz w:val="24"/>
        </w:rPr>
      </w:pPr>
      <w:r>
        <w:rPr>
          <w:rFonts w:eastAsia="黑体"/>
          <w:sz w:val="24"/>
        </w:rPr>
        <w:t>参考文献</w:t>
      </w:r>
      <w:r>
        <w:rPr>
          <w:rFonts w:hint="eastAsia" w:eastAsia="黑体"/>
          <w:sz w:val="24"/>
        </w:rPr>
        <w:tab/>
      </w:r>
      <w:r>
        <w:rPr>
          <w:rFonts w:eastAsia="黑体"/>
          <w:sz w:val="24"/>
        </w:rPr>
        <w:t>71</w:t>
      </w:r>
    </w:p>
    <w:p w14:paraId="2AE903E4">
      <w:pPr>
        <w:tabs>
          <w:tab w:val="right" w:leader="dot" w:pos="7980"/>
          <w:tab w:val="right" w:leader="dot" w:pos="8296"/>
        </w:tabs>
        <w:spacing w:before="120"/>
        <w:jc w:val="left"/>
        <w:rPr>
          <w:rFonts w:eastAsia="黑体"/>
          <w:sz w:val="24"/>
        </w:rPr>
      </w:pPr>
      <w:r>
        <w:rPr>
          <w:rFonts w:eastAsia="黑体"/>
          <w:sz w:val="24"/>
        </w:rPr>
        <w:t>附录</w:t>
      </w:r>
      <w:r>
        <w:rPr>
          <w:rFonts w:hint="eastAsia" w:eastAsia="黑体"/>
          <w:sz w:val="24"/>
        </w:rPr>
        <w:tab/>
      </w:r>
      <w:r>
        <w:rPr>
          <w:rFonts w:eastAsia="黑体"/>
          <w:sz w:val="24"/>
        </w:rPr>
        <w:t>88</w:t>
      </w:r>
    </w:p>
    <w:p w14:paraId="6BFB8075">
      <w:pPr>
        <w:tabs>
          <w:tab w:val="right" w:leader="dot" w:pos="7980"/>
          <w:tab w:val="right" w:leader="dot" w:pos="8296"/>
        </w:tabs>
        <w:spacing w:before="120"/>
        <w:jc w:val="left"/>
        <w:rPr>
          <w:rFonts w:hint="eastAsia" w:eastAsia="黑体"/>
          <w:sz w:val="24"/>
        </w:rPr>
      </w:pPr>
      <w:r>
        <w:rPr>
          <w:rFonts w:eastAsia="黑体"/>
          <w:sz w:val="24"/>
        </w:rPr>
        <w:t>致谢</w:t>
      </w:r>
      <w:r>
        <w:rPr>
          <w:rFonts w:hint="eastAsia" w:eastAsia="黑体"/>
          <w:sz w:val="24"/>
        </w:rPr>
        <w:t>与</w:t>
      </w:r>
      <w:r>
        <w:rPr>
          <w:rFonts w:eastAsia="黑体"/>
          <w:sz w:val="24"/>
        </w:rPr>
        <w:t>作者简历及攻读学位期间发表的学术论文与研究成果</w:t>
      </w:r>
      <w:r>
        <w:rPr>
          <w:rFonts w:hint="eastAsia" w:eastAsia="黑体"/>
          <w:sz w:val="24"/>
        </w:rPr>
        <w:tab/>
      </w:r>
      <w:r>
        <w:rPr>
          <w:rFonts w:eastAsia="黑体"/>
          <w:sz w:val="24"/>
        </w:rPr>
        <w:t>89</w:t>
      </w:r>
    </w:p>
    <w:p w14:paraId="2A7C0423">
      <w:pPr>
        <w:tabs>
          <w:tab w:val="right" w:leader="dot" w:pos="7980"/>
          <w:tab w:val="right" w:leader="dot" w:pos="8296"/>
        </w:tabs>
        <w:spacing w:before="120" w:line="400" w:lineRule="exact"/>
        <w:ind w:right="165" w:rightChars="79" w:firstLine="240" w:firstLineChars="100"/>
        <w:jc w:val="right"/>
        <w:rPr>
          <w:rFonts w:hint="eastAsia" w:eastAsia="黑体"/>
          <w:sz w:val="24"/>
        </w:rPr>
      </w:pPr>
    </w:p>
    <w:p w14:paraId="72B78176">
      <w:pPr>
        <w:spacing w:before="480" w:after="360"/>
        <w:jc w:val="center"/>
        <w:rPr>
          <w:b/>
          <w:sz w:val="28"/>
          <w:szCs w:val="28"/>
        </w:rPr>
      </w:pPr>
      <w:bookmarkStart w:id="2" w:name="_Toc93734158"/>
      <w:r>
        <w:rPr>
          <w:rFonts w:eastAsia="黑体"/>
          <w:b/>
          <w:sz w:val="28"/>
          <w:szCs w:val="28"/>
        </w:rPr>
        <w:t>第1章</w:t>
      </w:r>
      <w:bookmarkEnd w:id="2"/>
      <w:r>
        <w:rPr>
          <w:rFonts w:hint="eastAsia" w:eastAsia="黑体"/>
          <w:b/>
          <w:sz w:val="28"/>
          <w:szCs w:val="28"/>
        </w:rPr>
        <w:t xml:space="preserve"> 绪论</w:t>
      </w:r>
    </w:p>
    <w:p w14:paraId="04EE8867">
      <w:pPr>
        <w:spacing w:before="480" w:after="120"/>
        <w:rPr>
          <w:rFonts w:eastAsia="黑体"/>
          <w:bCs/>
          <w:sz w:val="24"/>
          <w:szCs w:val="28"/>
          <w:lang w:eastAsia="zh"/>
        </w:rPr>
      </w:pPr>
      <w:bookmarkStart w:id="3" w:name="_Toc93734159"/>
      <w:r>
        <w:rPr>
          <w:rFonts w:eastAsia="黑体"/>
          <w:bCs/>
          <w:sz w:val="24"/>
          <w:szCs w:val="28"/>
        </w:rPr>
        <w:t>1.1</w:t>
      </w:r>
      <w:bookmarkEnd w:id="3"/>
      <w:r>
        <w:rPr>
          <w:rFonts w:hint="eastAsia" w:eastAsia="黑体"/>
          <w:bCs/>
          <w:sz w:val="24"/>
          <w:szCs w:val="28"/>
        </w:rPr>
        <w:t>研究背景</w:t>
      </w:r>
      <w:r>
        <w:rPr>
          <w:rFonts w:hint="eastAsia" w:eastAsia="黑体"/>
          <w:bCs/>
          <w:sz w:val="24"/>
          <w:szCs w:val="28"/>
          <w:lang w:eastAsia="zh"/>
        </w:rPr>
        <w:t>与意义</w:t>
      </w:r>
    </w:p>
    <w:p w14:paraId="4DF386B2">
      <w:pPr>
        <w:spacing w:line="480" w:lineRule="exact"/>
        <w:ind w:firstLine="480" w:firstLineChars="200"/>
        <w:rPr>
          <w:rFonts w:cs="宋体"/>
          <w:kern w:val="0"/>
          <w:sz w:val="24"/>
          <w:lang w:eastAsia="zh"/>
        </w:rPr>
      </w:pPr>
      <w:r>
        <w:rPr>
          <w:rFonts w:hint="eastAsia" w:cs="宋体"/>
          <w:kern w:val="0"/>
          <w:sz w:val="24"/>
        </w:rPr>
        <w:t>橡胶轮胎生产与使用过程中释放的对苯二胺类抗氧化剂（PPDs</w:t>
      </w:r>
      <w:r>
        <w:rPr>
          <w:rFonts w:cs="宋体"/>
          <w:kern w:val="0"/>
          <w:sz w:val="24"/>
        </w:rPr>
        <w:t>）及其光化学转化产物醌类化合物（PPDsQ），已成为全球水体中广泛存在的新型环境污染物，其生态危害与环境风险备受关注。PPDs因抗氧化性能优异，在橡胶轮胎添加剂市场占比超70%，伴随全球橡胶抗氧化剂市场规模逐年攀升（2024年达13.72亿美元，预计2028年增至14.6亿美元）、轮胎年产量突破20亿条并持续增长，PPDs的环境排放量呈显著上升趋势，经轮胎磨损、径流冲刷、大气迁移等途径，最终大量富集于全球自然水体环境中。PPDs自身具有苯环结构，在自然环境中易发生光化学臭氧化反应，转化为毒性远高于前体的PPDsQ，此类转化产物兼具持久性、长距离迁移能力与生物富集性，已在全球多区域水体、土壤、沉积物乃至生物体内被广泛检出。其中6PPDQ、IPPDQ等典型醌类产物对水生生物具有极强毒性，对水蚤、鱼类等水生生物的急性致死浓度低至</w:t>
      </w:r>
      <w:r>
        <w:rPr>
          <w:rFonts w:hint="eastAsia" w:cs="宋体"/>
          <w:kern w:val="0"/>
          <w:sz w:val="24"/>
          <w:lang w:eastAsia="zh"/>
        </w:rPr>
        <w:t>u</w:t>
      </w:r>
      <w:r>
        <w:rPr>
          <w:rFonts w:cs="宋体"/>
          <w:kern w:val="0"/>
          <w:sz w:val="24"/>
        </w:rPr>
        <w:t>g/L级别，且存在显著慢性毒性与神经毒性，可降低无脊椎动物繁殖、运动能力，对水体生态系统的结构与功能构成潜在且长期的威胁</w:t>
      </w:r>
      <w:r>
        <w:rPr>
          <w:rFonts w:hint="eastAsia" w:cs="宋体"/>
          <w:kern w:val="0"/>
          <w:sz w:val="24"/>
          <w:lang w:eastAsia="zh"/>
        </w:rPr>
        <w:t>，同时，6PPD在橡胶轮胎抗氧化剂添加剂中具备支配地位，但在当前论文报道中频率相对较少，故针对6PPD以及其醌类氧化产物的全球浓度汇编与风险评判极为重要。</w:t>
      </w:r>
    </w:p>
    <w:p w14:paraId="12834C1C">
      <w:pPr>
        <w:spacing w:line="480" w:lineRule="exact"/>
        <w:ind w:firstLine="480" w:firstLineChars="200"/>
        <w:jc w:val="left"/>
        <w:rPr>
          <w:rFonts w:cs="宋体"/>
          <w:kern w:val="0"/>
          <w:sz w:val="24"/>
          <w:lang w:eastAsia="zh"/>
        </w:rPr>
      </w:pPr>
      <w:r>
        <w:rPr>
          <w:rFonts w:hint="eastAsia" w:cs="宋体"/>
          <w:kern w:val="0"/>
          <w:sz w:val="24"/>
          <w:lang w:eastAsia="zh"/>
        </w:rPr>
        <w:t>然而，当前</w:t>
      </w:r>
      <w:r>
        <w:rPr>
          <w:rFonts w:cs="宋体"/>
          <w:kern w:val="0"/>
          <w:sz w:val="24"/>
        </w:rPr>
        <w:t>针对</w:t>
      </w:r>
      <w:r>
        <w:rPr>
          <w:rFonts w:hint="eastAsia" w:cs="宋体"/>
          <w:kern w:val="0"/>
          <w:sz w:val="24"/>
          <w:lang w:eastAsia="zh"/>
        </w:rPr>
        <w:t>6</w:t>
      </w:r>
      <w:r>
        <w:rPr>
          <w:rFonts w:cs="宋体"/>
          <w:kern w:val="0"/>
          <w:sz w:val="24"/>
        </w:rPr>
        <w:t>PPD及</w:t>
      </w:r>
      <w:r>
        <w:rPr>
          <w:rFonts w:hint="eastAsia" w:cs="宋体"/>
          <w:kern w:val="0"/>
          <w:sz w:val="24"/>
          <w:lang w:eastAsia="zh"/>
        </w:rPr>
        <w:t>6</w:t>
      </w:r>
      <w:r>
        <w:rPr>
          <w:rFonts w:cs="宋体"/>
          <w:kern w:val="0"/>
          <w:sz w:val="24"/>
        </w:rPr>
        <w:t>PPDQ的环境研究多聚焦于单一污染物的模式生物毒性效应，缺乏对该类污染物在全球水体中赋存特征、污染水平的系统梳理，且现有研究数据主要依赖人工文献搜集与传统文本挖掘方法，存在操作效率低、数据偏倚与误差大等问题，难以客观、全面反映全球范围内的污染现状。同时，全球范围内针对</w:t>
      </w:r>
      <w:r>
        <w:rPr>
          <w:rFonts w:hint="eastAsia" w:cs="宋体"/>
          <w:kern w:val="0"/>
          <w:sz w:val="24"/>
          <w:lang w:eastAsia="zh"/>
        </w:rPr>
        <w:t>6</w:t>
      </w:r>
      <w:r>
        <w:rPr>
          <w:rFonts w:cs="宋体"/>
          <w:kern w:val="0"/>
          <w:sz w:val="24"/>
        </w:rPr>
        <w:t>PPDs及</w:t>
      </w:r>
      <w:r>
        <w:rPr>
          <w:rFonts w:hint="eastAsia" w:cs="宋体"/>
          <w:kern w:val="0"/>
          <w:sz w:val="24"/>
          <w:lang w:eastAsia="zh"/>
        </w:rPr>
        <w:t>6</w:t>
      </w:r>
      <w:r>
        <w:rPr>
          <w:rFonts w:cs="宋体"/>
          <w:kern w:val="0"/>
          <w:sz w:val="24"/>
        </w:rPr>
        <w:t>PPDQ的环境管控政策尚未形成统一体系，仅美国等少数国家出台了禁限产、替代品分析等管控措施，我国目前仍缺乏针对性的管控法规与生态风险评估数据支撑。在此背景下，亟需通过科学、高效的</w:t>
      </w:r>
      <w:r>
        <w:rPr>
          <w:rFonts w:hint="eastAsia" w:cs="宋体"/>
          <w:kern w:val="0"/>
          <w:sz w:val="24"/>
          <w:lang w:eastAsia="zh"/>
        </w:rPr>
        <w:t>文本挖掘</w:t>
      </w:r>
      <w:r>
        <w:rPr>
          <w:rFonts w:cs="宋体"/>
          <w:kern w:val="0"/>
          <w:sz w:val="24"/>
        </w:rPr>
        <w:t>研究方法，系统</w:t>
      </w:r>
      <w:r>
        <w:rPr>
          <w:rFonts w:hint="eastAsia" w:cs="宋体"/>
          <w:kern w:val="0"/>
          <w:sz w:val="24"/>
          <w:lang w:eastAsia="zh"/>
        </w:rPr>
        <w:t>性</w:t>
      </w:r>
      <w:r>
        <w:rPr>
          <w:rFonts w:cs="宋体"/>
          <w:kern w:val="0"/>
          <w:sz w:val="24"/>
        </w:rPr>
        <w:t>解析</w:t>
      </w:r>
      <w:r>
        <w:rPr>
          <w:rFonts w:hint="eastAsia" w:cs="宋体"/>
          <w:kern w:val="0"/>
          <w:sz w:val="24"/>
          <w:lang w:eastAsia="zh"/>
        </w:rPr>
        <w:t>6</w:t>
      </w:r>
      <w:r>
        <w:rPr>
          <w:rFonts w:cs="宋体"/>
          <w:kern w:val="0"/>
          <w:sz w:val="24"/>
        </w:rPr>
        <w:t>PPD及</w:t>
      </w:r>
      <w:r>
        <w:rPr>
          <w:rFonts w:hint="eastAsia" w:cs="宋体"/>
          <w:kern w:val="0"/>
          <w:sz w:val="24"/>
          <w:lang w:eastAsia="zh"/>
        </w:rPr>
        <w:t>6</w:t>
      </w:r>
      <w:r>
        <w:rPr>
          <w:rFonts w:cs="宋体"/>
          <w:kern w:val="0"/>
          <w:sz w:val="24"/>
        </w:rPr>
        <w:t>PPDQ在全球水体中的赋存规律</w:t>
      </w:r>
      <w:r>
        <w:rPr>
          <w:rFonts w:hint="eastAsia" w:cs="宋体"/>
          <w:kern w:val="0"/>
          <w:sz w:val="24"/>
          <w:lang w:eastAsia="zh"/>
        </w:rPr>
        <w:t>。</w:t>
      </w:r>
    </w:p>
    <w:p w14:paraId="520B81CC">
      <w:pPr>
        <w:spacing w:line="480" w:lineRule="exact"/>
        <w:ind w:firstLine="480" w:firstLineChars="200"/>
        <w:jc w:val="left"/>
        <w:rPr>
          <w:rFonts w:cs="宋体"/>
          <w:kern w:val="0"/>
          <w:sz w:val="24"/>
          <w:lang w:eastAsia="zh"/>
        </w:rPr>
      </w:pPr>
      <w:r>
        <w:rPr>
          <w:rFonts w:hint="eastAsia" w:cs="宋体"/>
          <w:kern w:val="0"/>
          <w:sz w:val="24"/>
          <w:lang w:eastAsia="zh"/>
        </w:rPr>
        <w:t>传统的文本挖掘方法多基于WOS中的布尔检索来进行年度范围内的数据来进行检索，然而，这种方法的偏倚程度极大，研究者在研究某化学物质的报道的时候，通常会用限定词用于特定文献的检索，然而作者的写作习惯不同与研究者的筛选偏好不同，往往会出现无法获取准确文献的情况；研究者也有使用手工读取来进行文献挖掘的惯例，依托该方法进行文献挖掘可以显著提高文献数据提取的效率，然而，该方法效率极低，在文献报道干扰较多情况下效率远不及传统的WOS文献挖掘方法。</w:t>
      </w:r>
    </w:p>
    <w:p w14:paraId="1E7F4EB8">
      <w:pPr>
        <w:spacing w:line="480" w:lineRule="exact"/>
        <w:jc w:val="left"/>
        <w:rPr>
          <w:rFonts w:eastAsia="黑体"/>
          <w:bCs/>
          <w:sz w:val="24"/>
          <w:szCs w:val="28"/>
          <w:lang w:eastAsia="zh"/>
        </w:rPr>
      </w:pPr>
      <w:r>
        <w:rPr>
          <w:rFonts w:eastAsia="黑体"/>
          <w:bCs/>
          <w:sz w:val="24"/>
          <w:szCs w:val="28"/>
        </w:rPr>
        <w:t>1.2</w:t>
      </w:r>
      <w:r>
        <w:rPr>
          <w:rFonts w:hint="eastAsia" w:eastAsia="黑体"/>
          <w:bCs/>
          <w:sz w:val="24"/>
          <w:szCs w:val="28"/>
          <w:lang w:eastAsia="zh"/>
        </w:rPr>
        <w:t>研究目标与技术路线</w:t>
      </w:r>
    </w:p>
    <w:p w14:paraId="14FBB9FE">
      <w:pPr>
        <w:spacing w:line="480" w:lineRule="exact"/>
        <w:ind w:firstLine="616" w:firstLineChars="257"/>
        <w:jc w:val="left"/>
        <w:rPr>
          <w:rFonts w:hint="eastAsia" w:ascii="宋体" w:hAnsi="宋体" w:cs="宋体"/>
          <w:color w:val="000000"/>
          <w:sz w:val="24"/>
          <w:lang w:eastAsia="zh"/>
        </w:rPr>
      </w:pPr>
      <w:r>
        <w:rPr>
          <w:rFonts w:hint="eastAsia"/>
          <w:sz w:val="24"/>
          <w:lang w:eastAsia="zh"/>
        </w:rPr>
        <w:t>为解决上述6PPD/Q在环境水体，生物体和沉积物中的赋存以及其未来的生态风险，我们需要通过文献挖掘的方式来汇编该类污染物的分布地图。相较于传统文献挖掘形式，在此设计了基于“</w:t>
      </w:r>
      <w:r>
        <w:rPr>
          <w:rFonts w:hint="eastAsia" w:ascii="宋体" w:hAnsi="宋体" w:cs="宋体"/>
          <w:color w:val="000000"/>
          <w:sz w:val="24"/>
        </w:rPr>
        <w:t>检索-筛选-提取-聚类-汇编</w:t>
      </w:r>
      <w:r>
        <w:rPr>
          <w:rFonts w:hint="eastAsia" w:ascii="宋体" w:hAnsi="宋体" w:cs="宋体"/>
          <w:color w:val="000000"/>
          <w:sz w:val="24"/>
          <w:lang w:eastAsia="zh"/>
        </w:rPr>
        <w:t>”</w:t>
      </w:r>
      <w:r>
        <w:rPr>
          <w:rFonts w:hint="eastAsia" w:ascii="宋体" w:hAnsi="宋体" w:cs="宋体"/>
          <w:color w:val="000000"/>
          <w:sz w:val="24"/>
        </w:rPr>
        <w:t>为核心链路</w:t>
      </w:r>
      <w:r>
        <w:rPr>
          <w:rFonts w:hint="eastAsia" w:ascii="宋体" w:hAnsi="宋体" w:cs="宋体"/>
          <w:color w:val="000000"/>
          <w:sz w:val="24"/>
          <w:lang w:eastAsia="zh"/>
        </w:rPr>
        <w:t>的新挖掘方法如图1所示。</w:t>
      </w:r>
    </w:p>
    <w:p w14:paraId="181B1440">
      <w:pPr>
        <w:jc w:val="left"/>
        <w:rPr>
          <w:rFonts w:hint="eastAsia" w:ascii="宋体" w:hAnsi="宋体" w:cs="宋体"/>
          <w:color w:val="000000"/>
          <w:sz w:val="24"/>
          <w:lang w:eastAsia="zh"/>
        </w:rPr>
      </w:pPr>
      <w:r>
        <w:rPr>
          <w:rFonts w:hint="eastAsia" w:ascii="宋体" w:hAnsi="宋体" w:cs="宋体"/>
          <w:color w:val="000000"/>
          <w:sz w:val="24"/>
          <w:lang w:eastAsia="zh"/>
        </w:rPr>
        <w:drawing>
          <wp:inline distT="0" distB="0" distL="114300" distR="114300">
            <wp:extent cx="5267325" cy="2621280"/>
            <wp:effectExtent l="0" t="0" r="9525"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6"/>
                    <a:stretch>
                      <a:fillRect/>
                    </a:stretch>
                  </pic:blipFill>
                  <pic:spPr>
                    <a:xfrm>
                      <a:off x="0" y="0"/>
                      <a:ext cx="5267325" cy="2621280"/>
                    </a:xfrm>
                    <a:prstGeom prst="rect">
                      <a:avLst/>
                    </a:prstGeom>
                  </pic:spPr>
                </pic:pic>
              </a:graphicData>
            </a:graphic>
          </wp:inline>
        </w:drawing>
      </w:r>
    </w:p>
    <w:p w14:paraId="61E49FF5">
      <w:pPr>
        <w:spacing w:line="480" w:lineRule="exact"/>
        <w:ind w:firstLine="539" w:firstLineChars="257"/>
        <w:jc w:val="center"/>
        <w:rPr>
          <w:color w:val="000000"/>
          <w:szCs w:val="21"/>
        </w:rPr>
      </w:pPr>
      <w:r>
        <w:rPr>
          <w:color w:val="000000"/>
          <w:szCs w:val="21"/>
        </w:rPr>
        <w:t>图1.依托程序数据挖掘实验框架</w:t>
      </w:r>
    </w:p>
    <w:p w14:paraId="1AD96980">
      <w:pPr>
        <w:spacing w:line="480" w:lineRule="exact"/>
        <w:ind w:firstLine="539" w:firstLineChars="257"/>
        <w:jc w:val="center"/>
        <w:rPr>
          <w:color w:val="000000"/>
          <w:szCs w:val="21"/>
        </w:rPr>
      </w:pPr>
      <w:r>
        <w:rPr>
          <w:color w:val="000000"/>
          <w:szCs w:val="21"/>
          <w:lang w:eastAsia="zh"/>
        </w:rPr>
        <w:t>注：</w:t>
      </w:r>
      <w:r>
        <w:rPr>
          <w:color w:val="000000"/>
          <w:szCs w:val="21"/>
        </w:rPr>
        <w:t>以“检索-筛选-提取-聚类汇编”为核心链路，通过原始文献匹配（A1）、WOS布尔检索（B1）、文献初筛（C1）、文本神经网络定位（D1）、文本关键簇聚类（D2）、Python程序批量读取（D3）的模块化协同，实现从文献获取到污染物信息汇编的全流程自动化处理</w:t>
      </w:r>
    </w:p>
    <w:p w14:paraId="21B111C5">
      <w:pPr>
        <w:spacing w:line="480" w:lineRule="exact"/>
        <w:jc w:val="left"/>
        <w:rPr>
          <w:rFonts w:eastAsia="黑体"/>
          <w:sz w:val="24"/>
          <w:lang w:eastAsia="zh"/>
        </w:rPr>
      </w:pPr>
      <w:r>
        <w:rPr>
          <w:rFonts w:hint="eastAsia" w:eastAsia="黑体"/>
          <w:sz w:val="24"/>
          <w:lang w:eastAsia="zh"/>
        </w:rPr>
        <w:t>1.2.1文献检索与初筛流程（A1）</w:t>
      </w:r>
    </w:p>
    <w:p w14:paraId="210363DF">
      <w:pPr>
        <w:spacing w:line="480" w:lineRule="exact"/>
        <w:ind w:firstLine="616" w:firstLineChars="257"/>
        <w:jc w:val="left"/>
        <w:rPr>
          <w:sz w:val="24"/>
        </w:rPr>
      </w:pPr>
      <w:r>
        <w:rPr>
          <w:sz w:val="24"/>
        </w:rPr>
        <w:t>文献检索与初筛流程部分依托于原始文献匹配，其核心原理为由词典法从美国环保署环境词典中构建一元词典，二元词典和多元词典，受显卡</w:t>
      </w:r>
      <w:r>
        <w:rPr>
          <w:rFonts w:hint="eastAsia"/>
          <w:sz w:val="24"/>
          <w:lang w:eastAsia="zh"/>
        </w:rPr>
        <w:t>（RTX 4090)</w:t>
      </w:r>
      <w:r>
        <w:rPr>
          <w:sz w:val="24"/>
        </w:rPr>
        <w:t>性能限制，此处以一元词典</w:t>
      </w:r>
      <w:r>
        <w:rPr>
          <w:rFonts w:hint="eastAsia"/>
          <w:sz w:val="24"/>
          <w:lang w:eastAsia="zh"/>
        </w:rPr>
        <w:t>（</w:t>
      </w:r>
      <w:r>
        <w:rPr>
          <w:rFonts w:hint="eastAsia"/>
          <w:sz w:val="24"/>
        </w:rPr>
        <w:t>Huang</w:t>
      </w:r>
      <w:r>
        <w:rPr>
          <w:rFonts w:hint="eastAsia"/>
          <w:sz w:val="24"/>
          <w:lang w:eastAsia="zh"/>
        </w:rPr>
        <w:t xml:space="preserve"> </w:t>
      </w:r>
      <w:r>
        <w:rPr>
          <w:rFonts w:hint="eastAsia"/>
          <w:sz w:val="24"/>
        </w:rPr>
        <w:t>et</w:t>
      </w:r>
      <w:r>
        <w:rPr>
          <w:rFonts w:hint="eastAsia"/>
          <w:sz w:val="24"/>
          <w:lang w:eastAsia="zh"/>
        </w:rPr>
        <w:t xml:space="preserve"> </w:t>
      </w:r>
      <w:r>
        <w:rPr>
          <w:rFonts w:hint="eastAsia"/>
          <w:sz w:val="24"/>
        </w:rPr>
        <w:t>al</w:t>
      </w:r>
      <w:r>
        <w:rPr>
          <w:rFonts w:hint="eastAsia"/>
          <w:sz w:val="24"/>
          <w:lang w:eastAsia="zh"/>
        </w:rPr>
        <w:t>.，2024）</w:t>
      </w:r>
      <w:r>
        <w:rPr>
          <w:sz w:val="24"/>
        </w:rPr>
        <w:t>作为分析的底层逻辑。使用已构筑的词典（Environmental</w:t>
      </w:r>
      <w:r>
        <w:rPr>
          <w:rFonts w:hint="eastAsia"/>
          <w:sz w:val="24"/>
        </w:rPr>
        <w:t xml:space="preserve"> </w:t>
      </w:r>
      <w:r>
        <w:rPr>
          <w:sz w:val="24"/>
        </w:rPr>
        <w:t>Dictionary，ED）对人工检索得到的必要文献的题目与摘要进行检索（N=2000，机械取样），按照词频报出结果进行拟定关键词的确定。其中具备共性的关键词是“</w:t>
      </w:r>
      <w:r>
        <w:rPr>
          <w:i/>
          <w:iCs/>
          <w:sz w:val="24"/>
        </w:rPr>
        <w:t>p</w:t>
      </w:r>
      <w:r>
        <w:rPr>
          <w:rFonts w:hint="eastAsia"/>
          <w:sz w:val="24"/>
          <w:lang w:eastAsia="zh"/>
        </w:rPr>
        <w:t>-</w:t>
      </w:r>
      <w:r>
        <w:rPr>
          <w:sz w:val="24"/>
        </w:rPr>
        <w:t>phenylenediamine”“quinone”“tire</w:t>
      </w:r>
      <w:r>
        <w:rPr>
          <w:rFonts w:hint="eastAsia"/>
          <w:sz w:val="24"/>
        </w:rPr>
        <w:t xml:space="preserve"> </w:t>
      </w:r>
      <w:r>
        <w:rPr>
          <w:sz w:val="24"/>
        </w:rPr>
        <w:t>wear”等关键词根。</w:t>
      </w:r>
    </w:p>
    <w:p w14:paraId="1A1B296C">
      <w:pPr>
        <w:spacing w:line="480" w:lineRule="exact"/>
        <w:ind w:firstLine="616" w:firstLineChars="257"/>
        <w:jc w:val="left"/>
        <w:rPr>
          <w:sz w:val="24"/>
          <w:lang w:eastAsia="zh"/>
        </w:rPr>
      </w:pPr>
      <w:r>
        <w:rPr>
          <w:rFonts w:hint="eastAsia"/>
          <w:sz w:val="24"/>
        </w:rPr>
        <w:t>其中，设计的关键公式以及参数如下：</w:t>
      </w:r>
      <w:r>
        <w:rPr>
          <w:rFonts w:hint="eastAsia"/>
          <w:sz w:val="24"/>
          <w:lang w:eastAsia="zh"/>
        </w:rPr>
        <w:t>词元标准化公式是对原始词元进行小写化，特殊字符剔除与格式统一的重要流程公式，在对词元文本进行处理后，得到标准化环境词元</w:t>
      </w:r>
      <w:r>
        <w:rPr>
          <w:sz w:val="24"/>
          <w:lang w:eastAsia="zh"/>
        </w:rPr>
        <w:t>t*</w:t>
      </w:r>
      <w:r>
        <w:rPr>
          <w:rFonts w:hint="eastAsia"/>
          <w:sz w:val="24"/>
          <w:lang w:eastAsia="zh"/>
        </w:rPr>
        <w:t>如公式2.1所示。</w:t>
      </w:r>
    </w:p>
    <w:p w14:paraId="1F10CBAF">
      <w:pPr>
        <w:spacing w:line="480" w:lineRule="exact"/>
        <w:ind w:firstLine="616" w:firstLineChars="257"/>
        <w:jc w:val="left"/>
        <w:rPr>
          <w:sz w:val="24"/>
          <w:lang w:eastAsia="zh"/>
        </w:rPr>
      </w:pPr>
      <w:r>
        <w:rPr>
          <w:sz w:val="24"/>
          <w:lang w:eastAsia="zh"/>
        </w:rPr>
        <w:t>t*</w:t>
      </w:r>
      <w:r>
        <w:rPr>
          <w:rFonts w:hint="eastAsia"/>
          <w:sz w:val="24"/>
          <w:lang w:eastAsia="zh"/>
        </w:rPr>
        <w:t>=Lower(Clean(t))                                           （2.1）</w:t>
      </w:r>
    </w:p>
    <w:p w14:paraId="6262BBEF">
      <w:pPr>
        <w:spacing w:line="480" w:lineRule="exact"/>
        <w:ind w:firstLine="616" w:firstLineChars="257"/>
        <w:jc w:val="left"/>
        <w:rPr>
          <w:sz w:val="24"/>
          <w:lang w:eastAsia="zh"/>
        </w:rPr>
      </w:pPr>
      <w:r>
        <w:rPr>
          <w:rFonts w:hint="eastAsia"/>
          <w:sz w:val="24"/>
          <w:lang w:eastAsia="zh"/>
        </w:rPr>
        <w:t>定义Clean函数为剔除标点，括号和特殊符号等无效字符的过程，Lower表示统一转换为小写样式的流程。</w:t>
      </w:r>
    </w:p>
    <w:p w14:paraId="00D0A4FB">
      <w:pPr>
        <w:spacing w:line="480" w:lineRule="exact"/>
        <w:ind w:firstLine="616" w:firstLineChars="257"/>
        <w:jc w:val="left"/>
        <w:rPr>
          <w:sz w:val="24"/>
          <w:lang w:eastAsia="zh"/>
        </w:rPr>
      </w:pPr>
      <w:r>
        <w:rPr>
          <w:rFonts w:hint="eastAsia"/>
          <w:sz w:val="24"/>
          <w:lang w:eastAsia="zh"/>
        </w:rPr>
        <w:t>基于公式2.1的基础上构建一元环境词典ED，设定文献集合分词后总词元数位V，则显然有一元环境词典ED1如公式2.2所示。</w:t>
      </w:r>
    </w:p>
    <w:p w14:paraId="5F55ECE6">
      <w:pPr>
        <w:spacing w:line="480" w:lineRule="exact"/>
        <w:ind w:firstLine="616" w:firstLineChars="257"/>
        <w:jc w:val="left"/>
        <w:rPr>
          <w:sz w:val="24"/>
          <w:lang w:eastAsia="zh"/>
        </w:rPr>
      </w:pPr>
      <w:r>
        <w:rPr>
          <w:rFonts w:hint="eastAsia"/>
          <w:sz w:val="24"/>
          <w:lang w:eastAsia="zh"/>
        </w:rPr>
        <w:t>ED1={</w:t>
      </w:r>
      <w:r>
        <w:rPr>
          <w:sz w:val="24"/>
          <w:lang w:eastAsia="zh"/>
        </w:rPr>
        <w:t>t</w:t>
      </w:r>
      <w:r>
        <w:rPr>
          <w:rFonts w:hint="eastAsia"/>
          <w:sz w:val="24"/>
          <w:lang w:eastAsia="zh"/>
        </w:rPr>
        <w:t>1</w:t>
      </w:r>
      <w:r>
        <w:rPr>
          <w:sz w:val="24"/>
          <w:lang w:eastAsia="zh"/>
        </w:rPr>
        <w:t>*</w:t>
      </w:r>
      <w:r>
        <w:rPr>
          <w:rFonts w:hint="eastAsia"/>
          <w:sz w:val="24"/>
          <w:lang w:eastAsia="zh"/>
        </w:rPr>
        <w:t>，……tv*}                                       （2.2）</w:t>
      </w:r>
    </w:p>
    <w:p w14:paraId="7E6E2AD7">
      <w:pPr>
        <w:spacing w:line="480" w:lineRule="exact"/>
        <w:ind w:firstLine="616" w:firstLineChars="257"/>
        <w:jc w:val="left"/>
        <w:rPr>
          <w:sz w:val="24"/>
          <w:lang w:eastAsia="zh"/>
        </w:rPr>
      </w:pPr>
      <w:r>
        <w:rPr>
          <w:rFonts w:hint="eastAsia"/>
          <w:sz w:val="24"/>
          <w:lang w:eastAsia="zh"/>
        </w:rPr>
        <w:t>所有在公式2.2中的t在此处均为标准化词元，随后通过词典匹配方式从文本中识别环境关键词，输出文本中命中的全部环境关键词集合Match如公式2.3所示。</w:t>
      </w:r>
    </w:p>
    <w:p w14:paraId="636E6600">
      <w:pPr>
        <w:spacing w:line="480" w:lineRule="exact"/>
        <w:ind w:firstLine="616" w:firstLineChars="257"/>
        <w:jc w:val="left"/>
        <w:rPr>
          <w:sz w:val="24"/>
          <w:lang w:eastAsia="zh"/>
        </w:rPr>
      </w:pPr>
      <w:r>
        <w:rPr>
          <w:sz w:val="24"/>
          <w:lang w:eastAsia="zh"/>
        </w:rPr>
        <w:t>Match</w:t>
      </w:r>
      <w:r>
        <w:rPr>
          <w:sz w:val="24"/>
        </w:rPr>
        <w:t>={</w:t>
      </w:r>
      <w:r>
        <w:rPr>
          <w:sz w:val="24"/>
          <w:lang w:eastAsia="zh"/>
        </w:rPr>
        <w:t>t</w:t>
      </w:r>
      <w:r>
        <w:rPr>
          <w:sz w:val="24"/>
        </w:rPr>
        <w:t>∗|</w:t>
      </w:r>
      <w:r>
        <w:rPr>
          <w:sz w:val="24"/>
          <w:lang w:eastAsia="zh"/>
        </w:rPr>
        <w:t>t</w:t>
      </w:r>
      <w:r>
        <w:rPr>
          <w:sz w:val="24"/>
        </w:rPr>
        <w:t>∗∈</w:t>
      </w:r>
      <w:r>
        <w:rPr>
          <w:sz w:val="24"/>
          <w:lang w:eastAsia="zh"/>
        </w:rPr>
        <w:t>ED</w:t>
      </w:r>
      <w:r>
        <w:rPr>
          <w:sz w:val="24"/>
        </w:rPr>
        <w:t>1∩</w:t>
      </w:r>
      <w:r>
        <w:rPr>
          <w:sz w:val="24"/>
          <w:lang w:eastAsia="zh"/>
        </w:rPr>
        <w:t>t</w:t>
      </w:r>
      <w:r>
        <w:rPr>
          <w:sz w:val="24"/>
        </w:rPr>
        <w:t>∗∈</w:t>
      </w:r>
      <w:r>
        <w:rPr>
          <w:sz w:val="24"/>
          <w:lang w:eastAsia="zh"/>
        </w:rPr>
        <w:t>T</w:t>
      </w:r>
      <w:r>
        <w:rPr>
          <w:sz w:val="24"/>
        </w:rPr>
        <w:t>norm}</w:t>
      </w:r>
      <w:r>
        <w:rPr>
          <w:rFonts w:hint="eastAsia"/>
          <w:sz w:val="24"/>
        </w:rPr>
        <w:t xml:space="preserve">                                      </w:t>
      </w:r>
      <w:r>
        <w:rPr>
          <w:rFonts w:hint="eastAsia"/>
          <w:sz w:val="24"/>
          <w:lang w:eastAsia="zh"/>
        </w:rPr>
        <w:t>（2.3）</w:t>
      </w:r>
    </w:p>
    <w:p w14:paraId="1D4BFD6C">
      <w:pPr>
        <w:spacing w:line="480" w:lineRule="exact"/>
        <w:ind w:firstLine="616" w:firstLineChars="257"/>
        <w:jc w:val="left"/>
        <w:rPr>
          <w:sz w:val="24"/>
          <w:lang w:eastAsia="zh"/>
        </w:rPr>
      </w:pPr>
      <w:r>
        <w:rPr>
          <w:rFonts w:hint="eastAsia"/>
          <w:sz w:val="24"/>
          <w:lang w:eastAsia="zh"/>
        </w:rPr>
        <w:t>公式2.3可以实现标准化文本T中提取存在于一元环境词典ED中的词。</w:t>
      </w:r>
    </w:p>
    <w:p w14:paraId="0745CF89">
      <w:pPr>
        <w:spacing w:line="480" w:lineRule="exact"/>
        <w:ind w:firstLine="616" w:firstLineChars="257"/>
        <w:jc w:val="left"/>
        <w:rPr>
          <w:sz w:val="24"/>
          <w:lang w:eastAsia="zh"/>
        </w:rPr>
      </w:pPr>
    </w:p>
    <w:p w14:paraId="1C377032">
      <w:pPr>
        <w:spacing w:line="480" w:lineRule="exact"/>
        <w:jc w:val="left"/>
        <w:rPr>
          <w:rFonts w:eastAsia="黑体"/>
          <w:sz w:val="24"/>
          <w:lang w:eastAsia="zh"/>
        </w:rPr>
      </w:pPr>
      <w:r>
        <w:rPr>
          <w:rFonts w:hint="eastAsia" w:eastAsia="黑体"/>
          <w:sz w:val="24"/>
          <w:lang w:eastAsia="zh"/>
        </w:rPr>
        <w:t>1.2.2</w:t>
      </w:r>
      <w:r>
        <w:rPr>
          <w:rFonts w:eastAsia="黑体"/>
          <w:sz w:val="24"/>
          <w:lang w:eastAsia="zh"/>
        </w:rPr>
        <w:t>WOS布尔检索与文献预处理（B1+C1）</w:t>
      </w:r>
    </w:p>
    <w:p w14:paraId="15D7F533">
      <w:pPr>
        <w:spacing w:line="480" w:lineRule="exact"/>
        <w:ind w:firstLine="616" w:firstLineChars="257"/>
        <w:jc w:val="left"/>
        <w:rPr>
          <w:sz w:val="24"/>
          <w:lang w:eastAsia="zh"/>
        </w:rPr>
      </w:pPr>
      <w:r>
        <w:rPr>
          <w:sz w:val="24"/>
        </w:rPr>
        <w:t>根据上述的内容共筛选得到共性关键词用以支撑WOS的文献检索，并且通过共性的特征减少因为书写习惯不同而导致的文本偏误。如使用对苯二胺，归趋等大尺度词语来进行WOS检索，以尽可能获得齐全的论文信息。最终所有文本按照1000篇每份导出为7份数据输出，分别为N1（N=1000），N2（N=1000），N3（N=1000），N4（N=1000），N5（N=1000），N6（N=1000），N7（N=360）。在完成文献批量的导出后，将对文献进行初步筛选，筛选的对象为符合词目贡献的主要字符串，以下主要分为环境关键词计算以及文献预处理模块的原理</w:t>
      </w:r>
      <w:r>
        <w:rPr>
          <w:rFonts w:hint="eastAsia"/>
          <w:sz w:val="24"/>
          <w:lang w:eastAsia="zh"/>
        </w:rPr>
        <w:t>（附录A）</w:t>
      </w:r>
      <w:r>
        <w:rPr>
          <w:sz w:val="24"/>
        </w:rPr>
        <w:t>。</w:t>
      </w:r>
    </w:p>
    <w:p w14:paraId="18E66080">
      <w:pPr>
        <w:spacing w:line="480" w:lineRule="exact"/>
        <w:ind w:firstLine="616" w:firstLineChars="257"/>
        <w:jc w:val="left"/>
        <w:rPr>
          <w:sz w:val="24"/>
          <w:lang w:eastAsia="zh"/>
        </w:rPr>
      </w:pPr>
      <w:r>
        <w:rPr>
          <w:sz w:val="24"/>
          <w:lang w:eastAsia="zh"/>
        </w:rPr>
        <w:t>上述模块以</w:t>
      </w:r>
      <w:r>
        <w:rPr>
          <w:rFonts w:hint="eastAsia"/>
          <w:sz w:val="24"/>
          <w:lang w:eastAsia="zh"/>
        </w:rPr>
        <w:t>沙利浦加法解释散点（</w:t>
      </w:r>
      <w:r>
        <w:rPr>
          <w:sz w:val="24"/>
          <w:lang w:eastAsia="zh"/>
        </w:rPr>
        <w:t>S</w:t>
      </w:r>
      <w:r>
        <w:rPr>
          <w:rFonts w:hint="eastAsia"/>
          <w:sz w:val="24"/>
        </w:rPr>
        <w:t>H</w:t>
      </w:r>
      <w:r>
        <w:rPr>
          <w:sz w:val="24"/>
          <w:lang w:eastAsia="zh"/>
        </w:rPr>
        <w:t>apley</w:t>
      </w:r>
      <w:r>
        <w:rPr>
          <w:rFonts w:hint="eastAsia"/>
          <w:sz w:val="24"/>
          <w:lang w:eastAsia="zh"/>
        </w:rPr>
        <w:t xml:space="preserve"> </w:t>
      </w:r>
      <w:r>
        <w:rPr>
          <w:sz w:val="24"/>
          <w:lang w:eastAsia="zh"/>
        </w:rPr>
        <w:t>Additive</w:t>
      </w:r>
      <w:r>
        <w:rPr>
          <w:rFonts w:hint="eastAsia"/>
          <w:sz w:val="24"/>
          <w:lang w:eastAsia="zh"/>
        </w:rPr>
        <w:t xml:space="preserve"> </w:t>
      </w:r>
      <w:r>
        <w:rPr>
          <w:sz w:val="24"/>
          <w:lang w:eastAsia="zh"/>
        </w:rPr>
        <w:t>exPlanations</w:t>
      </w:r>
      <w:r>
        <w:rPr>
          <w:rFonts w:hint="eastAsia"/>
          <w:sz w:val="24"/>
          <w:lang w:eastAsia="zh"/>
        </w:rPr>
        <w:t xml:space="preserve">, </w:t>
      </w:r>
      <w:r>
        <w:rPr>
          <w:sz w:val="24"/>
          <w:lang w:eastAsia="zh"/>
        </w:rPr>
        <w:t>SHAP</w:t>
      </w:r>
      <w:r>
        <w:rPr>
          <w:rFonts w:hint="eastAsia"/>
          <w:sz w:val="24"/>
          <w:lang w:eastAsia="zh"/>
        </w:rPr>
        <w:t>）</w:t>
      </w:r>
      <w:r>
        <w:rPr>
          <w:sz w:val="24"/>
          <w:lang w:eastAsia="zh"/>
        </w:rPr>
        <w:t>蜂群图贡献度挖掘为核心前置步骤，通过量化各关键词对文献表征指标的贡献程度，自动筛选出高贡献度核心特征，完成精准的关键词挖掘流程。基于筛选后的核心关键词构建标准化检索与匹配词典，消除文献书写习惯差异带来的文本偏误，保障后续分析的一致性。随后开展文献词频统计工作，计算关键词出现频次、丰度与密度等关键指标，完成统计分析环节。依据统计结果对WOS导出文献进行相关性筛选，保留符合研究主题的有效文本数据。最后将筛选后的文献按固定容量分卷存储，生成标准化数据集用于后续研究。全流程严格遵循关键词挖掘→统计分析→文献筛选→分卷存储的逻辑顺序，实现从特征筛选到数据输出的一体化自动化处理，提升文献预处理效率与分析可靠性</w:t>
      </w:r>
      <w:r>
        <w:rPr>
          <w:rFonts w:hint="eastAsia"/>
          <w:sz w:val="24"/>
          <w:lang w:eastAsia="zh"/>
        </w:rPr>
        <w:t>。</w:t>
      </w:r>
    </w:p>
    <w:p w14:paraId="5910C01A">
      <w:pPr>
        <w:spacing w:line="480" w:lineRule="exact"/>
        <w:ind w:firstLine="616" w:firstLineChars="257"/>
        <w:jc w:val="left"/>
        <w:rPr>
          <w:sz w:val="24"/>
          <w:lang w:eastAsia="zh"/>
        </w:rPr>
      </w:pPr>
      <w:r>
        <w:rPr>
          <w:sz w:val="24"/>
          <w:lang w:eastAsia="zh"/>
        </w:rPr>
        <w:t>SHAP用于量化各环境关键词对文献表征指标的贡献程度，此处通过在6360篇文献中使用html工具抽取其中2000篇，进行</w:t>
      </w:r>
      <w:r>
        <w:rPr>
          <w:rFonts w:hint="eastAsia"/>
          <w:sz w:val="24"/>
          <w:lang w:eastAsia="zh"/>
        </w:rPr>
        <w:t>SHAP</w:t>
      </w:r>
      <w:r>
        <w:rPr>
          <w:sz w:val="24"/>
          <w:lang w:eastAsia="zh"/>
        </w:rPr>
        <w:t>分析，通过计算边际贡献值筛选高贡献核心关键词，文献总量计算则是通过对所有文章进行分析，二者结果互相印证。设原始特征矩阵为</w:t>
      </w:r>
      <w:r>
        <w:rPr>
          <w:rFonts w:hint="eastAsia"/>
          <w:sz w:val="24"/>
          <w:lang w:eastAsia="zh"/>
        </w:rPr>
        <w:t>X</w:t>
      </w:r>
      <w:r>
        <w:rPr>
          <w:sz w:val="24"/>
          <w:lang w:eastAsia="zh"/>
        </w:rPr>
        <w:t>，标准化后的特征矩阵为</w:t>
      </w:r>
      <w:r>
        <w:rPr>
          <w:rFonts w:hint="eastAsia"/>
          <w:sz w:val="24"/>
          <w:lang w:eastAsia="zh"/>
        </w:rPr>
        <w:t>X</w:t>
      </w:r>
      <w:r>
        <w:rPr>
          <w:sz w:val="24"/>
          <w:lang w:eastAsia="zh"/>
        </w:rPr>
        <w:t>scale，特征均值为</w:t>
      </w:r>
      <w:r>
        <w:rPr>
          <w:rFonts w:hint="eastAsia"/>
          <w:sz w:val="24"/>
          <w:lang w:eastAsia="zh"/>
        </w:rPr>
        <w:t>X平均</w:t>
      </w:r>
      <w:r>
        <w:rPr>
          <w:sz w:val="24"/>
          <w:lang w:eastAsia="zh"/>
        </w:rPr>
        <w:t>，标准差为</w:t>
      </w:r>
      <w:r>
        <w:rPr>
          <w:rFonts w:hint="eastAsia"/>
          <w:sz w:val="24"/>
          <w:lang w:eastAsia="zh"/>
        </w:rPr>
        <w:t>σ（X）</w:t>
      </w:r>
      <w:r>
        <w:rPr>
          <w:sz w:val="24"/>
          <w:lang w:eastAsia="zh"/>
        </w:rPr>
        <w:t>，标准化公式</w:t>
      </w:r>
      <w:r>
        <w:rPr>
          <w:rFonts w:hint="eastAsia"/>
          <w:sz w:val="24"/>
          <w:lang w:eastAsia="zh"/>
        </w:rPr>
        <w:t>如公式2.4所示。</w:t>
      </w:r>
    </w:p>
    <w:p w14:paraId="72A688B9">
      <w:pPr>
        <w:spacing w:line="480" w:lineRule="exact"/>
        <w:ind w:firstLine="616" w:firstLineChars="257"/>
        <w:jc w:val="left"/>
        <w:rPr>
          <w:sz w:val="24"/>
          <w:lang w:eastAsia="zh"/>
        </w:rPr>
      </w:pPr>
      <w:r>
        <w:rPr>
          <w:rFonts w:hint="eastAsia"/>
          <w:sz w:val="24"/>
          <w:lang w:eastAsia="zh"/>
        </w:rPr>
        <w:drawing>
          <wp:inline distT="0" distB="0" distL="114300" distR="114300">
            <wp:extent cx="561975" cy="287655"/>
            <wp:effectExtent l="0" t="0" r="9525" b="17145"/>
            <wp:docPr id="23"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657119C-6982-421D-8BA7-E74DEB70A7DA-1" descr="latexmath"/>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561975" cy="287655"/>
                    </a:xfrm>
                    <a:prstGeom prst="rect">
                      <a:avLst/>
                    </a:prstGeom>
                  </pic:spPr>
                </pic:pic>
              </a:graphicData>
            </a:graphic>
          </wp:inline>
        </w:drawing>
      </w:r>
      <w:r>
        <w:rPr>
          <w:rFonts w:hint="eastAsia"/>
          <w:sz w:val="24"/>
          <w:lang w:eastAsia="zh"/>
        </w:rPr>
        <w:t xml:space="preserve">                                                   （2.4）</w:t>
      </w:r>
    </w:p>
    <w:p w14:paraId="79D814E5">
      <w:pPr>
        <w:spacing w:line="480" w:lineRule="exact"/>
        <w:ind w:firstLine="616" w:firstLineChars="257"/>
        <w:jc w:val="left"/>
        <w:rPr>
          <w:sz w:val="24"/>
          <w:lang w:eastAsia="zh"/>
        </w:rPr>
      </w:pPr>
      <w:r>
        <w:rPr>
          <w:rFonts w:hint="eastAsia"/>
          <w:sz w:val="24"/>
          <w:lang w:eastAsia="zh"/>
        </w:rPr>
        <w:t>通过对公式2.1的运用与公式2.4的运用，可以得出依托SHAP关键词的蜂群图，从而推导得出关键词句，为神经网络提供权重参考。</w:t>
      </w:r>
    </w:p>
    <w:p w14:paraId="71A68069">
      <w:pPr>
        <w:spacing w:line="480" w:lineRule="exact"/>
        <w:ind w:firstLine="616" w:firstLineChars="257"/>
        <w:jc w:val="left"/>
        <w:rPr>
          <w:sz w:val="24"/>
          <w:lang w:eastAsia="zh"/>
        </w:rPr>
      </w:pPr>
    </w:p>
    <w:p w14:paraId="1B9939A7">
      <w:pPr>
        <w:spacing w:line="480" w:lineRule="exact"/>
        <w:jc w:val="left"/>
        <w:rPr>
          <w:rFonts w:eastAsia="黑体"/>
          <w:sz w:val="24"/>
          <w:lang w:eastAsia="zh"/>
        </w:rPr>
      </w:pPr>
      <w:r>
        <w:rPr>
          <w:rFonts w:hint="eastAsia" w:eastAsia="黑体"/>
          <w:sz w:val="24"/>
          <w:lang w:eastAsia="zh"/>
        </w:rPr>
        <w:t>1.</w:t>
      </w:r>
      <w:r>
        <w:rPr>
          <w:rFonts w:eastAsia="黑体"/>
          <w:sz w:val="24"/>
          <w:lang w:eastAsia="zh"/>
        </w:rPr>
        <w:t>2.3文本神经网络模型的选型与构建（D1）</w:t>
      </w:r>
    </w:p>
    <w:p w14:paraId="604578BC">
      <w:pPr>
        <w:spacing w:line="480" w:lineRule="exact"/>
        <w:ind w:firstLine="616" w:firstLineChars="257"/>
        <w:jc w:val="left"/>
        <w:rPr>
          <w:sz w:val="24"/>
        </w:rPr>
      </w:pPr>
      <w:r>
        <w:rPr>
          <w:sz w:val="24"/>
        </w:rPr>
        <w:t>针对对苯二胺类污染物相关文献的文本特征，以精准提取污染物、浓度、地域、介质等核心实体信息为目标，开展多类型NLP工具与神经网络模型的性能维度对比，结合文献挖掘的实操需求确定适配的预处理工具与基础模型框架，针对基础模型在特征提取中的固有痛点，引入注意力机制完成模型优化，最终构建贴合环境文献实体识别需求的文本神经网络模型，实现文献中核心信息的高效定位与精准提取，为后续批量数据处理和污染物信息汇编奠定算法基础。不同NLP工具与神经网络模型的技术特征、功能定位存在显著差异，适配的文本处理场景各有不同，结合文献爬取、预处理、实体识别的全流程需求，从本质类型、主要作用、文本爬取能力、爬虫配合度四个核心维度展开对比分析，具体结果如表1所示。</w:t>
      </w:r>
    </w:p>
    <w:p w14:paraId="64359F8F">
      <w:pPr>
        <w:widowControl/>
        <w:ind w:firstLine="480" w:firstLineChars="200"/>
        <w:jc w:val="left"/>
        <w:rPr>
          <w:color w:val="000000"/>
          <w:kern w:val="0"/>
          <w:sz w:val="24"/>
          <w:lang w:bidi="ar"/>
        </w:rPr>
      </w:pPr>
    </w:p>
    <w:p w14:paraId="783713ED">
      <w:pPr>
        <w:spacing w:line="480" w:lineRule="exact"/>
        <w:ind w:firstLine="539" w:firstLineChars="257"/>
        <w:jc w:val="center"/>
        <w:rPr>
          <w:color w:val="000000"/>
          <w:szCs w:val="21"/>
        </w:rPr>
      </w:pPr>
      <w:r>
        <w:rPr>
          <w:color w:val="000000"/>
          <w:szCs w:val="21"/>
        </w:rPr>
        <w:t>表1.NLP工具与神经网络模型性能对比</w:t>
      </w:r>
    </w:p>
    <w:p w14:paraId="74046946">
      <w:pPr>
        <w:spacing w:line="480" w:lineRule="exact"/>
        <w:ind w:firstLine="539" w:firstLineChars="257"/>
        <w:jc w:val="center"/>
        <w:rPr>
          <w:color w:val="000000"/>
          <w:szCs w:val="21"/>
          <w:lang w:eastAsia="zh"/>
        </w:rPr>
      </w:pPr>
      <w:r>
        <w:rPr>
          <w:color w:val="000000"/>
          <w:szCs w:val="21"/>
          <w:lang w:eastAsia="zh"/>
        </w:rPr>
        <w:t>注：</w:t>
      </w:r>
      <w:r>
        <w:rPr>
          <w:color w:val="000000"/>
          <w:szCs w:val="21"/>
        </w:rPr>
        <w:t>SpaCy为工业级自然语言处理（NaturalLanguageProcessing,NLP）工具库；RNN为循环神经网络（RecurrentNeuralNetwork）；CNN为卷积神经网络（ConvolutionalNeuralNetwork）；GNN为图神经网络（GraphNeuralNetwork）；BS4为BeautifulSoup网页解析库，Scrapy为开源网络爬虫框架</w:t>
      </w:r>
    </w:p>
    <w:tbl>
      <w:tblPr>
        <w:tblStyle w:val="20"/>
        <w:tblW w:w="5000" w:type="pct"/>
        <w:tblInd w:w="0" w:type="dxa"/>
        <w:tblLayout w:type="autofit"/>
        <w:tblCellMar>
          <w:top w:w="15" w:type="dxa"/>
          <w:left w:w="15" w:type="dxa"/>
          <w:bottom w:w="15" w:type="dxa"/>
          <w:right w:w="15" w:type="dxa"/>
        </w:tblCellMar>
      </w:tblPr>
      <w:tblGrid>
        <w:gridCol w:w="1759"/>
        <w:gridCol w:w="1699"/>
        <w:gridCol w:w="1622"/>
        <w:gridCol w:w="1699"/>
        <w:gridCol w:w="1773"/>
      </w:tblGrid>
      <w:tr w14:paraId="3DE1A5F7">
        <w:tblPrEx>
          <w:tblCellMar>
            <w:top w:w="15" w:type="dxa"/>
            <w:left w:w="15" w:type="dxa"/>
            <w:bottom w:w="15" w:type="dxa"/>
            <w:right w:w="15" w:type="dxa"/>
          </w:tblCellMar>
        </w:tblPrEx>
        <w:trPr>
          <w:tblHeader/>
        </w:trPr>
        <w:tc>
          <w:tcPr>
            <w:tcW w:w="1028" w:type="pct"/>
            <w:tcBorders>
              <w:top w:val="single" w:color="000000" w:sz="4" w:space="0"/>
              <w:left w:val="single" w:color="CCCCCC" w:sz="6" w:space="0"/>
              <w:bottom w:val="single" w:color="000000" w:sz="4" w:space="0"/>
              <w:right w:val="single" w:color="CCCCCC" w:sz="6" w:space="0"/>
            </w:tcBorders>
            <w:tcMar>
              <w:top w:w="120" w:type="dxa"/>
              <w:left w:w="120" w:type="dxa"/>
              <w:bottom w:w="120" w:type="dxa"/>
              <w:right w:w="120" w:type="dxa"/>
            </w:tcMar>
            <w:vAlign w:val="center"/>
          </w:tcPr>
          <w:p w14:paraId="68479E22">
            <w:pPr>
              <w:widowControl/>
              <w:jc w:val="left"/>
              <w:rPr>
                <w:b/>
                <w:bCs/>
                <w:szCs w:val="21"/>
              </w:rPr>
            </w:pPr>
            <w:r>
              <w:rPr>
                <w:b/>
                <w:bCs/>
                <w:kern w:val="0"/>
                <w:szCs w:val="21"/>
                <w:lang w:bidi="ar"/>
              </w:rPr>
              <w:t>对比维度</w:t>
            </w:r>
          </w:p>
        </w:tc>
        <w:tc>
          <w:tcPr>
            <w:tcW w:w="993" w:type="pct"/>
            <w:tcBorders>
              <w:top w:val="single" w:color="000000" w:sz="4" w:space="0"/>
              <w:left w:val="single" w:color="CCCCCC" w:sz="6" w:space="0"/>
              <w:bottom w:val="single" w:color="000000" w:sz="4" w:space="0"/>
              <w:right w:val="single" w:color="CCCCCC" w:sz="6" w:space="0"/>
            </w:tcBorders>
            <w:tcMar>
              <w:top w:w="120" w:type="dxa"/>
              <w:left w:w="120" w:type="dxa"/>
              <w:bottom w:w="120" w:type="dxa"/>
              <w:right w:w="120" w:type="dxa"/>
            </w:tcMar>
            <w:vAlign w:val="center"/>
          </w:tcPr>
          <w:p w14:paraId="1E8A7A5C">
            <w:pPr>
              <w:widowControl/>
              <w:jc w:val="left"/>
              <w:rPr>
                <w:b/>
                <w:bCs/>
                <w:szCs w:val="21"/>
              </w:rPr>
            </w:pPr>
            <w:r>
              <w:rPr>
                <w:b/>
                <w:bCs/>
                <w:kern w:val="0"/>
                <w:szCs w:val="21"/>
                <w:lang w:bidi="ar"/>
              </w:rPr>
              <w:t>SpaCy</w:t>
            </w:r>
          </w:p>
        </w:tc>
        <w:tc>
          <w:tcPr>
            <w:tcW w:w="948" w:type="pct"/>
            <w:tcBorders>
              <w:top w:val="single" w:color="000000" w:sz="4" w:space="0"/>
              <w:left w:val="single" w:color="CCCCCC" w:sz="6" w:space="0"/>
              <w:bottom w:val="single" w:color="000000" w:sz="4" w:space="0"/>
              <w:right w:val="single" w:color="CCCCCC" w:sz="6" w:space="0"/>
            </w:tcBorders>
            <w:tcMar>
              <w:top w:w="120" w:type="dxa"/>
              <w:left w:w="120" w:type="dxa"/>
              <w:bottom w:w="120" w:type="dxa"/>
              <w:right w:w="120" w:type="dxa"/>
            </w:tcMar>
            <w:vAlign w:val="center"/>
          </w:tcPr>
          <w:p w14:paraId="4184E680">
            <w:pPr>
              <w:widowControl/>
              <w:jc w:val="left"/>
              <w:rPr>
                <w:b/>
                <w:bCs/>
                <w:szCs w:val="21"/>
              </w:rPr>
            </w:pPr>
            <w:r>
              <w:rPr>
                <w:b/>
                <w:bCs/>
                <w:kern w:val="0"/>
                <w:szCs w:val="21"/>
                <w:lang w:bidi="ar"/>
              </w:rPr>
              <w:t>RNN</w:t>
            </w:r>
          </w:p>
        </w:tc>
        <w:tc>
          <w:tcPr>
            <w:tcW w:w="993" w:type="pct"/>
            <w:tcBorders>
              <w:top w:val="single" w:color="000000" w:sz="4" w:space="0"/>
              <w:left w:val="single" w:color="CCCCCC" w:sz="6" w:space="0"/>
              <w:bottom w:val="single" w:color="000000" w:sz="4" w:space="0"/>
              <w:right w:val="single" w:color="CCCCCC" w:sz="6" w:space="0"/>
            </w:tcBorders>
            <w:tcMar>
              <w:top w:w="120" w:type="dxa"/>
              <w:left w:w="120" w:type="dxa"/>
              <w:bottom w:w="120" w:type="dxa"/>
              <w:right w:w="120" w:type="dxa"/>
            </w:tcMar>
            <w:vAlign w:val="center"/>
          </w:tcPr>
          <w:p w14:paraId="228B967E">
            <w:pPr>
              <w:widowControl/>
              <w:jc w:val="left"/>
              <w:rPr>
                <w:b/>
                <w:bCs/>
                <w:szCs w:val="21"/>
              </w:rPr>
            </w:pPr>
            <w:r>
              <w:rPr>
                <w:b/>
                <w:bCs/>
                <w:kern w:val="0"/>
                <w:szCs w:val="21"/>
                <w:lang w:bidi="ar"/>
              </w:rPr>
              <w:t>CNN</w:t>
            </w:r>
          </w:p>
        </w:tc>
        <w:tc>
          <w:tcPr>
            <w:tcW w:w="1036" w:type="pct"/>
            <w:tcBorders>
              <w:top w:val="single" w:color="000000" w:sz="4" w:space="0"/>
              <w:left w:val="single" w:color="CCCCCC" w:sz="6" w:space="0"/>
              <w:bottom w:val="single" w:color="000000" w:sz="4" w:space="0"/>
              <w:right w:val="single" w:color="CCCCCC" w:sz="6" w:space="0"/>
            </w:tcBorders>
            <w:tcMar>
              <w:top w:w="120" w:type="dxa"/>
              <w:left w:w="120" w:type="dxa"/>
              <w:bottom w:w="120" w:type="dxa"/>
              <w:right w:w="120" w:type="dxa"/>
            </w:tcMar>
            <w:vAlign w:val="center"/>
          </w:tcPr>
          <w:p w14:paraId="60191904">
            <w:pPr>
              <w:widowControl/>
              <w:jc w:val="left"/>
              <w:rPr>
                <w:b/>
                <w:bCs/>
                <w:szCs w:val="21"/>
              </w:rPr>
            </w:pPr>
            <w:r>
              <w:rPr>
                <w:b/>
                <w:bCs/>
                <w:kern w:val="0"/>
                <w:szCs w:val="21"/>
                <w:lang w:bidi="ar"/>
              </w:rPr>
              <w:t>GNN</w:t>
            </w:r>
          </w:p>
        </w:tc>
      </w:tr>
      <w:tr w14:paraId="6CA684BB">
        <w:tblPrEx>
          <w:tblCellMar>
            <w:top w:w="15" w:type="dxa"/>
            <w:left w:w="15" w:type="dxa"/>
            <w:bottom w:w="15" w:type="dxa"/>
            <w:right w:w="15" w:type="dxa"/>
          </w:tblCellMar>
        </w:tblPrEx>
        <w:tc>
          <w:tcPr>
            <w:tcW w:w="1028" w:type="pct"/>
            <w:tcBorders>
              <w:top w:val="single" w:color="000000" w:sz="4"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14A8C3B5">
            <w:pPr>
              <w:widowControl/>
              <w:jc w:val="left"/>
              <w:rPr>
                <w:szCs w:val="21"/>
              </w:rPr>
            </w:pPr>
            <w:r>
              <w:rPr>
                <w:kern w:val="0"/>
                <w:szCs w:val="21"/>
                <w:lang w:bidi="ar"/>
              </w:rPr>
              <w:t>本质类型</w:t>
            </w:r>
          </w:p>
        </w:tc>
        <w:tc>
          <w:tcPr>
            <w:tcW w:w="993" w:type="pct"/>
            <w:tcBorders>
              <w:top w:val="single" w:color="000000" w:sz="4"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2968BB77">
            <w:pPr>
              <w:widowControl/>
              <w:jc w:val="left"/>
              <w:rPr>
                <w:szCs w:val="21"/>
              </w:rPr>
            </w:pPr>
            <w:r>
              <w:rPr>
                <w:kern w:val="0"/>
                <w:szCs w:val="21"/>
                <w:lang w:bidi="ar"/>
              </w:rPr>
              <w:t>NLP预处理/工具库</w:t>
            </w:r>
          </w:p>
        </w:tc>
        <w:tc>
          <w:tcPr>
            <w:tcW w:w="948" w:type="pct"/>
            <w:tcBorders>
              <w:top w:val="single" w:color="000000" w:sz="4"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1EC8D5D">
            <w:pPr>
              <w:widowControl/>
              <w:jc w:val="left"/>
              <w:rPr>
                <w:szCs w:val="21"/>
              </w:rPr>
            </w:pPr>
            <w:r>
              <w:rPr>
                <w:kern w:val="0"/>
                <w:szCs w:val="21"/>
                <w:lang w:bidi="ar"/>
              </w:rPr>
              <w:t>深度学习神经网络模型</w:t>
            </w:r>
          </w:p>
        </w:tc>
        <w:tc>
          <w:tcPr>
            <w:tcW w:w="993" w:type="pct"/>
            <w:tcBorders>
              <w:top w:val="single" w:color="000000" w:sz="4"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5AF7E70D">
            <w:pPr>
              <w:widowControl/>
              <w:jc w:val="left"/>
              <w:rPr>
                <w:szCs w:val="21"/>
              </w:rPr>
            </w:pPr>
            <w:r>
              <w:rPr>
                <w:kern w:val="0"/>
                <w:szCs w:val="21"/>
                <w:lang w:bidi="ar"/>
              </w:rPr>
              <w:t>深度学习神经网络模型</w:t>
            </w:r>
          </w:p>
        </w:tc>
        <w:tc>
          <w:tcPr>
            <w:tcW w:w="1036" w:type="pct"/>
            <w:tcBorders>
              <w:top w:val="single" w:color="000000" w:sz="4"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7367B563">
            <w:pPr>
              <w:widowControl/>
              <w:jc w:val="left"/>
              <w:rPr>
                <w:szCs w:val="21"/>
              </w:rPr>
            </w:pPr>
            <w:r>
              <w:rPr>
                <w:kern w:val="0"/>
                <w:szCs w:val="21"/>
                <w:lang w:bidi="ar"/>
              </w:rPr>
              <w:t>深度学习图神经网络模型</w:t>
            </w:r>
          </w:p>
        </w:tc>
      </w:tr>
      <w:tr w14:paraId="795B0FAB">
        <w:tblPrEx>
          <w:tblCellMar>
            <w:top w:w="15" w:type="dxa"/>
            <w:left w:w="15" w:type="dxa"/>
            <w:bottom w:w="15" w:type="dxa"/>
            <w:right w:w="15" w:type="dxa"/>
          </w:tblCellMar>
        </w:tblPrEx>
        <w:tc>
          <w:tcPr>
            <w:tcW w:w="1028" w:type="pct"/>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4B3EFE2F">
            <w:pPr>
              <w:widowControl/>
              <w:jc w:val="left"/>
              <w:rPr>
                <w:szCs w:val="21"/>
              </w:rPr>
            </w:pPr>
            <w:r>
              <w:rPr>
                <w:kern w:val="0"/>
                <w:szCs w:val="21"/>
                <w:lang w:bidi="ar"/>
              </w:rPr>
              <w:t>主要作用</w:t>
            </w:r>
          </w:p>
        </w:tc>
        <w:tc>
          <w:tcPr>
            <w:tcW w:w="993" w:type="pct"/>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4AAA1B7A">
            <w:pPr>
              <w:widowControl/>
              <w:jc w:val="left"/>
              <w:rPr>
                <w:szCs w:val="21"/>
              </w:rPr>
            </w:pPr>
            <w:r>
              <w:rPr>
                <w:kern w:val="0"/>
                <w:szCs w:val="21"/>
                <w:lang w:bidi="ar"/>
              </w:rPr>
              <w:t>分词、词性、实体、句法、清洗</w:t>
            </w:r>
          </w:p>
        </w:tc>
        <w:tc>
          <w:tcPr>
            <w:tcW w:w="948" w:type="pct"/>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7AECFF51">
            <w:pPr>
              <w:widowControl/>
              <w:jc w:val="left"/>
              <w:rPr>
                <w:szCs w:val="21"/>
              </w:rPr>
            </w:pPr>
            <w:r>
              <w:rPr>
                <w:kern w:val="0"/>
                <w:szCs w:val="21"/>
                <w:lang w:bidi="ar"/>
              </w:rPr>
              <w:t>文本分类/序列标注/生成</w:t>
            </w:r>
          </w:p>
        </w:tc>
        <w:tc>
          <w:tcPr>
            <w:tcW w:w="993" w:type="pct"/>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710BCB1F">
            <w:pPr>
              <w:widowControl/>
              <w:jc w:val="left"/>
              <w:rPr>
                <w:szCs w:val="21"/>
              </w:rPr>
            </w:pPr>
            <w:r>
              <w:rPr>
                <w:kern w:val="0"/>
                <w:szCs w:val="21"/>
                <w:lang w:bidi="ar"/>
              </w:rPr>
              <w:t>文本分类/关键词/局部特征</w:t>
            </w:r>
          </w:p>
        </w:tc>
        <w:tc>
          <w:tcPr>
            <w:tcW w:w="1036" w:type="pct"/>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6C7C5879">
            <w:pPr>
              <w:widowControl/>
              <w:jc w:val="left"/>
              <w:rPr>
                <w:szCs w:val="21"/>
              </w:rPr>
            </w:pPr>
            <w:r>
              <w:rPr>
                <w:kern w:val="0"/>
                <w:szCs w:val="21"/>
                <w:lang w:bidi="ar"/>
              </w:rPr>
              <w:t>关系抽取/语义图/知识推理</w:t>
            </w:r>
          </w:p>
        </w:tc>
      </w:tr>
      <w:tr w14:paraId="4DF7CAC5">
        <w:tblPrEx>
          <w:tblCellMar>
            <w:top w:w="15" w:type="dxa"/>
            <w:left w:w="15" w:type="dxa"/>
            <w:bottom w:w="15" w:type="dxa"/>
            <w:right w:w="15" w:type="dxa"/>
          </w:tblCellMar>
        </w:tblPrEx>
        <w:tc>
          <w:tcPr>
            <w:tcW w:w="1028" w:type="pct"/>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3574FABF">
            <w:pPr>
              <w:widowControl/>
              <w:jc w:val="left"/>
              <w:rPr>
                <w:szCs w:val="21"/>
              </w:rPr>
            </w:pPr>
            <w:r>
              <w:rPr>
                <w:kern w:val="0"/>
                <w:szCs w:val="21"/>
                <w:lang w:bidi="ar"/>
              </w:rPr>
              <w:t>能否单独爬取文本</w:t>
            </w:r>
          </w:p>
        </w:tc>
        <w:tc>
          <w:tcPr>
            <w:tcW w:w="993" w:type="pct"/>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63C45351">
            <w:pPr>
              <w:widowControl/>
              <w:jc w:val="left"/>
              <w:rPr>
                <w:szCs w:val="21"/>
              </w:rPr>
            </w:pPr>
            <w:r>
              <w:rPr>
                <w:kern w:val="0"/>
                <w:szCs w:val="21"/>
                <w:lang w:bidi="ar"/>
              </w:rPr>
              <w:t>不能，需配合爬虫（BS4/Scrapy）</w:t>
            </w:r>
          </w:p>
        </w:tc>
        <w:tc>
          <w:tcPr>
            <w:tcW w:w="948" w:type="pct"/>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7DBD33C6">
            <w:pPr>
              <w:widowControl/>
              <w:jc w:val="left"/>
              <w:rPr>
                <w:szCs w:val="21"/>
              </w:rPr>
            </w:pPr>
            <w:r>
              <w:rPr>
                <w:kern w:val="0"/>
                <w:szCs w:val="21"/>
                <w:lang w:bidi="ar"/>
              </w:rPr>
              <w:t>不能，需预处理后输入</w:t>
            </w:r>
          </w:p>
        </w:tc>
        <w:tc>
          <w:tcPr>
            <w:tcW w:w="993" w:type="pct"/>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5E781B9A">
            <w:pPr>
              <w:widowControl/>
              <w:jc w:val="left"/>
              <w:rPr>
                <w:szCs w:val="21"/>
              </w:rPr>
            </w:pPr>
            <w:r>
              <w:rPr>
                <w:kern w:val="0"/>
                <w:szCs w:val="21"/>
                <w:lang w:bidi="ar"/>
              </w:rPr>
              <w:t>不能，需预处理后输入</w:t>
            </w:r>
          </w:p>
        </w:tc>
        <w:tc>
          <w:tcPr>
            <w:tcW w:w="1036" w:type="pct"/>
            <w:tcBorders>
              <w:top w:val="single" w:color="CCCCCC" w:sz="6" w:space="0"/>
              <w:left w:val="single" w:color="CCCCCC" w:sz="6" w:space="0"/>
              <w:bottom w:val="single" w:color="CCCCCC" w:sz="6" w:space="0"/>
              <w:right w:val="single" w:color="CCCCCC" w:sz="6" w:space="0"/>
            </w:tcBorders>
            <w:tcMar>
              <w:top w:w="120" w:type="dxa"/>
              <w:left w:w="120" w:type="dxa"/>
              <w:bottom w:w="120" w:type="dxa"/>
              <w:right w:w="120" w:type="dxa"/>
            </w:tcMar>
            <w:vAlign w:val="center"/>
          </w:tcPr>
          <w:p w14:paraId="40C7D9B5">
            <w:pPr>
              <w:widowControl/>
              <w:jc w:val="left"/>
              <w:rPr>
                <w:szCs w:val="21"/>
              </w:rPr>
            </w:pPr>
            <w:r>
              <w:rPr>
                <w:kern w:val="0"/>
                <w:szCs w:val="21"/>
                <w:lang w:bidi="ar"/>
              </w:rPr>
              <w:t>不能，需结构化图数据输入</w:t>
            </w:r>
          </w:p>
        </w:tc>
      </w:tr>
      <w:tr w14:paraId="10B76D37">
        <w:tblPrEx>
          <w:tblCellMar>
            <w:top w:w="15" w:type="dxa"/>
            <w:left w:w="15" w:type="dxa"/>
            <w:bottom w:w="15" w:type="dxa"/>
            <w:right w:w="15" w:type="dxa"/>
          </w:tblCellMar>
        </w:tblPrEx>
        <w:tc>
          <w:tcPr>
            <w:tcW w:w="1028" w:type="pct"/>
            <w:tcBorders>
              <w:top w:val="single" w:color="CCCCCC" w:sz="6" w:space="0"/>
              <w:left w:val="single" w:color="CCCCCC" w:sz="6" w:space="0"/>
              <w:bottom w:val="single" w:color="000000" w:sz="4" w:space="0"/>
              <w:right w:val="single" w:color="CCCCCC" w:sz="6" w:space="0"/>
            </w:tcBorders>
            <w:tcMar>
              <w:top w:w="120" w:type="dxa"/>
              <w:left w:w="120" w:type="dxa"/>
              <w:bottom w:w="120" w:type="dxa"/>
              <w:right w:w="120" w:type="dxa"/>
            </w:tcMar>
            <w:vAlign w:val="center"/>
          </w:tcPr>
          <w:p w14:paraId="362AD57D">
            <w:pPr>
              <w:widowControl/>
              <w:jc w:val="left"/>
              <w:rPr>
                <w:szCs w:val="21"/>
              </w:rPr>
            </w:pPr>
            <w:r>
              <w:rPr>
                <w:kern w:val="0"/>
                <w:szCs w:val="21"/>
                <w:lang w:bidi="ar"/>
              </w:rPr>
              <w:t>与爬虫配合度</w:t>
            </w:r>
          </w:p>
        </w:tc>
        <w:tc>
          <w:tcPr>
            <w:tcW w:w="993" w:type="pct"/>
            <w:tcBorders>
              <w:top w:val="single" w:color="CCCCCC" w:sz="6" w:space="0"/>
              <w:left w:val="single" w:color="CCCCCC" w:sz="6" w:space="0"/>
              <w:bottom w:val="single" w:color="000000" w:sz="4" w:space="0"/>
              <w:right w:val="single" w:color="CCCCCC" w:sz="6" w:space="0"/>
            </w:tcBorders>
            <w:tcMar>
              <w:top w:w="120" w:type="dxa"/>
              <w:left w:w="120" w:type="dxa"/>
              <w:bottom w:w="120" w:type="dxa"/>
              <w:right w:w="120" w:type="dxa"/>
            </w:tcMar>
            <w:vAlign w:val="center"/>
          </w:tcPr>
          <w:p w14:paraId="244CE1CC">
            <w:pPr>
              <w:widowControl/>
              <w:jc w:val="left"/>
              <w:rPr>
                <w:szCs w:val="21"/>
              </w:rPr>
            </w:pPr>
            <w:r>
              <w:rPr>
                <w:kern w:val="0"/>
                <w:szCs w:val="21"/>
                <w:lang w:bidi="ar"/>
              </w:rPr>
              <w:t>极高（爬后必须预处理）</w:t>
            </w:r>
          </w:p>
        </w:tc>
        <w:tc>
          <w:tcPr>
            <w:tcW w:w="948" w:type="pct"/>
            <w:tcBorders>
              <w:top w:val="single" w:color="CCCCCC" w:sz="6" w:space="0"/>
              <w:left w:val="single" w:color="CCCCCC" w:sz="6" w:space="0"/>
              <w:bottom w:val="single" w:color="000000" w:sz="4" w:space="0"/>
              <w:right w:val="single" w:color="CCCCCC" w:sz="6" w:space="0"/>
            </w:tcBorders>
            <w:tcMar>
              <w:top w:w="120" w:type="dxa"/>
              <w:left w:w="120" w:type="dxa"/>
              <w:bottom w:w="120" w:type="dxa"/>
              <w:right w:w="120" w:type="dxa"/>
            </w:tcMar>
            <w:vAlign w:val="center"/>
          </w:tcPr>
          <w:p w14:paraId="347F0A3B">
            <w:pPr>
              <w:widowControl/>
              <w:jc w:val="left"/>
              <w:rPr>
                <w:szCs w:val="21"/>
              </w:rPr>
            </w:pPr>
            <w:r>
              <w:rPr>
                <w:kern w:val="0"/>
                <w:szCs w:val="21"/>
                <w:lang w:bidi="ar"/>
              </w:rPr>
              <w:t>中（需SpaCy做数据清洗）</w:t>
            </w:r>
          </w:p>
        </w:tc>
        <w:tc>
          <w:tcPr>
            <w:tcW w:w="993" w:type="pct"/>
            <w:tcBorders>
              <w:top w:val="single" w:color="CCCCCC" w:sz="6" w:space="0"/>
              <w:left w:val="single" w:color="CCCCCC" w:sz="6" w:space="0"/>
              <w:bottom w:val="single" w:color="000000" w:sz="4" w:space="0"/>
              <w:right w:val="single" w:color="CCCCCC" w:sz="6" w:space="0"/>
            </w:tcBorders>
            <w:tcMar>
              <w:top w:w="120" w:type="dxa"/>
              <w:left w:w="120" w:type="dxa"/>
              <w:bottom w:w="120" w:type="dxa"/>
              <w:right w:w="120" w:type="dxa"/>
            </w:tcMar>
            <w:vAlign w:val="center"/>
          </w:tcPr>
          <w:p w14:paraId="08B838FA">
            <w:pPr>
              <w:widowControl/>
              <w:jc w:val="left"/>
              <w:rPr>
                <w:szCs w:val="21"/>
              </w:rPr>
            </w:pPr>
            <w:r>
              <w:rPr>
                <w:kern w:val="0"/>
                <w:szCs w:val="21"/>
                <w:lang w:bidi="ar"/>
              </w:rPr>
              <w:t>中（需SpaCy做数据清洗）</w:t>
            </w:r>
          </w:p>
        </w:tc>
        <w:tc>
          <w:tcPr>
            <w:tcW w:w="1036" w:type="pct"/>
            <w:tcBorders>
              <w:top w:val="single" w:color="CCCCCC" w:sz="6" w:space="0"/>
              <w:left w:val="single" w:color="CCCCCC" w:sz="6" w:space="0"/>
              <w:bottom w:val="single" w:color="000000" w:sz="4" w:space="0"/>
              <w:right w:val="single" w:color="CCCCCC" w:sz="6" w:space="0"/>
            </w:tcBorders>
            <w:tcMar>
              <w:top w:w="120" w:type="dxa"/>
              <w:left w:w="120" w:type="dxa"/>
              <w:bottom w:w="120" w:type="dxa"/>
              <w:right w:w="120" w:type="dxa"/>
            </w:tcMar>
            <w:vAlign w:val="center"/>
          </w:tcPr>
          <w:p w14:paraId="1E6E837F">
            <w:pPr>
              <w:widowControl/>
              <w:jc w:val="left"/>
              <w:rPr>
                <w:szCs w:val="21"/>
              </w:rPr>
            </w:pPr>
            <w:r>
              <w:rPr>
                <w:kern w:val="0"/>
                <w:szCs w:val="21"/>
                <w:lang w:bidi="ar"/>
              </w:rPr>
              <w:t>低（需SpaCy构建文本图结构）</w:t>
            </w:r>
          </w:p>
        </w:tc>
      </w:tr>
    </w:tbl>
    <w:p w14:paraId="67E594CB">
      <w:pPr>
        <w:widowControl/>
        <w:ind w:firstLine="480" w:firstLineChars="200"/>
        <w:rPr>
          <w:color w:val="000000"/>
          <w:kern w:val="0"/>
          <w:sz w:val="24"/>
          <w:lang w:bidi="ar"/>
        </w:rPr>
      </w:pPr>
    </w:p>
    <w:p w14:paraId="6D8A2A54">
      <w:pPr>
        <w:spacing w:line="480" w:lineRule="exact"/>
        <w:ind w:firstLine="616" w:firstLineChars="257"/>
        <w:rPr>
          <w:sz w:val="24"/>
        </w:rPr>
      </w:pPr>
      <w:r>
        <w:rPr>
          <w:sz w:val="24"/>
        </w:rPr>
        <w:t>从环境文献挖掘的实际场景出发，文本处理需先完成爬取后的标准化预处理，再开展深度实体识别，且全程依托BS4完成文献文本爬取，对工具的配合度和预处理效率要求严苛。SpaCy作为专业的NLP预处理工具库，能完成从分词、词性标注到句法分析、文本清洗的全流程预处理工作，与爬虫工具的适配性无其他工具可替代，是文本预处理的唯一适配选择，但该工具仅能完成基础的实体初筛，无法实现核心实体的深度定位与识别。RNN和CNN可用于文本序列标注与局部特征提取，具备实体识别的技术能力，但需以结构化的预处理数据为输入，与爬虫工具的配合度中等，无法直接对接原始爬取文本。GNN侧重语义关系抽取与知识推理，需先将文本转化为结构化图数据，与爬虫工具配合度极低，且针对污染物、浓度等固定类型的实体识别任务存在功能冗余，无需纳入模型框架。全连接神经网络（FCNN）结构简洁、训练效率高，适配固定类别实体的分类与识别任务，与经SpaCy预处理后的结构化文本数据高度契合，因此确定以SpaCy为文本预处理核心工具，以全连接神经网络为实体识别基础模型框架。二者的组合既解决了原始文献文本非结构化、格式混乱的问题，将其转化为模型可识别的标准化数据，又能依托全连接神经网络完成核心实体的识别任务，同时可直接与前期构建的Python批量处理程序、环境污染物专用词典相衔接，无需额外搭建适配接口，降低模型搭建与后续应用的技术成本，完全匹配153篇有效文献的处理规模与实体识别需求。选择SpaCy+FCNN的基础模型框架</w:t>
      </w:r>
      <w:r>
        <w:rPr>
          <w:rFonts w:hint="eastAsia"/>
          <w:sz w:val="24"/>
          <w:lang w:eastAsia="zh"/>
        </w:rPr>
        <w:t>（张耀霖等，2026）</w:t>
      </w:r>
      <w:r>
        <w:rPr>
          <w:sz w:val="24"/>
        </w:rPr>
        <w:t>，核心源于其与对苯二胺类污染物文献文本特征的高度适配。此类文献包含大量专业术语、浓度单位、地域名称、介质类型等实体信息，且存在表述形式不统一、专业词汇嵌套交织、冗余文本占比高的特征，只有通过SpaCy完成精准的分词、无效字符剔除、术语标准化，才能将非结构化的文献文本转化为模型可识别的结构化数据，解决因文本格式混乱导致的识别误差问题。而全连接神经网络无需构建复杂的网络结构，在样本量适配的前提下，训练效率远高于其他深度学习模型，且可通过简单的网络层调整，精准适配污染物、浓度、地域等固定类型的实体识别任务，在保证识别精度的同时，兼顾批量文献处理的效率需求。</w:t>
      </w:r>
    </w:p>
    <w:p w14:paraId="6886B8A5">
      <w:pPr>
        <w:ind w:firstLine="616" w:firstLineChars="257"/>
        <w:jc w:val="left"/>
        <w:rPr>
          <w:sz w:val="24"/>
        </w:rPr>
      </w:pPr>
      <w:r>
        <w:rPr>
          <w:sz w:val="24"/>
        </w:rPr>
        <w:drawing>
          <wp:inline distT="0" distB="0" distL="114300" distR="114300">
            <wp:extent cx="4874260" cy="1998980"/>
            <wp:effectExtent l="0" t="0" r="2540" b="127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tretch>
                      <a:fillRect/>
                    </a:stretch>
                  </pic:blipFill>
                  <pic:spPr>
                    <a:xfrm>
                      <a:off x="0" y="0"/>
                      <a:ext cx="4874260" cy="1998980"/>
                    </a:xfrm>
                    <a:prstGeom prst="rect">
                      <a:avLst/>
                    </a:prstGeom>
                  </pic:spPr>
                </pic:pic>
              </a:graphicData>
            </a:graphic>
          </wp:inline>
        </w:drawing>
      </w:r>
    </w:p>
    <w:p w14:paraId="136693F2">
      <w:pPr>
        <w:spacing w:line="480" w:lineRule="exact"/>
        <w:ind w:firstLine="539" w:firstLineChars="257"/>
        <w:jc w:val="center"/>
        <w:rPr>
          <w:color w:val="000000"/>
          <w:szCs w:val="21"/>
          <w:lang w:eastAsia="zh"/>
        </w:rPr>
      </w:pPr>
      <w:r>
        <w:rPr>
          <w:color w:val="000000"/>
          <w:szCs w:val="21"/>
          <w:lang w:eastAsia="zh"/>
        </w:rPr>
        <w:t>图</w:t>
      </w:r>
      <w:r>
        <w:rPr>
          <w:rFonts w:hint="eastAsia"/>
          <w:color w:val="000000"/>
          <w:szCs w:val="21"/>
          <w:lang w:eastAsia="zh"/>
        </w:rPr>
        <w:t>2</w:t>
      </w:r>
      <w:r>
        <w:rPr>
          <w:color w:val="000000"/>
          <w:szCs w:val="21"/>
          <w:lang w:eastAsia="zh"/>
        </w:rPr>
        <w:t>.</w:t>
      </w:r>
      <w:r>
        <w:rPr>
          <w:rFonts w:hint="eastAsia"/>
          <w:color w:val="000000"/>
          <w:szCs w:val="21"/>
          <w:lang w:eastAsia="zh"/>
        </w:rPr>
        <w:t>最终运用神经网络基本框架</w:t>
      </w:r>
    </w:p>
    <w:p w14:paraId="61466402">
      <w:pPr>
        <w:spacing w:line="480" w:lineRule="exact"/>
        <w:ind w:firstLine="539" w:firstLineChars="257"/>
        <w:jc w:val="center"/>
        <w:rPr>
          <w:color w:val="000000"/>
          <w:szCs w:val="21"/>
          <w:lang w:eastAsia="zh"/>
        </w:rPr>
      </w:pPr>
      <w:r>
        <w:rPr>
          <w:color w:val="000000"/>
          <w:szCs w:val="21"/>
          <w:lang w:eastAsia="zh"/>
        </w:rPr>
        <w:t>注：(a)为训练集标注与模型训练流程，通过原始文本标注生成text+entities格式训练数据，经100000次迭代训练后实现实体自动标注；(b)为实体提取与相似度校验框架，通过关键词提取、不可见层过滤与实体相似度对比，最终输出标准化实体结果</w:t>
      </w:r>
    </w:p>
    <w:p w14:paraId="64778A4C">
      <w:pPr>
        <w:rPr>
          <w:color w:val="000000"/>
          <w:szCs w:val="21"/>
        </w:rPr>
      </w:pPr>
    </w:p>
    <w:p w14:paraId="59018330">
      <w:pPr>
        <w:spacing w:line="480" w:lineRule="exact"/>
        <w:ind w:firstLine="616" w:firstLineChars="257"/>
        <w:rPr>
          <w:sz w:val="24"/>
        </w:rPr>
      </w:pPr>
      <w:r>
        <w:rPr>
          <w:sz w:val="24"/>
        </w:rPr>
        <w:t>引入注意力机制对基础模型进行优化，核心是解决SpaCy+FCNN基础模型在特征提取中的固有痛点。基础模型对文本中所有特征赋予相同权重，无法区分核心实体信息与冗余文本信息，在环境文献专业术语与普通文本交织的场景下，极易出现实体识别漏判、误判问题，例如将浓度单位与普通数值混淆、将污染物衍生物与核心污染物混淆，导致实体识别准确率无法满足精准提取的需求。而注意力机制能够让模型自主学习文本中不同特征的重要性权重，对污染物、浓度、地域、介质等核心特征赋予更高关注度，对无意义的冗余文本特征降低权重，从根本上实现核心特征的精准筛选与高效提取，解决基础模型特征提取针对性不足的问题。基于上述痛点，先后引入多头注意力机制、APA注意力机制、MCP上下文注意力机制开展对比实验，结合识别效果与实际应用需求确定最终优化方案。多头注意力机制通过将文本特征映射到多个不同子空间，并行计算各子空间的注意力权重并拼接融合，能够捕捉文本中多维度、多层次的特征关联，完美适配环境文献中专业术语的复杂语义关系；以epoch为训练阈值，采用早停策略避免模型过拟合，实验结果显示，加入多头注意力机制的全连接神经网络模型，与无注意力机制的基础模型相比，实体识别准确率差值达10%-12.8%，核心实体的识别能力得到显著提升。APA注意力机制侧重小样本、细分类的识别任务，在实验中各类测试场景下识别准确率仅为20.80±0.90%，与环境文献实体类型固定、样本量充足的特征完全不匹配，直接予以舍弃。MCP上下文注意力机制融合了上下文语义理解与多类型数据处理能力，通过构建推理、生成、检索三大核心模块，结合动态路由算法与强化学习策略反馈环，能够深度挖掘文本上下文关联，且适配文字、表格等多类型信息的提取需求；经GLUE数据集验证，引入该机制后的模型准确率达92%，同时在延迟、能效等指标上表现优异，更贴合后续批量处理多格式文献、多维度污染物信息的实际需求。最终构建融合SpaCy预处理、多头注意力机制与MCP上下文注意力机制的全连接神经网络模型，以SpaCy完成文本分词、清洗、标准化预处理，为模型输入高质量结构化数据；在全连接神经网络的核心层融合多头注意力与MCP上下文注意力机制，既实现核心实体特征的精准权重分配，又能深度挖掘上下文语义关联，适配多类型环境信息的识别；模型输出层通过Softmax函数输出实体类型概率分布，实现污染物、浓度、地域、介质、物种等核心实体的精准识别。经多轮训练与验证，该模型在环境文献实体识别任务中，污染物、浓度、地域等核心实体的识别准确率稳定在75%-85%，能够满足海量环境文献中污染物信息自动化、精准化提取的需求，同时可直接与自主开发的化学品命名实体识别系统、表格批量提取程序相衔接为后续6PPD与6PPDQ环境归趋信息的汇编提供核心算法支撑，所采用方法的原理如图2所示。</w:t>
      </w:r>
    </w:p>
    <w:p w14:paraId="2A12B2C3">
      <w:pPr>
        <w:spacing w:line="480" w:lineRule="exact"/>
        <w:rPr>
          <w:rFonts w:eastAsia="黑体"/>
          <w:sz w:val="24"/>
          <w:lang w:eastAsia="zh"/>
        </w:rPr>
      </w:pPr>
      <w:r>
        <w:rPr>
          <w:rFonts w:hint="eastAsia" w:eastAsia="黑体"/>
          <w:sz w:val="24"/>
          <w:lang w:eastAsia="zh"/>
        </w:rPr>
        <w:t>1.</w:t>
      </w:r>
      <w:r>
        <w:rPr>
          <w:rFonts w:eastAsia="黑体"/>
          <w:sz w:val="24"/>
          <w:lang w:eastAsia="zh"/>
        </w:rPr>
        <w:t>2.4文本关键簇实验（D2）</w:t>
      </w:r>
    </w:p>
    <w:p w14:paraId="2A60B304">
      <w:pPr>
        <w:spacing w:line="480" w:lineRule="exact"/>
        <w:ind w:firstLine="616" w:firstLineChars="257"/>
        <w:rPr>
          <w:sz w:val="24"/>
          <w:lang w:eastAsia="zh"/>
        </w:rPr>
      </w:pPr>
      <w:r>
        <w:rPr>
          <w:sz w:val="24"/>
        </w:rPr>
        <w:t>文本聚类簇通过定制化聚类程序实现，核心目标是完成环境文献文本的结构化处理与实体标注，最终构建text+entities格式神经网络训练集，为后续实体识别模型提供标准化标注数据。该过程以文本段落为基本处理单元，结合程序自动化拆分与人工辅助标注，实现实体类型与坐标信息的精准绑定</w:t>
      </w:r>
      <w:r>
        <w:rPr>
          <w:rFonts w:hint="eastAsia"/>
          <w:sz w:val="24"/>
          <w:lang w:eastAsia="zh"/>
        </w:rPr>
        <w:t>（见附录B）</w:t>
      </w:r>
      <w:r>
        <w:rPr>
          <w:sz w:val="24"/>
        </w:rPr>
        <w:t>。聚类程序首先完成文本的层级化拆分，通过解析文献文本结构，自动识别段落分隔符并拆分出独立段落单元，再基于标点符号（句号、分号、感叹号）将每个段落进一步分割为语义完整的语句单元。拆分过程中，程序同步记录每个语句在原始文献中的字符位置索引，形成基础定位数据，确保后续实体标注的位置准确性，文本拆分规则可表示为</w:t>
      </w:r>
    </w:p>
    <w:p w14:paraId="5AC06191">
      <w:pPr>
        <w:spacing w:line="480" w:lineRule="exact"/>
        <w:ind w:firstLine="7440" w:firstLineChars="3100"/>
        <w:jc w:val="left"/>
        <w:rPr>
          <w:sz w:val="24"/>
          <w:lang w:eastAsia="zh"/>
        </w:rPr>
      </w:pPr>
      <w:r>
        <w:rPr>
          <w:rFonts w:hint="eastAsia"/>
          <w:sz w:val="24"/>
          <w:lang w:eastAsia="zh"/>
        </w:rPr>
        <w:drawing>
          <wp:anchor distT="0" distB="0" distL="114300" distR="114300" simplePos="0" relativeHeight="251666432" behindDoc="0" locked="0" layoutInCell="1" allowOverlap="1">
            <wp:simplePos x="0" y="0"/>
            <wp:positionH relativeFrom="column">
              <wp:posOffset>296545</wp:posOffset>
            </wp:positionH>
            <wp:positionV relativeFrom="paragraph">
              <wp:posOffset>48895</wp:posOffset>
            </wp:positionV>
            <wp:extent cx="476250" cy="328295"/>
            <wp:effectExtent l="0" t="0" r="0" b="14605"/>
            <wp:wrapTopAndBottom/>
            <wp:docPr id="25"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E657119C-6982-421D-8BA7-E74DEB70A7DA-2" descr="latexmath"/>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476250" cy="328295"/>
                    </a:xfrm>
                    <a:prstGeom prst="rect">
                      <a:avLst/>
                    </a:prstGeom>
                  </pic:spPr>
                </pic:pic>
              </a:graphicData>
            </a:graphic>
          </wp:anchor>
        </w:drawing>
      </w:r>
      <w:r>
        <w:rPr>
          <w:rFonts w:hint="eastAsia"/>
          <w:sz w:val="24"/>
          <w:lang w:eastAsia="zh"/>
        </w:rPr>
        <w:t>（2.5）</w:t>
      </w:r>
    </w:p>
    <w:p w14:paraId="216BCB99">
      <w:pPr>
        <w:spacing w:line="480" w:lineRule="exact"/>
        <w:ind w:firstLine="616" w:firstLineChars="257"/>
        <w:rPr>
          <w:sz w:val="24"/>
        </w:rPr>
      </w:pPr>
      <w:r>
        <w:rPr>
          <w:sz w:val="24"/>
        </w:rPr>
        <w:t>式中，</w:t>
      </w:r>
      <w:r>
        <w:rPr>
          <w:rFonts w:hint="eastAsia"/>
          <w:sz w:val="24"/>
          <w:lang w:eastAsia="zh"/>
        </w:rPr>
        <w:t>T</w:t>
      </w:r>
      <w:r>
        <w:rPr>
          <w:sz w:val="24"/>
        </w:rPr>
        <w:t>为文献全文文本集合，</w:t>
      </w:r>
      <w:r>
        <w:rPr>
          <w:rFonts w:hint="eastAsia"/>
          <w:sz w:val="24"/>
          <w:lang w:eastAsia="zh"/>
        </w:rPr>
        <w:t>m</w:t>
      </w:r>
      <w:r>
        <w:rPr>
          <w:sz w:val="24"/>
        </w:rPr>
        <w:t>为段落总数，</w:t>
      </w:r>
      <w:r>
        <w:rPr>
          <w:rFonts w:hint="eastAsia"/>
          <w:sz w:val="24"/>
          <w:lang w:eastAsia="zh"/>
        </w:rPr>
        <w:t>n</w:t>
      </w:r>
      <w:r>
        <w:rPr>
          <w:rFonts w:hint="eastAsia"/>
          <w:sz w:val="24"/>
          <w:vertAlign w:val="subscript"/>
          <w:lang w:eastAsia="zh"/>
        </w:rPr>
        <w:t>k</w:t>
      </w:r>
      <w:r>
        <w:rPr>
          <w:sz w:val="24"/>
        </w:rPr>
        <w:t>为第</w:t>
      </w:r>
      <w:r>
        <w:rPr>
          <w:rFonts w:hint="eastAsia"/>
          <w:sz w:val="24"/>
          <w:lang w:eastAsia="zh"/>
        </w:rPr>
        <w:t>k</w:t>
      </w:r>
      <w:r>
        <w:rPr>
          <w:sz w:val="24"/>
        </w:rPr>
        <w:t>个段落的语句数，</w:t>
      </w:r>
      <w:r>
        <w:rPr>
          <w:rFonts w:hint="eastAsia"/>
          <w:sz w:val="24"/>
          <w:lang w:eastAsia="zh"/>
        </w:rPr>
        <w:t>S</w:t>
      </w:r>
      <w:r>
        <w:rPr>
          <w:rFonts w:hint="eastAsia"/>
          <w:sz w:val="24"/>
          <w:vertAlign w:val="subscript"/>
          <w:lang w:eastAsia="zh"/>
        </w:rPr>
        <w:t>k,i</w:t>
      </w:r>
      <w:r>
        <w:rPr>
          <w:sz w:val="24"/>
        </w:rPr>
        <w:t>表示第</w:t>
      </w:r>
      <w:r>
        <w:rPr>
          <w:rFonts w:hint="eastAsia"/>
          <w:sz w:val="24"/>
          <w:lang w:eastAsia="zh"/>
        </w:rPr>
        <w:t>k</w:t>
      </w:r>
      <w:r>
        <w:rPr>
          <w:sz w:val="24"/>
        </w:rPr>
        <w:t>个段落的第</w:t>
      </w:r>
      <w:r>
        <w:rPr>
          <w:rFonts w:hint="eastAsia"/>
          <w:sz w:val="24"/>
          <w:lang w:eastAsia="zh"/>
        </w:rPr>
        <w:t>i</w:t>
      </w:r>
      <w:r>
        <w:rPr>
          <w:sz w:val="24"/>
        </w:rPr>
        <w:t>个语句单元，每个语句单元均保留原始文本语义与字符位置信息。实体类型标注采用“人工预设规则+程序匹配”的方式实现，通过程序接口预先输入目标实体类型（如污染物、浓度、地域、介质、物种等），形成标准化实体类型集合，集合定义为：</w:t>
      </w:r>
    </w:p>
    <w:p w14:paraId="3F6E70D8">
      <w:pPr>
        <w:spacing w:line="480" w:lineRule="exact"/>
        <w:ind w:firstLine="616" w:firstLineChars="257"/>
        <w:rPr>
          <w:sz w:val="24"/>
          <w:lang w:eastAsia="zh"/>
        </w:rPr>
      </w:pPr>
      <w:r>
        <w:rPr>
          <w:rFonts w:hint="eastAsia"/>
          <w:sz w:val="24"/>
          <w:lang w:eastAsia="zh"/>
        </w:rPr>
        <w:t>E={E</w:t>
      </w:r>
      <w:r>
        <w:rPr>
          <w:rFonts w:hint="eastAsia"/>
          <w:sz w:val="24"/>
          <w:vertAlign w:val="subscript"/>
          <w:lang w:eastAsia="zh"/>
        </w:rPr>
        <w:t>1</w:t>
      </w:r>
      <w:r>
        <w:rPr>
          <w:rFonts w:hint="eastAsia"/>
          <w:sz w:val="24"/>
          <w:lang w:eastAsia="zh"/>
        </w:rPr>
        <w:t>,E</w:t>
      </w:r>
      <w:r>
        <w:rPr>
          <w:rFonts w:hint="eastAsia"/>
          <w:sz w:val="24"/>
          <w:vertAlign w:val="subscript"/>
          <w:lang w:eastAsia="zh"/>
        </w:rPr>
        <w:t>1</w:t>
      </w:r>
      <w:r>
        <w:rPr>
          <w:rFonts w:hint="eastAsia"/>
          <w:sz w:val="24"/>
          <w:lang w:eastAsia="zh"/>
        </w:rPr>
        <w:t>,E</w:t>
      </w:r>
      <w:r>
        <w:rPr>
          <w:rFonts w:hint="eastAsia"/>
          <w:sz w:val="24"/>
          <w:vertAlign w:val="subscript"/>
          <w:lang w:eastAsia="zh"/>
        </w:rPr>
        <w:t>1</w:t>
      </w:r>
      <w:r>
        <w:rPr>
          <w:rFonts w:hint="eastAsia"/>
          <w:sz w:val="24"/>
          <w:lang w:eastAsia="zh"/>
        </w:rPr>
        <w:t>,……Ep}                                       （2.6）</w:t>
      </w:r>
    </w:p>
    <w:p w14:paraId="0AEBD428">
      <w:pPr>
        <w:spacing w:line="480" w:lineRule="exact"/>
        <w:ind w:firstLine="616" w:firstLineChars="257"/>
        <w:rPr>
          <w:sz w:val="24"/>
        </w:rPr>
      </w:pPr>
      <w:r>
        <w:rPr>
          <w:sz w:val="24"/>
        </w:rPr>
        <w:t>式中，</w:t>
      </w:r>
      <w:r>
        <w:rPr>
          <w:rFonts w:hint="eastAsia"/>
          <w:sz w:val="24"/>
          <w:lang w:eastAsia="zh"/>
        </w:rPr>
        <w:t>p</w:t>
      </w:r>
      <w:r>
        <w:rPr>
          <w:sz w:val="24"/>
        </w:rPr>
        <w:t>为实体类型总数，</w:t>
      </w:r>
      <w:r>
        <w:rPr>
          <w:rFonts w:hint="eastAsia"/>
          <w:sz w:val="24"/>
          <w:lang w:eastAsia="zh"/>
        </w:rPr>
        <w:t>E</w:t>
      </w:r>
      <w:r>
        <w:rPr>
          <w:rFonts w:hint="eastAsia"/>
          <w:sz w:val="24"/>
          <w:vertAlign w:val="subscript"/>
          <w:lang w:eastAsia="zh"/>
        </w:rPr>
        <w:t>q</w:t>
      </w:r>
      <w:r>
        <w:rPr>
          <w:sz w:val="24"/>
        </w:rPr>
        <w:t>（</w:t>
      </w:r>
      <w:r>
        <w:rPr>
          <w:rFonts w:hint="eastAsia"/>
          <w:sz w:val="24"/>
          <w:lang w:eastAsia="zh"/>
        </w:rPr>
        <w:t>q</w:t>
      </w:r>
      <w:r>
        <w:rPr>
          <w:sz w:val="24"/>
        </w:rPr>
        <w:t>=1,2,...,</w:t>
      </w:r>
      <w:r>
        <w:rPr>
          <w:rFonts w:hint="eastAsia"/>
          <w:sz w:val="24"/>
          <w:lang w:eastAsia="zh"/>
        </w:rPr>
        <w:t>p</w:t>
      </w:r>
      <w:r>
        <w:rPr>
          <w:sz w:val="24"/>
        </w:rPr>
        <w:t>）为第</w:t>
      </w:r>
      <w:r>
        <w:rPr>
          <w:rFonts w:hint="eastAsia"/>
          <w:sz w:val="24"/>
          <w:lang w:eastAsia="zh"/>
        </w:rPr>
        <w:t>q</w:t>
      </w:r>
      <w:r>
        <w:rPr>
          <w:sz w:val="24"/>
        </w:rPr>
        <w:t>类实体的类型名称及对应标识代码，标识代码采用整数编码（如污染物为1、浓度为2等），便于模型读取与训练。人工预设的实体类型规则将作为程序匹配的依据，确保标注逻辑统一。</w:t>
      </w:r>
    </w:p>
    <w:p w14:paraId="1436B32A">
      <w:pPr>
        <w:spacing w:line="480" w:lineRule="exact"/>
        <w:ind w:firstLine="616" w:firstLineChars="257"/>
        <w:rPr>
          <w:sz w:val="24"/>
        </w:rPr>
      </w:pPr>
      <w:r>
        <w:rPr>
          <w:sz w:val="24"/>
        </w:rPr>
        <w:t>实体坐标标注由程序自动计算生成，基于文本拆分阶段记录的字符位置索引，程序对每个语句单元中的实体词汇进行定位，输出实体的起始字符坐标与终止字符坐标，形成坐标区间。坐标计算以文献全文为基准，从文本起始位置（字符下标为0）开始连续计数，坐标区间定义为：</w:t>
      </w:r>
    </w:p>
    <w:p w14:paraId="11840151">
      <w:pPr>
        <w:spacing w:line="480" w:lineRule="exact"/>
        <w:ind w:left="239" w:leftChars="114" w:firstLine="376" w:firstLineChars="157"/>
        <w:rPr>
          <w:sz w:val="24"/>
          <w:lang w:eastAsia="zh"/>
        </w:rPr>
      </w:pPr>
      <w:r>
        <w:rPr>
          <w:rFonts w:hint="eastAsia"/>
          <w:sz w:val="24"/>
          <w:lang w:eastAsia="zh"/>
        </w:rPr>
        <w:t>C(e)=[s(e),t(e)]                                               (2.7)</w:t>
      </w:r>
    </w:p>
    <w:p w14:paraId="1033369A">
      <w:pPr>
        <w:spacing w:line="480" w:lineRule="exact"/>
        <w:ind w:firstLine="616" w:firstLineChars="257"/>
        <w:rPr>
          <w:sz w:val="24"/>
        </w:rPr>
      </w:pPr>
      <w:r>
        <w:rPr>
          <w:sz w:val="24"/>
        </w:rPr>
        <w:t>式中，</w:t>
      </w:r>
      <w:r>
        <w:rPr>
          <w:rFonts w:hint="eastAsia"/>
          <w:sz w:val="24"/>
          <w:lang w:eastAsia="zh"/>
        </w:rPr>
        <w:t>e</w:t>
      </w:r>
      <w:r>
        <w:rPr>
          <w:sz w:val="24"/>
        </w:rPr>
        <w:t>为识别出的实体词汇</w:t>
      </w:r>
      <w:r>
        <w:rPr>
          <w:rFonts w:hint="eastAsia"/>
          <w:sz w:val="24"/>
          <w:lang w:eastAsia="zh"/>
        </w:rPr>
        <w:t>，s</w:t>
      </w:r>
      <w:r>
        <w:rPr>
          <w:sz w:val="24"/>
        </w:rPr>
        <w:t>(</w:t>
      </w:r>
      <w:r>
        <w:rPr>
          <w:rFonts w:hint="eastAsia"/>
          <w:sz w:val="24"/>
          <w:lang w:eastAsia="zh"/>
        </w:rPr>
        <w:t>e</w:t>
      </w:r>
      <w:r>
        <w:rPr>
          <w:sz w:val="24"/>
        </w:rPr>
        <w:t>)为实体在全文中的起始字符下标，</w:t>
      </w:r>
      <w:r>
        <w:rPr>
          <w:rFonts w:hint="eastAsia"/>
          <w:sz w:val="24"/>
          <w:lang w:eastAsia="zh"/>
        </w:rPr>
        <w:t>t</w:t>
      </w:r>
      <w:r>
        <w:rPr>
          <w:sz w:val="24"/>
        </w:rPr>
        <w:t>(</w:t>
      </w:r>
      <w:r>
        <w:rPr>
          <w:rFonts w:hint="eastAsia"/>
          <w:sz w:val="24"/>
          <w:lang w:eastAsia="zh"/>
        </w:rPr>
        <w:t>e</w:t>
      </w:r>
      <w:r>
        <w:rPr>
          <w:sz w:val="24"/>
        </w:rPr>
        <w:t>)为实体在全文中的终止字符下标，坐标数值由程序通过字符遍历自动计算，无需人工干预，确保定位精度。训练集的结构化组装由程序自动完成，针对每个语句单元，程序将“语句文本”与“实体标注信息”按text+entities格式组合，生成单个训练样本。样本结构严格遵循深度学习模型输入规范，定义为：</w:t>
      </w:r>
    </w:p>
    <w:p w14:paraId="17C271F0">
      <w:pPr>
        <w:spacing w:line="480" w:lineRule="exact"/>
        <w:ind w:left="239" w:leftChars="114" w:firstLine="376" w:firstLineChars="157"/>
        <w:rPr>
          <w:sz w:val="24"/>
          <w:lang w:eastAsia="zh"/>
        </w:rPr>
      </w:pPr>
      <w:r>
        <w:rPr>
          <w:rFonts w:hint="eastAsia"/>
          <w:sz w:val="24"/>
          <w:lang w:eastAsia="zh"/>
        </w:rPr>
        <w:t>S=(text:S</w:t>
      </w:r>
      <w:r>
        <w:rPr>
          <w:rFonts w:hint="eastAsia"/>
          <w:sz w:val="24"/>
          <w:vertAlign w:val="subscript"/>
          <w:lang w:eastAsia="zh"/>
        </w:rPr>
        <w:t>kj</w:t>
      </w:r>
      <w:r>
        <w:rPr>
          <w:rFonts w:hint="eastAsia"/>
          <w:sz w:val="24"/>
          <w:lang w:eastAsia="zh"/>
        </w:rPr>
        <w:t>,entities:[(C(e),Eq)])                                  (2.8)</w:t>
      </w:r>
    </w:p>
    <w:p w14:paraId="1999BC50">
      <w:pPr>
        <w:spacing w:line="480" w:lineRule="exact"/>
        <w:ind w:firstLine="616" w:firstLineChars="257"/>
        <w:rPr>
          <w:sz w:val="24"/>
        </w:rPr>
      </w:pPr>
      <w:r>
        <w:rPr>
          <w:sz w:val="24"/>
        </w:rPr>
        <w:t>式中，text字段存储语句单元</w:t>
      </w:r>
      <w:r>
        <w:rPr>
          <w:rFonts w:hint="eastAsia"/>
          <w:sz w:val="24"/>
          <w:lang w:eastAsia="zh"/>
        </w:rPr>
        <w:t>S</w:t>
      </w:r>
      <w:r>
        <w:rPr>
          <w:rFonts w:hint="eastAsia"/>
          <w:sz w:val="24"/>
          <w:vertAlign w:val="subscript"/>
          <w:lang w:eastAsia="zh"/>
        </w:rPr>
        <w:t>k,j</w:t>
      </w:r>
      <w:r>
        <w:rPr>
          <w:sz w:val="24"/>
        </w:rPr>
        <w:t>的原始文本，entities字段存储该语句中所有实体的标注结果，每个标注结果包含实体坐标</w:t>
      </w:r>
      <w:r>
        <w:rPr>
          <w:rFonts w:hint="eastAsia"/>
          <w:sz w:val="24"/>
          <w:lang w:eastAsia="zh"/>
        </w:rPr>
        <w:t>C</w:t>
      </w:r>
      <w:r>
        <w:rPr>
          <w:sz w:val="24"/>
        </w:rPr>
        <w:t>(</w:t>
      </w:r>
      <w:r>
        <w:rPr>
          <w:rFonts w:hint="eastAsia"/>
          <w:sz w:val="24"/>
          <w:lang w:eastAsia="zh"/>
        </w:rPr>
        <w:t>e</w:t>
      </w:r>
      <w:r>
        <w:rPr>
          <w:sz w:val="24"/>
        </w:rPr>
        <w:t>)与对应的实体类型</w:t>
      </w:r>
      <w:r>
        <w:rPr>
          <w:rFonts w:hint="eastAsia"/>
          <w:sz w:val="24"/>
          <w:lang w:eastAsia="zh"/>
        </w:rPr>
        <w:t>Eq</w:t>
      </w:r>
      <w:r>
        <w:rPr>
          <w:sz w:val="24"/>
        </w:rPr>
        <w:t>，所有样本按统一格式存储为结构化数据集文件（如JSON格式）。</w:t>
      </w:r>
    </w:p>
    <w:p w14:paraId="39D9FE6A">
      <w:pPr>
        <w:spacing w:line="480" w:lineRule="exact"/>
        <w:rPr>
          <w:rFonts w:eastAsia="黑体"/>
          <w:sz w:val="24"/>
          <w:lang w:eastAsia="zh"/>
        </w:rPr>
      </w:pPr>
      <w:r>
        <w:rPr>
          <w:rFonts w:hint="eastAsia" w:eastAsia="黑体"/>
          <w:sz w:val="24"/>
          <w:lang w:eastAsia="zh"/>
        </w:rPr>
        <w:t>1.2.5.依托</w:t>
      </w:r>
      <w:r>
        <w:rPr>
          <w:rFonts w:eastAsia="黑体"/>
          <w:sz w:val="24"/>
          <w:lang w:eastAsia="zh"/>
        </w:rPr>
        <w:t>Python程序文本批量读取（D3）</w:t>
      </w:r>
    </w:p>
    <w:p w14:paraId="7B01E891">
      <w:pPr>
        <w:spacing w:line="480" w:lineRule="exact"/>
        <w:ind w:firstLine="616" w:firstLineChars="257"/>
        <w:rPr>
          <w:sz w:val="24"/>
        </w:rPr>
      </w:pPr>
      <w:r>
        <w:rPr>
          <w:sz w:val="24"/>
        </w:rPr>
        <w:t>基于Python开发文献表格批量提取工具，核心功能为自动化解析PDF、Word、Excel多格式文献中的结构化表格数据，通过格式识别、多引擎适配、数据清洗与标准化处理，实现环境污染物浓度、检出区域、介质类型等关键信息的批量获取，为后续6PPD与6PPD-Q环境归趋信息汇编提供高效数据支撑，工具开发完全依托公开Python</w:t>
      </w:r>
      <w:r>
        <w:rPr>
          <w:rFonts w:hint="eastAsia"/>
          <w:sz w:val="24"/>
          <w:lang w:eastAsia="zh"/>
        </w:rPr>
        <w:t>（附录C）</w:t>
      </w:r>
      <w:r>
        <w:rPr>
          <w:sz w:val="24"/>
        </w:rPr>
        <w:t>。</w:t>
      </w:r>
    </w:p>
    <w:p w14:paraId="13440E7F">
      <w:pPr>
        <w:spacing w:line="480" w:lineRule="exact"/>
        <w:ind w:firstLine="616" w:firstLineChars="257"/>
        <w:rPr>
          <w:sz w:val="24"/>
        </w:rPr>
      </w:pPr>
      <w:r>
        <w:rPr>
          <w:sz w:val="24"/>
        </w:rPr>
        <w:t>工具采用模块化设计，整体遵循“文件选择-格式识别-引擎适配-表格提取-数据清洗-结果导出”的核心流程，各模块功能独立且衔接紧密。通过图形用户界面接收多文件批量加载请求，加载后自动识别文件后缀（.pdf、.docx、.xlsx、.xls），根据格式类型匹配对应解析引擎，避免因格式差异导致的提取失效，确保不同来源的文献表格均能被有效捕获。针对不同格式文献的表格特征，工具采用差异化提取策略：Excel文件通过pandas库直接读取工作表数据，遍历所有sheet页并过滤纯表头或空白行；Word文件借助python-docx库解析内嵌表格对象，逐行读取单元格文本并按“表头-内容”结构组装；PDF文件采用Camelot双模式（stream+lattice）+Tabula备份的多引擎策略，优先适配学术论文常见的三线表、无框线表，通过调整行/列容忍度参数优化边界识别，最大程度保障提取覆盖率。</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6"/>
        <w:gridCol w:w="4156"/>
      </w:tblGrid>
      <w:tr w14:paraId="1FF57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6" w:type="dxa"/>
            <w:tcBorders>
              <w:top w:val="nil"/>
              <w:left w:val="nil"/>
              <w:bottom w:val="nil"/>
              <w:right w:val="nil"/>
            </w:tcBorders>
            <w:vAlign w:val="center"/>
          </w:tcPr>
          <w:p w14:paraId="34ECCF84">
            <w:pPr>
              <w:jc w:val="center"/>
              <w:rPr>
                <w:sz w:val="24"/>
                <w:lang w:eastAsia="zh"/>
              </w:rPr>
            </w:pPr>
            <w:r>
              <w:rPr>
                <w:rFonts w:hint="eastAsia"/>
                <w:sz w:val="24"/>
                <w:lang w:eastAsia="zh"/>
              </w:rPr>
              <w:drawing>
                <wp:inline distT="0" distB="0" distL="114300" distR="114300">
                  <wp:extent cx="2498090" cy="1623695"/>
                  <wp:effectExtent l="0" t="0" r="16510" b="146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2"/>
                          <a:stretch>
                            <a:fillRect/>
                          </a:stretch>
                        </pic:blipFill>
                        <pic:spPr>
                          <a:xfrm>
                            <a:off x="0" y="0"/>
                            <a:ext cx="2498090" cy="1623695"/>
                          </a:xfrm>
                          <a:prstGeom prst="rect">
                            <a:avLst/>
                          </a:prstGeom>
                        </pic:spPr>
                      </pic:pic>
                    </a:graphicData>
                  </a:graphic>
                </wp:inline>
              </w:drawing>
            </w:r>
          </w:p>
        </w:tc>
        <w:tc>
          <w:tcPr>
            <w:tcW w:w="4156" w:type="dxa"/>
            <w:tcBorders>
              <w:top w:val="nil"/>
              <w:left w:val="nil"/>
              <w:bottom w:val="nil"/>
              <w:right w:val="nil"/>
            </w:tcBorders>
            <w:vAlign w:val="center"/>
          </w:tcPr>
          <w:p w14:paraId="7BE1C953">
            <w:pPr>
              <w:jc w:val="center"/>
              <w:rPr>
                <w:sz w:val="24"/>
                <w:lang w:eastAsia="zh"/>
              </w:rPr>
            </w:pPr>
            <w:r>
              <w:rPr>
                <w:rFonts w:hint="eastAsia"/>
                <w:sz w:val="24"/>
                <w:lang w:eastAsia="zh"/>
              </w:rPr>
              <w:drawing>
                <wp:inline distT="0" distB="0" distL="114300" distR="114300">
                  <wp:extent cx="2493010" cy="1660525"/>
                  <wp:effectExtent l="0" t="0" r="2540" b="158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3"/>
                          <a:stretch>
                            <a:fillRect/>
                          </a:stretch>
                        </pic:blipFill>
                        <pic:spPr>
                          <a:xfrm>
                            <a:off x="0" y="0"/>
                            <a:ext cx="2493010" cy="1660525"/>
                          </a:xfrm>
                          <a:prstGeom prst="rect">
                            <a:avLst/>
                          </a:prstGeom>
                        </pic:spPr>
                      </pic:pic>
                    </a:graphicData>
                  </a:graphic>
                </wp:inline>
              </w:drawing>
            </w:r>
          </w:p>
        </w:tc>
      </w:tr>
    </w:tbl>
    <w:p w14:paraId="269E3611">
      <w:pPr>
        <w:spacing w:line="480" w:lineRule="exact"/>
        <w:ind w:firstLine="539" w:firstLineChars="257"/>
        <w:jc w:val="center"/>
        <w:rPr>
          <w:color w:val="000000"/>
          <w:szCs w:val="21"/>
        </w:rPr>
      </w:pPr>
      <w:r>
        <w:rPr>
          <w:color w:val="000000"/>
          <w:szCs w:val="21"/>
        </w:rPr>
        <w:t>图3.文献文本数据挖掘工程示意图</w:t>
      </w:r>
      <w:r>
        <w:rPr>
          <w:rFonts w:hint="eastAsia"/>
          <w:color w:val="000000"/>
          <w:szCs w:val="21"/>
          <w:lang w:eastAsia="zh"/>
        </w:rPr>
        <w:t>；</w:t>
      </w:r>
      <w:r>
        <w:rPr>
          <w:rFonts w:ascii="FandolKai-Regular" w:hAnsi="FandolKai-Regular" w:eastAsia="FandolKai-Regular" w:cs="FandolKai-Regular"/>
          <w:color w:val="000000"/>
          <w:sz w:val="19"/>
          <w:szCs w:val="19"/>
        </w:rPr>
        <w:t>依托</w:t>
      </w:r>
      <w:r>
        <w:rPr>
          <w:rFonts w:ascii="TeXGyreTermesX-Italic" w:hAnsi="TeXGyreTermesX-Italic" w:eastAsia="TeXGyreTermesX-Italic" w:cs="TeXGyreTermesX-Italic"/>
          <w:color w:val="000000"/>
          <w:sz w:val="19"/>
          <w:szCs w:val="19"/>
        </w:rPr>
        <w:t>Python</w:t>
      </w:r>
      <w:r>
        <w:rPr>
          <w:rFonts w:ascii="FandolKai-Regular" w:hAnsi="FandolKai-Regular" w:eastAsia="FandolKai-Regular" w:cs="FandolKai-Regular"/>
          <w:color w:val="000000"/>
          <w:sz w:val="19"/>
          <w:szCs w:val="19"/>
        </w:rPr>
        <w:t>程序文本批量读取文献数据示例</w:t>
      </w:r>
    </w:p>
    <w:p w14:paraId="1E8CEC6A">
      <w:pPr>
        <w:spacing w:line="480" w:lineRule="exact"/>
        <w:ind w:firstLine="539" w:firstLineChars="257"/>
        <w:jc w:val="center"/>
        <w:rPr>
          <w:rFonts w:ascii="FandolKai-Regular" w:hAnsi="FandolKai-Regular" w:eastAsia="FandolKai-Regular" w:cs="FandolKai-Regular"/>
          <w:color w:val="000000"/>
          <w:sz w:val="19"/>
          <w:szCs w:val="19"/>
        </w:rPr>
      </w:pPr>
      <w:r>
        <w:rPr>
          <w:color w:val="000000"/>
          <w:szCs w:val="21"/>
        </w:rPr>
        <w:t>注：系统启动后加载文件列表与依赖检查，按文件类型（Excel/Word/PDF）适配对应提取引擎，经表格验证、数据清洗后实时展示提取结果，支持导出为Excel/CSV/JSON格式，完成后重置系统等待下一轮任务</w:t>
      </w:r>
      <w:r>
        <w:rPr>
          <w:rFonts w:hint="eastAsia"/>
          <w:color w:val="000000"/>
          <w:szCs w:val="21"/>
          <w:lang w:eastAsia="zh"/>
        </w:rPr>
        <w:t>；</w:t>
      </w:r>
      <w:r>
        <w:rPr>
          <w:rFonts w:ascii="FandolKai-Regular" w:hAnsi="FandolKai-Regular" w:eastAsia="FandolKai-Regular" w:cs="FandolKai-Regular"/>
          <w:color w:val="000000"/>
          <w:sz w:val="19"/>
          <w:szCs w:val="19"/>
        </w:rPr>
        <w:t>如上程序在符合环境情况下依托</w:t>
      </w:r>
      <w:r>
        <w:rPr>
          <w:rFonts w:ascii="TeXGyreTermesX-Italic" w:hAnsi="TeXGyreTermesX-Italic" w:eastAsia="TeXGyreTermesX-Italic" w:cs="TeXGyreTermesX-Italic"/>
          <w:color w:val="000000"/>
          <w:sz w:val="19"/>
          <w:szCs w:val="19"/>
        </w:rPr>
        <w:t>GUI</w:t>
      </w:r>
      <w:r>
        <w:rPr>
          <w:rFonts w:ascii="FandolKai-Regular" w:hAnsi="FandolKai-Regular" w:eastAsia="FandolKai-Regular" w:cs="FandolKai-Regular"/>
          <w:color w:val="000000"/>
          <w:sz w:val="19"/>
          <w:szCs w:val="19"/>
        </w:rPr>
        <w:t>运行界面进行挖掘，包含文件选择、进度展示、提取结果预览与多格式（</w:t>
      </w:r>
      <w:r>
        <w:rPr>
          <w:rFonts w:ascii="TeXGyreTermesX-Italic" w:hAnsi="TeXGyreTermesX-Italic" w:eastAsia="TeXGyreTermesX-Italic" w:cs="TeXGyreTermesX-Italic"/>
          <w:color w:val="000000"/>
          <w:sz w:val="19"/>
          <w:szCs w:val="19"/>
        </w:rPr>
        <w:t>Excel/CSV/JSON</w:t>
      </w:r>
      <w:r>
        <w:rPr>
          <w:rFonts w:ascii="FandolKai-Regular" w:hAnsi="FandolKai-Regular" w:eastAsia="FandolKai-Regular" w:cs="FandolKai-Regular"/>
          <w:color w:val="000000"/>
          <w:sz w:val="19"/>
          <w:szCs w:val="19"/>
        </w:rPr>
        <w:t>）导出功能，可自动化提取并标准化存储环境文献中的污染物浓度、介质类型等结构化表格数据</w:t>
      </w:r>
    </w:p>
    <w:p w14:paraId="1F5667DD">
      <w:pPr>
        <w:spacing w:line="480" w:lineRule="exact"/>
        <w:ind w:firstLine="616" w:firstLineChars="257"/>
        <w:rPr>
          <w:sz w:val="24"/>
        </w:rPr>
      </w:pPr>
    </w:p>
    <w:p w14:paraId="50DB5C74">
      <w:pPr>
        <w:spacing w:line="480" w:lineRule="exact"/>
        <w:ind w:firstLine="616" w:firstLineChars="257"/>
        <w:rPr>
          <w:sz w:val="24"/>
        </w:rPr>
      </w:pPr>
      <w:r>
        <w:rPr>
          <w:sz w:val="24"/>
        </w:rPr>
        <w:t>数据清洗环节严格按代码逻辑执行标准化处理，核心目标是消除数据噪声、统一数据格式，代码中明确的清洗操作包括删除全空行与全空列、重置数据索引、去除文本首尾空格、替换“nan”无效值，核心处理逻辑可表示为：</w:t>
      </w:r>
    </w:p>
    <w:p w14:paraId="0A76BFCF">
      <w:pPr>
        <w:spacing w:line="480" w:lineRule="exact"/>
        <w:ind w:firstLine="616" w:firstLineChars="257"/>
        <w:rPr>
          <w:sz w:val="24"/>
          <w:lang w:eastAsia="zh"/>
        </w:rPr>
      </w:pPr>
      <w:r>
        <w:rPr>
          <w:rFonts w:hint="eastAsia"/>
          <w:sz w:val="24"/>
          <w:lang w:eastAsia="zh"/>
        </w:rPr>
        <w:t>D</w:t>
      </w:r>
      <w:r>
        <w:rPr>
          <w:rFonts w:hint="eastAsia"/>
          <w:sz w:val="24"/>
          <w:vertAlign w:val="subscript"/>
          <w:lang w:eastAsia="zh"/>
        </w:rPr>
        <w:t>clean</w:t>
      </w:r>
      <w:r>
        <w:rPr>
          <w:rFonts w:hint="eastAsia"/>
          <w:sz w:val="24"/>
          <w:lang w:eastAsia="zh"/>
        </w:rPr>
        <w:t>=DropNA(Rename(Strip(Replace(D</w:t>
      </w:r>
      <w:r>
        <w:rPr>
          <w:rFonts w:hint="eastAsia"/>
          <w:sz w:val="24"/>
          <w:vertAlign w:val="subscript"/>
          <w:lang w:eastAsia="zh"/>
        </w:rPr>
        <w:t>raw</w:t>
      </w:r>
      <w:r>
        <w:rPr>
          <w:rFonts w:hint="eastAsia"/>
          <w:sz w:val="24"/>
          <w:lang w:eastAsia="zh"/>
        </w:rPr>
        <w:t>,"nan",""))))            （2.8）</w:t>
      </w:r>
    </w:p>
    <w:p w14:paraId="08A930BC">
      <w:pPr>
        <w:spacing w:line="480" w:lineRule="exact"/>
        <w:ind w:firstLine="616" w:firstLineChars="257"/>
        <w:rPr>
          <w:sz w:val="24"/>
          <w:lang w:eastAsia="zh"/>
        </w:rPr>
      </w:pPr>
      <w:r>
        <w:rPr>
          <w:rFonts w:hint="eastAsia"/>
          <w:sz w:val="24"/>
          <w:lang w:eastAsia="zh"/>
        </w:rPr>
        <w:t>式中，Draw为原始提取数据，Replace(D</w:t>
      </w:r>
      <w:r>
        <w:rPr>
          <w:rFonts w:hint="eastAsia"/>
          <w:sz w:val="24"/>
          <w:vertAlign w:val="subscript"/>
          <w:lang w:eastAsia="zh"/>
        </w:rPr>
        <w:t>raw</w:t>
      </w:r>
      <w:r>
        <w:rPr>
          <w:rFonts w:hint="eastAsia"/>
          <w:sz w:val="24"/>
          <w:lang w:eastAsia="zh"/>
        </w:rPr>
        <w:t>,"nan","")对应代码中无效值替换操作，Strip()对应文本首尾空格去除，Rename)对应数据索引重构，DropNA(对应全空行/列删除，D</w:t>
      </w:r>
      <w:r>
        <w:rPr>
          <w:rFonts w:hint="eastAsia"/>
          <w:sz w:val="24"/>
          <w:vertAlign w:val="subscript"/>
          <w:lang w:eastAsia="zh"/>
        </w:rPr>
        <w:t>clean</w:t>
      </w:r>
      <w:r>
        <w:rPr>
          <w:rFonts w:hint="eastAsia"/>
          <w:sz w:val="24"/>
          <w:lang w:eastAsia="zh"/>
        </w:rPr>
        <w:t>为清洗后的标准化数据。</w:t>
      </w:r>
    </w:p>
    <w:p w14:paraId="5DBF492D">
      <w:pPr>
        <w:spacing w:line="480" w:lineRule="exact"/>
        <w:ind w:firstLine="616" w:firstLineChars="257"/>
        <w:rPr>
          <w:sz w:val="24"/>
        </w:rPr>
      </w:pPr>
      <w:r>
        <w:rPr>
          <w:sz w:val="24"/>
        </w:rPr>
        <w:t>为量化工具性能，基于代码功能定义提取成功率与数据完整性两个核心指标，均为代码可计算的客观指标：</w:t>
      </w:r>
    </w:p>
    <w:p w14:paraId="0E673BFC">
      <w:pPr>
        <w:spacing w:line="480" w:lineRule="exact"/>
        <w:ind w:firstLine="616" w:firstLineChars="257"/>
        <w:rPr>
          <w:sz w:val="24"/>
          <w:lang w:eastAsia="zh"/>
        </w:rPr>
      </w:pPr>
      <w:r>
        <w:rPr>
          <w:rFonts w:hint="eastAsia"/>
          <w:sz w:val="24"/>
          <w:lang w:eastAsia="zh"/>
        </w:rPr>
        <w:t>S=Nextracted/Ntotal                                          (2.9)</w:t>
      </w:r>
    </w:p>
    <w:p w14:paraId="2974F6F5">
      <w:pPr>
        <w:spacing w:line="480" w:lineRule="exact"/>
        <w:ind w:firstLine="616" w:firstLineChars="257"/>
        <w:rPr>
          <w:sz w:val="24"/>
          <w:lang w:eastAsia="zh"/>
        </w:rPr>
      </w:pPr>
      <w:r>
        <w:rPr>
          <w:rFonts w:hint="eastAsia"/>
          <w:sz w:val="24"/>
          <w:lang w:eastAsia="zh"/>
        </w:rPr>
        <w:t>式中，Nextracted</w:t>
      </w:r>
      <w:r>
        <w:rPr>
          <w:sz w:val="24"/>
          <w:lang w:eastAsia="zh"/>
        </w:rPr>
        <w:t>为成功提取有效表格的文件数，</w:t>
      </w:r>
      <w:r>
        <w:rPr>
          <w:rFonts w:hint="eastAsia"/>
          <w:sz w:val="24"/>
          <w:lang w:eastAsia="zh"/>
        </w:rPr>
        <w:t>Ntotal</w:t>
      </w:r>
      <w:r>
        <w:rPr>
          <w:sz w:val="24"/>
          <w:lang w:eastAsia="zh"/>
        </w:rPr>
        <w:t>为批量处理文件总数，直接反映工具对多格式文件的适配能力</w:t>
      </w:r>
      <w:r>
        <w:rPr>
          <w:rFonts w:hint="eastAsia"/>
          <w:sz w:val="24"/>
          <w:lang w:eastAsia="zh"/>
        </w:rPr>
        <w:t>：</w:t>
      </w:r>
    </w:p>
    <w:p w14:paraId="0732E8A1">
      <w:pPr>
        <w:spacing w:line="480" w:lineRule="exact"/>
        <w:ind w:firstLine="616" w:firstLineChars="257"/>
        <w:rPr>
          <w:sz w:val="24"/>
          <w:lang w:eastAsia="zh"/>
        </w:rPr>
      </w:pPr>
      <w:r>
        <w:rPr>
          <w:rFonts w:hint="eastAsia"/>
          <w:sz w:val="24"/>
          <w:lang w:eastAsia="zh"/>
        </w:rPr>
        <w:t>I=Mvaild/Mtotal                                            （2.10）</w:t>
      </w:r>
    </w:p>
    <w:p w14:paraId="471310E0">
      <w:pPr>
        <w:spacing w:line="480" w:lineRule="exact"/>
        <w:ind w:firstLine="616" w:firstLineChars="257"/>
        <w:rPr>
          <w:sz w:val="24"/>
        </w:rPr>
      </w:pPr>
      <w:r>
        <w:rPr>
          <w:rFonts w:hint="eastAsia"/>
          <w:sz w:val="24"/>
        </w:rPr>
        <w:t>式中，</w:t>
      </w:r>
      <w:r>
        <w:rPr>
          <w:rFonts w:hint="eastAsia"/>
          <w:sz w:val="24"/>
          <w:lang w:eastAsia="zh"/>
        </w:rPr>
        <w:t>Mvalid</w:t>
      </w:r>
      <w:r>
        <w:rPr>
          <w:sz w:val="24"/>
        </w:rPr>
        <w:t>为清洗后含有效信息的单元格数，</w:t>
      </w:r>
      <w:r>
        <w:rPr>
          <w:rFonts w:hint="eastAsia"/>
          <w:sz w:val="24"/>
          <w:lang w:eastAsia="zh"/>
        </w:rPr>
        <w:t>Mtotal</w:t>
      </w:r>
      <w:r>
        <w:rPr>
          <w:sz w:val="24"/>
        </w:rPr>
        <w:t>为提取表格总单元格数，反映数据清洗后的质量水平。工具支持</w:t>
      </w:r>
      <w:r>
        <w:rPr>
          <w:rFonts w:hint="eastAsia"/>
          <w:sz w:val="24"/>
        </w:rPr>
        <w:t>Excel</w:t>
      </w:r>
      <w:r>
        <w:rPr>
          <w:sz w:val="24"/>
        </w:rPr>
        <w:t>、CSV、JSON多格式导出，按</w:t>
      </w:r>
      <w:r>
        <w:rPr>
          <w:rFonts w:hint="eastAsia"/>
          <w:sz w:val="24"/>
        </w:rPr>
        <w:t>原文件名+</w:t>
      </w:r>
      <w:r>
        <w:rPr>
          <w:sz w:val="24"/>
        </w:rPr>
        <w:t>表格序号自动命名导出文件，保证数据来源可追溯。经实测，工具对含环境污染物数据的学术表格提取成功率</w:t>
      </w:r>
      <w:r>
        <w:rPr>
          <w:rFonts w:hint="eastAsia"/>
          <w:sz w:val="24"/>
          <w:lang w:eastAsia="zh"/>
        </w:rPr>
        <w:t>S</w:t>
      </w:r>
      <w:r>
        <w:rPr>
          <w:sz w:val="24"/>
        </w:rPr>
        <w:t>达90%以上，数据完整性</w:t>
      </w:r>
      <w:r>
        <w:rPr>
          <w:rFonts w:hint="eastAsia"/>
          <w:sz w:val="24"/>
          <w:lang w:eastAsia="zh"/>
        </w:rPr>
        <w:t>I</w:t>
      </w:r>
      <w:r>
        <w:rPr>
          <w:sz w:val="24"/>
        </w:rPr>
        <w:t>超85%，单批次可处理数十个文件，大幅降低人工整理成本，避免人工录入误差，与文本聚类簇、神经网络训练集构建环节形成完整数据处理链路，为后续实体识别与信息汇编提供高质量结构化数据源（图</w:t>
      </w:r>
      <w:r>
        <w:rPr>
          <w:rFonts w:hint="eastAsia"/>
          <w:sz w:val="24"/>
          <w:lang w:eastAsia="zh"/>
        </w:rPr>
        <w:t>3</w:t>
      </w:r>
      <w:r>
        <w:rPr>
          <w:sz w:val="24"/>
        </w:rPr>
        <w:t>）。</w:t>
      </w:r>
    </w:p>
    <w:p w14:paraId="69A0C751">
      <w:pPr>
        <w:spacing w:before="480" w:after="120"/>
        <w:rPr>
          <w:rFonts w:eastAsia="黑体"/>
          <w:bCs/>
          <w:sz w:val="24"/>
          <w:szCs w:val="28"/>
        </w:rPr>
      </w:pPr>
    </w:p>
    <w:p w14:paraId="580B4CC2">
      <w:pPr>
        <w:rPr>
          <w:sz w:val="24"/>
        </w:rPr>
      </w:pPr>
    </w:p>
    <w:p w14:paraId="448CA29E">
      <w:pPr>
        <w:rPr>
          <w:sz w:val="24"/>
        </w:rPr>
        <w:sectPr>
          <w:headerReference r:id="rId13" w:type="default"/>
          <w:footerReference r:id="rId15" w:type="default"/>
          <w:headerReference r:id="rId14" w:type="even"/>
          <w:footerReference r:id="rId16" w:type="even"/>
          <w:pgSz w:w="11906" w:h="16838"/>
          <w:pgMar w:top="1440" w:right="1797" w:bottom="1440" w:left="1797" w:header="851" w:footer="992" w:gutter="0"/>
          <w:lnNumType w:countBy="1" w:restart="continuous"/>
          <w:pgNumType w:start="1"/>
          <w:cols w:space="720" w:num="1"/>
          <w:docGrid w:type="linesAndChars" w:linePitch="312" w:charSpace="0"/>
        </w:sectPr>
      </w:pPr>
    </w:p>
    <w:p w14:paraId="62474FB4">
      <w:pPr>
        <w:spacing w:before="480" w:after="360"/>
        <w:jc w:val="center"/>
        <w:rPr>
          <w:rFonts w:eastAsia="黑体"/>
          <w:b/>
          <w:bCs/>
          <w:sz w:val="28"/>
          <w:szCs w:val="28"/>
        </w:rPr>
      </w:pPr>
      <w:bookmarkStart w:id="4" w:name="_Toc93734162"/>
      <w:r>
        <w:rPr>
          <w:rFonts w:eastAsia="黑体"/>
          <w:b/>
          <w:sz w:val="28"/>
          <w:szCs w:val="28"/>
        </w:rPr>
        <w:t>第</w:t>
      </w:r>
      <w:r>
        <w:rPr>
          <w:rFonts w:hint="eastAsia" w:eastAsia="黑体"/>
          <w:b/>
          <w:sz w:val="28"/>
          <w:szCs w:val="28"/>
        </w:rPr>
        <w:t>2</w:t>
      </w:r>
      <w:r>
        <w:rPr>
          <w:rFonts w:eastAsia="黑体"/>
          <w:b/>
          <w:sz w:val="28"/>
          <w:szCs w:val="28"/>
        </w:rPr>
        <w:t>章</w:t>
      </w:r>
      <w:r>
        <w:rPr>
          <w:rFonts w:hint="eastAsia" w:eastAsia="黑体"/>
          <w:b/>
          <w:sz w:val="28"/>
          <w:szCs w:val="28"/>
        </w:rPr>
        <w:t xml:space="preserve"> 结果与讨论 </w:t>
      </w:r>
    </w:p>
    <w:bookmarkEnd w:id="4"/>
    <w:p w14:paraId="21B298E1">
      <w:pPr>
        <w:numPr>
          <w:ilvl w:val="0"/>
          <w:numId w:val="1"/>
        </w:numPr>
        <w:spacing w:line="480" w:lineRule="exact"/>
        <w:rPr>
          <w:rFonts w:eastAsia="黑体"/>
          <w:sz w:val="24"/>
          <w:lang w:eastAsia="zh"/>
        </w:rPr>
      </w:pPr>
      <w:r>
        <w:rPr>
          <w:rFonts w:hint="eastAsia" w:eastAsia="黑体"/>
          <w:sz w:val="24"/>
          <w:lang w:eastAsia="zh"/>
        </w:rPr>
        <w:t>结果与讨论</w:t>
      </w:r>
    </w:p>
    <w:p w14:paraId="5B9FB951">
      <w:pPr>
        <w:spacing w:line="480" w:lineRule="exact"/>
        <w:rPr>
          <w:rFonts w:eastAsia="黑体"/>
          <w:sz w:val="24"/>
          <w:lang w:eastAsia="zh"/>
        </w:rPr>
      </w:pPr>
      <w:r>
        <w:rPr>
          <w:rFonts w:hint="eastAsia" w:eastAsia="黑体"/>
          <w:sz w:val="24"/>
          <w:lang w:eastAsia="zh"/>
        </w:rPr>
        <w:t>2.1文献文本环境关键词贡献度与关联度分析</w:t>
      </w:r>
    </w:p>
    <w:p w14:paraId="19954081">
      <w:pPr>
        <w:spacing w:line="480" w:lineRule="exact"/>
        <w:ind w:firstLine="616" w:firstLineChars="257"/>
        <w:rPr>
          <w:sz w:val="24"/>
        </w:rPr>
      </w:pPr>
      <w:r>
        <w:rPr>
          <w:sz w:val="24"/>
        </w:rPr>
        <w:t>基于6360篇初始检索文献与153篇有效筛选文献</w:t>
      </w:r>
      <w:r>
        <w:rPr>
          <w:rFonts w:hint="eastAsia"/>
          <w:sz w:val="24"/>
          <w:lang w:eastAsia="zh"/>
        </w:rPr>
        <w:t>（详见附录D）</w:t>
      </w:r>
      <w:r>
        <w:rPr>
          <w:sz w:val="24"/>
        </w:rPr>
        <w:t>的文本数据，借助注意力机制可视化、SHAP特征重要性量化与相关性热力图分析，系统解析了环境关键词的注意力分配规律、模型贡献度特征及因子间关联结构，为融合注意力机制的实体识别模型优化提供了直接数据支撑，也为后续6PPD与6PPD-Q相关实体的精准提取奠定了理论基础，实验结果如图</w:t>
      </w:r>
      <w:r>
        <w:rPr>
          <w:rFonts w:hint="eastAsia"/>
          <w:sz w:val="24"/>
          <w:lang w:eastAsia="zh"/>
        </w:rPr>
        <w:t>4</w:t>
      </w:r>
      <w:r>
        <w:rPr>
          <w:sz w:val="24"/>
        </w:rPr>
        <w:t>所示。三类图表从不同维度相互印证，揭示了文献文本中核心信息的分布特征与内在联系，确保了数据挖掘过程的科学性与针对性。图</w:t>
      </w:r>
      <w:r>
        <w:rPr>
          <w:rFonts w:hint="eastAsia"/>
          <w:sz w:val="24"/>
          <w:lang w:eastAsia="zh"/>
        </w:rPr>
        <w:t>4</w:t>
      </w:r>
      <w:r>
        <w:rPr>
          <w:sz w:val="24"/>
        </w:rPr>
        <w:t>从整体分布来看，注意力权重呈现出鲜明</w:t>
      </w:r>
    </w:p>
    <w:p w14:paraId="0DD853CE">
      <w:pPr>
        <w:ind w:firstLine="616" w:firstLineChars="257"/>
        <w:rPr>
          <w:sz w:val="24"/>
          <w:lang w:eastAsia="zh"/>
        </w:rPr>
      </w:pPr>
      <w:r>
        <w:rPr>
          <w:rFonts w:hint="eastAsia"/>
          <w:sz w:val="24"/>
          <w:lang w:eastAsia="zh"/>
        </w:rPr>
        <w:drawing>
          <wp:inline distT="0" distB="0" distL="114300" distR="114300">
            <wp:extent cx="4846955" cy="2596515"/>
            <wp:effectExtent l="0" t="0" r="10795" b="1333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4"/>
                    <a:stretch>
                      <a:fillRect/>
                    </a:stretch>
                  </pic:blipFill>
                  <pic:spPr>
                    <a:xfrm>
                      <a:off x="0" y="0"/>
                      <a:ext cx="4846955" cy="2596515"/>
                    </a:xfrm>
                    <a:prstGeom prst="rect">
                      <a:avLst/>
                    </a:prstGeom>
                  </pic:spPr>
                </pic:pic>
              </a:graphicData>
            </a:graphic>
          </wp:inline>
        </w:drawing>
      </w:r>
    </w:p>
    <w:p w14:paraId="3F13CF7E">
      <w:pPr>
        <w:spacing w:line="480" w:lineRule="exact"/>
        <w:ind w:firstLine="539" w:firstLineChars="257"/>
        <w:jc w:val="center"/>
        <w:rPr>
          <w:color w:val="000000"/>
          <w:szCs w:val="21"/>
        </w:rPr>
      </w:pPr>
      <w:r>
        <w:rPr>
          <w:color w:val="000000"/>
          <w:szCs w:val="21"/>
        </w:rPr>
        <w:t>图</w:t>
      </w:r>
      <w:r>
        <w:rPr>
          <w:rFonts w:hint="eastAsia"/>
          <w:color w:val="000000"/>
          <w:szCs w:val="21"/>
          <w:lang w:eastAsia="zh"/>
        </w:rPr>
        <w:t>4</w:t>
      </w:r>
      <w:r>
        <w:rPr>
          <w:color w:val="000000"/>
          <w:szCs w:val="21"/>
        </w:rPr>
        <w:t>.所检测测试文献数据集关键词贡献度排序与关联度结果</w:t>
      </w:r>
    </w:p>
    <w:p w14:paraId="760BDD73">
      <w:pPr>
        <w:spacing w:line="480" w:lineRule="exact"/>
        <w:ind w:firstLine="539" w:firstLineChars="257"/>
        <w:jc w:val="center"/>
        <w:rPr>
          <w:color w:val="000000"/>
          <w:szCs w:val="21"/>
        </w:rPr>
      </w:pPr>
      <w:r>
        <w:rPr>
          <w:color w:val="000000"/>
          <w:szCs w:val="21"/>
        </w:rPr>
        <w:t>注：A-E为注意力气泡图，气泡大小/颜色代表注意力权重，数值越高说明模型对该特征的关注越显著；F-J为SHAP蜂群图，点的分布反映特征对模型预测的贡献度，SHAP值越大说明特征影响越显著；K-O为相关性热力图，颜色越深代表特征间的相关性越强</w:t>
      </w:r>
    </w:p>
    <w:p w14:paraId="403B8C53">
      <w:pPr>
        <w:rPr>
          <w:sz w:val="24"/>
          <w:lang w:eastAsia="zh"/>
        </w:rPr>
      </w:pPr>
    </w:p>
    <w:p w14:paraId="47831642">
      <w:pPr>
        <w:spacing w:line="480" w:lineRule="exact"/>
        <w:rPr>
          <w:sz w:val="24"/>
        </w:rPr>
      </w:pPr>
      <w:r>
        <w:rPr>
          <w:sz w:val="24"/>
        </w:rPr>
        <w:t>的核心-边缘分层特征，核心污染物相关关键词占据绝对主导地位。A-E子图中，“6PPD”“6PPD-Q”“p-phenylenediamine”“quinone”“tirewear”等核心研究对象相关关键词的气泡尺寸最大、颜色最鲜亮，注意力权重占比分别达到11.7%、10.9%、8.5%、7.8%、6.3%，累计占比超45%，成为模型锁定污染物实体的核心锚点。这一结果与研究目标高度契合，6PPD作为橡胶轮胎中的关键抗氧化剂，其光化学转化产物6PPD-Q作为高毒性新型污染物，二者是文献数据挖掘的核心对象，相关词汇在有效文献中出现频率高、信息密度大，模型通过自动分配高注意力权重，实现了对核心实体的精准聚焦。值得注意的是，注意力机制展现出极强的特征区分能力：环境介质类关键词（如“water”“sediment”“biota”）的气泡尺寸与颜色深度仅次于核心污染物，注意力权重集中在4.2%-5.9%区间，其中“water”以5.9%的权重位居首位，“sediment”“biota”分别为5.3%、4.2%，反映出这类关键词是识别污染物赋存载体的关键特征；浓度单位类关键词（如“</w:t>
      </w:r>
      <w:r>
        <w:rPr>
          <w:rFonts w:hint="eastAsia"/>
          <w:sz w:val="24"/>
          <w:lang w:eastAsia="zh"/>
        </w:rPr>
        <w:t>u</w:t>
      </w:r>
      <w:r>
        <w:rPr>
          <w:sz w:val="24"/>
        </w:rPr>
        <w:t>g/L”“ng/L”“mg/L”）的注意力权重为3.8%-4.5%，“</w:t>
      </w:r>
      <w:r>
        <w:rPr>
          <w:rFonts w:hint="eastAsia"/>
          <w:sz w:val="24"/>
          <w:lang w:eastAsia="zh"/>
        </w:rPr>
        <w:t>u</w:t>
      </w:r>
      <w:r>
        <w:rPr>
          <w:sz w:val="24"/>
        </w:rPr>
        <w:t>g/L”作为6PPD-Q等痕量污染物的主要检测单位，权重达到4.5%，显著高于其他单位，体现了模型对污染物定量信息的高度敏感；地域类关键词（如“riverbasin”“coastalarea”“urbanregion”）的注意力权重为3.1%-3.7%，虽低于核心污染物与介质关键词，但仍属于中权重区间，反映出研究对污染物区域分布特征的关注；物种类关键词（如“ffsh”“daphnia”“algae”）的注意力权重为2.8%-3.3%，与污染物生态毒性研究的核心目标相呼应。与之形成鲜明对比的是</w:t>
      </w:r>
      <w:r>
        <w:rPr>
          <w:rFonts w:hint="eastAsia"/>
          <w:sz w:val="24"/>
          <w:lang w:eastAsia="zh"/>
        </w:rPr>
        <w:t>，</w:t>
      </w:r>
      <w:r>
        <w:rPr>
          <w:sz w:val="24"/>
        </w:rPr>
        <w:t>“the”“and”“of”等通用虚词、“study”“research”“analysis”等非特异性学术词汇的气泡极小、颜色极淡，注意力权重均不足0.8%，甚至部分词汇的权重接近0，充分验证了融合注意力机制的模型能够有效过滤冗余文本、聚焦核心信息，避免无关词汇对实体识别的干扰，这也是模型实体识别准确率稳定在75%-85%的重要原因之一。从F-J子图的分析结果来看，核心污染物关键词的SHAP值呈现出显著的高值聚集特征：“6PPD-Q”的SHAP均值达1.38，“6PPD”的SHAP均值达1.29，“p-phenylenediamine”达1.17，均处于1.0以上的高贡献区间，是模型识别污染物实体的核心正向特征，其出现几乎必然会提升模型对污染物实体的识别概率。环境介质类关键词中，“water”“sediment”“biota”的SHAP均值分别为0.98、0.87、0.76，属于中高贡献度正向特征，这类关键词的出现会为模型提供污染物赋存场景的关键线索，辅助核心实体的精准定位；浓度单位类关键词中，“</w:t>
      </w:r>
      <w:r>
        <w:rPr>
          <w:rFonts w:hint="eastAsia"/>
          <w:sz w:val="24"/>
          <w:lang w:eastAsia="zh"/>
        </w:rPr>
        <w:t>u</w:t>
      </w:r>
      <w:r>
        <w:rPr>
          <w:sz w:val="24"/>
        </w:rPr>
        <w:t>g/L”“ng/L”的SHAP均值为0.82、0.79，同样属于中高贡献度特征，其与污染物关键词的组合出现，能进一步强化模型对定量信息的识别能力；地域类关键词中，“river</w:t>
      </w:r>
      <w:r>
        <w:rPr>
          <w:rFonts w:hint="eastAsia"/>
          <w:sz w:val="24"/>
          <w:lang w:val="en-US" w:eastAsia="zh-CN"/>
        </w:rPr>
        <w:t xml:space="preserve"> </w:t>
      </w:r>
      <w:r>
        <w:rPr>
          <w:sz w:val="24"/>
        </w:rPr>
        <w:t>basin”“coasta</w:t>
      </w:r>
      <w:r>
        <w:rPr>
          <w:rFonts w:hint="eastAsia"/>
          <w:sz w:val="24"/>
          <w:lang w:val="en-US" w:eastAsia="zh-CN"/>
        </w:rPr>
        <w:t xml:space="preserve"> </w:t>
      </w:r>
      <w:r>
        <w:rPr>
          <w:sz w:val="24"/>
        </w:rPr>
        <w:t>larea”的SHAP均值为0.67、0.63，物种类关键词中“f</w:t>
      </w:r>
      <w:r>
        <w:rPr>
          <w:rFonts w:hint="eastAsia"/>
          <w:sz w:val="24"/>
        </w:rPr>
        <w:t>i</w:t>
      </w:r>
      <w:r>
        <w:rPr>
          <w:sz w:val="24"/>
        </w:rPr>
        <w:t>sh”“daphnia”的SHAP均值为0.61、0.58，均属于中等贡献度正向特征，为模型提供了污染物分布区域与生态影响对象的关键信息，完善了实体识别的上下文逻辑。反观非核心关键词，如“laboratory”“experiment”“method”等实验相关词汇的SHAP值集中在-0.2-0.3区间，多数点的SHAP值接近0，对模型预测的贡献度极低；而“hair</w:t>
      </w:r>
      <w:r>
        <w:rPr>
          <w:rFonts w:hint="eastAsia"/>
          <w:sz w:val="24"/>
          <w:lang w:val="en-US" w:eastAsia="zh-CN"/>
        </w:rPr>
        <w:t xml:space="preserve"> </w:t>
      </w:r>
      <w:r>
        <w:rPr>
          <w:sz w:val="24"/>
        </w:rPr>
        <w:t>dye”“oxidative</w:t>
      </w:r>
      <w:r>
        <w:rPr>
          <w:rFonts w:hint="eastAsia"/>
          <w:sz w:val="24"/>
          <w:lang w:val="en-US" w:eastAsia="zh-CN"/>
        </w:rPr>
        <w:t xml:space="preserve"> </w:t>
      </w:r>
      <w:r>
        <w:rPr>
          <w:sz w:val="24"/>
        </w:rPr>
        <w:t>dye”等与研究主题关联性较弱的词汇，部分点的SHAP值呈现负值（最低为-0.32），说明这类词汇的过度出现会干扰模型对核心污染物的识别，导致预测概率降低，这也为后续文献筛选过程中进一步优化关键词词典、剔除无关特征提供了数据依据。此外，SHAP蜂群图还揭示了关键词贡献度的个体差异：即使是同一类别下的关键词，贡献度也存在显著分化，如“quinone”作为6PPD的关键转化产物类别词汇，SHAP均值达1.05，而同类别的“benzoquinone”因在有效文献中出现频率较低，SHAP均值仅为0.41；环境介质类中“water”的SHAP均值（0.98）显著高于“soil”（0.45），浓度单位类中“</w:t>
      </w:r>
      <w:r>
        <w:rPr>
          <w:rFonts w:hint="eastAsia"/>
          <w:sz w:val="24"/>
          <w:lang w:eastAsia="zh"/>
        </w:rPr>
        <w:t>u</w:t>
      </w:r>
      <w:r>
        <w:rPr>
          <w:sz w:val="24"/>
        </w:rPr>
        <w:t>g/L”（0.82）高于“mg/L”（0.39），这种差异为模型的特征权重优化提供了精准方向，可通过强化高贡献度关键词的权重、弱化低贡献度关键词的影响，进一步提升模型性能。</w:t>
      </w:r>
    </w:p>
    <w:p w14:paraId="0AF9AE1B">
      <w:pPr>
        <w:spacing w:line="480" w:lineRule="exact"/>
        <w:ind w:firstLine="480" w:firstLineChars="200"/>
        <w:rPr>
          <w:sz w:val="24"/>
        </w:rPr>
      </w:pPr>
      <w:r>
        <w:rPr>
          <w:sz w:val="24"/>
        </w:rPr>
        <w:t>由图</w:t>
      </w:r>
      <w:r>
        <w:rPr>
          <w:rFonts w:hint="eastAsia"/>
          <w:sz w:val="24"/>
          <w:lang w:eastAsia="zh"/>
        </w:rPr>
        <w:t>4</w:t>
      </w:r>
      <w:r>
        <w:rPr>
          <w:sz w:val="24"/>
        </w:rPr>
        <w:t>（K）-（O）核心污染物关键词与环境介质关键词间呈现出极强的正相关性，“6PPD”与“water”的相关系数达0.83，“6PPD-Q”与“sediment”的相关系数达0.79，“p-phenylenediamine”与“biota”的相关系数达0.75，这种强相关性源于文献中“污染物-赋存介质”的固定表述逻辑，多数研究在提及6PPD或6PPD-Q时，会同步说明其在水体、沉积物或生物体内的检出情况，为批量提取污染物赋存信息提供了逻辑依据。污染物关键词与浓度单位关键词间的相关性同样显著，“6PPD-Q”与“??g/L”的相关系数达0.81，“6PPD”与“ng/L”的相关系数达0.77，反映出文献中污染物浓度数据的标准化表述规律，可通过这种关联特征快速锁定污染物的定量信息；污染物关键词与地域关键词间的相关系数为0.65-0.72，如“6PPD-Q”与“riverbasin”达0.72，“6PPD”与“coastalarea”达0.68，体现了污染物分布的区域特异性，为梳理全球范围内污染现状提供了线索；污染物关键词与物种关键词间的相关系数为0.62-0.69，“6PPD-Q”与“ffsh”达0.69，“6PPD”与“daphnia”达0.65，与这类污染物对水生生物的强毒性特征高度契合，为生态风险评估相关数据的提取提供了支撑。环境介质关键词内部也存在较强相关性，“water”与“sediment”的相关系数达0.73，“sediment”与“biota”的相关系数达0.68，体现了污染物在不同介质间的迁移转化关系，为系统梳理6PPD与6PPD-Q的环境归趋提供了线索；浓度单位关键词内部，“</w:t>
      </w:r>
      <w:r>
        <w:rPr>
          <w:rFonts w:hint="eastAsia"/>
          <w:sz w:val="24"/>
          <w:lang w:eastAsia="zh"/>
        </w:rPr>
        <w:t>u</w:t>
      </w:r>
      <w:r>
        <w:rPr>
          <w:sz w:val="24"/>
        </w:rPr>
        <w:t>g/L”与“ng/L”的相关系数达0.64，反映出痕量浓度单位的协同出现规律；地域关键词内部“riverbasin”与“coastalarea”达0.59，物种关键词内部“ffsh”与“daphnia”达0.61，均呈现中等强度正相关，符合文献中对污染区域与生态对象的组合描述习惯。而核心关键词与非核心关键词间的相关性普遍较弱，相关系数多在0.1-0.2区间，如“6PPD”与“experiment”的相关系数仅为0.15，“6PPD-Q”与“method”仅为0.13，进一步验证了核心特征的独立性与辨识度，也说明模型能够有效区分核心信息与无关信息，避免关联干扰。</w:t>
      </w:r>
    </w:p>
    <w:p w14:paraId="27990A44">
      <w:pPr>
        <w:spacing w:line="480" w:lineRule="exact"/>
        <w:rPr>
          <w:rFonts w:eastAsia="黑体"/>
          <w:sz w:val="24"/>
          <w:lang w:eastAsia="zh"/>
        </w:rPr>
      </w:pPr>
      <w:r>
        <w:rPr>
          <w:rFonts w:hint="eastAsia" w:eastAsia="黑体"/>
          <w:sz w:val="24"/>
          <w:lang w:eastAsia="zh"/>
        </w:rPr>
        <w:t>2.2文献文本提取关键词匹配分析</w:t>
      </w:r>
    </w:p>
    <w:p w14:paraId="352B9EFB">
      <w:pPr>
        <w:spacing w:line="480" w:lineRule="exact"/>
        <w:ind w:firstLine="480" w:firstLineChars="200"/>
        <w:rPr>
          <w:sz w:val="24"/>
        </w:rPr>
      </w:pPr>
      <w:r>
        <w:rPr>
          <w:sz w:val="24"/>
        </w:rPr>
        <w:t>基于SHAP蜂群图组内量化筛选的核心关键词开展文献文本匹配分析，图</w:t>
      </w:r>
      <w:r>
        <w:rPr>
          <w:rFonts w:hint="eastAsia"/>
          <w:sz w:val="24"/>
          <w:lang w:eastAsia="zh"/>
        </w:rPr>
        <w:t>5</w:t>
      </w:r>
      <w:r>
        <w:rPr>
          <w:sz w:val="24"/>
        </w:rPr>
        <w:t>中A-G七组关键词密度丰度散点分布图完整呈现6360篇初始检索文献拆分后各数据集的分布特征，其中子图A为全局剩余小数据集（</w:t>
      </w:r>
      <w:r>
        <w:rPr>
          <w:rFonts w:hint="eastAsia"/>
          <w:sz w:val="24"/>
          <w:lang w:eastAsia="zh"/>
        </w:rPr>
        <w:t>n</w:t>
      </w:r>
      <w:r>
        <w:rPr>
          <w:sz w:val="24"/>
        </w:rPr>
        <w:t>=360）的密度-丰度分布特征，子图B至G为6组千篇量级数据集（</w:t>
      </w:r>
      <w:r>
        <w:rPr>
          <w:rFonts w:hint="eastAsia"/>
          <w:sz w:val="24"/>
          <w:lang w:eastAsia="zh"/>
        </w:rPr>
        <w:t>n</w:t>
      </w:r>
      <w:r>
        <w:rPr>
          <w:sz w:val="24"/>
        </w:rPr>
        <w:t>=1000）的密度-丰度分布特征，所有子图均拟合95%置信区间曲线，有效文献均聚集于密度1-3个/篇、丰度2-6个/篇的量化阈值内，各子图围绕该核心阈值形成差异化的左右界与上下界范围，界域特征与数据集规模高度适配且无跨组偏倚。子图A有效散点的左右界为密度1-2个/篇，上下界为丰度2-4个/篇，是所有子图中界域范围最紧致的组别，95%置信区间曲线完全包裹有效散点无任何溢出；子图B有效散点的左右界为密度1-3个/篇，上下界为丰度2-6个/篇，界域覆盖核心阈值全范围，置信区间曲线在界域边缘拟合度均匀；子图C有效散点的左右界为密度1-2个/篇，上下界为丰度3-6个/篇，界域呈丰度维度向上偏移特征，置信区间曲线在上界丰度5-6个/篇区域贴合度更高；子图D有效散点的左右界为密度2-3个/篇，上下界为丰度2-4个/篇，界域呈密度维度向右偏移特征，置信区间曲线在右界密度2-3个/篇区域收敛性最强</w:t>
      </w:r>
      <w:r>
        <w:rPr>
          <w:rFonts w:hint="eastAsia"/>
          <w:sz w:val="24"/>
          <w:lang w:eastAsia="zh"/>
        </w:rPr>
        <w:t>;</w:t>
      </w:r>
      <w:r>
        <w:rPr>
          <w:sz w:val="24"/>
        </w:rPr>
        <w:t>子图E有效散点的左右界为密度1-3个/篇，上下界为丰度2-6个/篇，界域与核心阈值完全重合，置信区间曲线在全界域内拟合度均处于高位；子图F有效散点的左右界为密度1-2个/篇，上下界为丰度2-5个/篇，界域在密度、丰度维度均向低值收缩，置信区间曲线在左界、下界区域贴合度更优；子图G有效散点的左右界为密度2-3个/篇，上下界为丰度4-6个/篇，界域在密度、丰度维度均向高值偏移，置信区间曲线在右界、上界区域包裹性最强。</w:t>
      </w:r>
    </w:p>
    <w:p w14:paraId="657ED993">
      <w:pPr>
        <w:rPr>
          <w:rFonts w:eastAsia="黑体"/>
          <w:sz w:val="24"/>
          <w:lang w:eastAsia="zh"/>
        </w:rPr>
      </w:pPr>
      <w:r>
        <w:rPr>
          <w:rFonts w:hint="eastAsia" w:eastAsia="黑体"/>
          <w:sz w:val="24"/>
          <w:lang w:eastAsia="zh"/>
        </w:rPr>
        <w:drawing>
          <wp:inline distT="0" distB="0" distL="114300" distR="114300">
            <wp:extent cx="5228590" cy="2800985"/>
            <wp:effectExtent l="0" t="0" r="10160" b="1841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35"/>
                    <a:stretch>
                      <a:fillRect/>
                    </a:stretch>
                  </pic:blipFill>
                  <pic:spPr>
                    <a:xfrm>
                      <a:off x="0" y="0"/>
                      <a:ext cx="5228590" cy="2800985"/>
                    </a:xfrm>
                    <a:prstGeom prst="rect">
                      <a:avLst/>
                    </a:prstGeom>
                  </pic:spPr>
                </pic:pic>
              </a:graphicData>
            </a:graphic>
          </wp:inline>
        </w:drawing>
      </w:r>
    </w:p>
    <w:p w14:paraId="4E6DC6CD">
      <w:pPr>
        <w:spacing w:line="480" w:lineRule="exact"/>
        <w:ind w:firstLine="539" w:firstLineChars="257"/>
        <w:jc w:val="center"/>
        <w:rPr>
          <w:color w:val="000000"/>
          <w:szCs w:val="21"/>
        </w:rPr>
      </w:pPr>
      <w:r>
        <w:rPr>
          <w:color w:val="000000"/>
          <w:szCs w:val="21"/>
        </w:rPr>
        <w:t>图</w:t>
      </w:r>
      <w:r>
        <w:rPr>
          <w:rFonts w:hint="eastAsia"/>
          <w:color w:val="000000"/>
          <w:szCs w:val="21"/>
          <w:lang w:eastAsia="zh"/>
        </w:rPr>
        <w:t>5</w:t>
      </w:r>
      <w:r>
        <w:rPr>
          <w:color w:val="000000"/>
          <w:szCs w:val="21"/>
        </w:rPr>
        <w:t>.关键词密度-丰度分布特征及不同环境介质中污染物检出量统计</w:t>
      </w:r>
    </w:p>
    <w:p w14:paraId="64707D9D">
      <w:pPr>
        <w:spacing w:line="480" w:lineRule="exact"/>
        <w:ind w:firstLine="539" w:firstLineChars="257"/>
        <w:jc w:val="center"/>
        <w:rPr>
          <w:color w:val="000000"/>
          <w:szCs w:val="21"/>
        </w:rPr>
      </w:pPr>
      <w:r>
        <w:rPr>
          <w:color w:val="000000"/>
          <w:szCs w:val="21"/>
        </w:rPr>
        <w:t>注：（A-G）为关键词密度-丰度散点分布图，其中（A）为数据集（n=360）的全局分布特征，（BG）为数据集（n=1000）的全局分布特征，图中曲线为95%置信区间（95%CI）拟合线；按水相（Water）、生物相（Biological）、沉积物相（Sediment）三类环境介质分类统计，结果显示生物相污染物检出量最高、水相次之、沉积物相最低，符合目标污染物的环境迁移转化特征，验证了shap（图5）特征贡献筛选的关键词在统计模型在实际环境场景中的识别有效性</w:t>
      </w:r>
    </w:p>
    <w:p w14:paraId="4A8FD364">
      <w:pPr>
        <w:spacing w:line="480" w:lineRule="exact"/>
        <w:ind w:firstLine="539" w:firstLineChars="257"/>
        <w:jc w:val="center"/>
        <w:rPr>
          <w:color w:val="000000"/>
          <w:szCs w:val="21"/>
        </w:rPr>
      </w:pPr>
    </w:p>
    <w:p w14:paraId="0AAD77A0">
      <w:pPr>
        <w:spacing w:line="480" w:lineRule="exact"/>
        <w:ind w:firstLine="480" w:firstLineChars="200"/>
        <w:rPr>
          <w:sz w:val="24"/>
        </w:rPr>
      </w:pPr>
      <w:r>
        <w:rPr>
          <w:sz w:val="24"/>
        </w:rPr>
        <w:t>结合图</w:t>
      </w:r>
      <w:r>
        <w:rPr>
          <w:rFonts w:hint="eastAsia"/>
          <w:sz w:val="24"/>
          <w:lang w:eastAsia="zh"/>
        </w:rPr>
        <w:t>5</w:t>
      </w:r>
      <w:r>
        <w:rPr>
          <w:sz w:val="24"/>
        </w:rPr>
        <w:t>中A-G七组子图配套的环境介质污染物检出量柱状统计结果，对水相、生物相、沉积物相三类介质检出量进行分组量化归纳，各子图均呈现生物相检出量最高、水相次之、沉积物相最低的统一规律，且同一介质在不同子图中检出量无显著批次性波动，具体从柱状图量化读取结果为：子图A中水相检出量占比32%、生物相检出量占比51%、沉积物相检出量占比17%；子图B中水相检出量占比34%、生物相检出量占比49%、沉积物相检出量占比17%；子图C中水相检出量占比31%、生物相检出量占比52%、沉积物相检出量占比17%；子图D中水相检出量占比35%、生物相检出量占比48%、沉积物相检出量占比17%；子图E中水相检出量占比33%、生物相检出量占比50%、沉积物相检出量占比17%；子图F中水相检出量占比32%、生物相检出量占比51%、沉积物相检出量占比17%；子图G中水相检出量占比34%、生物相检出量占比49%、沉积物相检出量占比17%。从七组子图的检出量占比分布来看，生物相检出量占比始终稳定在48%</w:t>
      </w:r>
      <w:r>
        <w:rPr>
          <w:rFonts w:hint="eastAsia"/>
          <w:sz w:val="24"/>
          <w:lang w:eastAsia="zh"/>
        </w:rPr>
        <w:t>~</w:t>
      </w:r>
      <w:r>
        <w:rPr>
          <w:sz w:val="24"/>
        </w:rPr>
        <w:t>52%区间，水相检出量占比稳定在31%</w:t>
      </w:r>
      <w:r>
        <w:rPr>
          <w:rFonts w:hint="eastAsia"/>
          <w:sz w:val="24"/>
          <w:lang w:eastAsia="zh"/>
        </w:rPr>
        <w:t>~</w:t>
      </w:r>
      <w:r>
        <w:rPr>
          <w:sz w:val="24"/>
        </w:rPr>
        <w:t>35%区间，沉积物相检出量占比则在所有子图中均保持17%的恒定占比，三类介质的检出量层级关系在A-G所有子图中均无任何打破，呈现出极强的分布规律性。对A-G七组子图的三类介质检出量进行整体汇总，生物相检出量总占比达50.0%、水相检出量总占比达33.0%、沉积物相检出量总占比仅17.0%，这一总体数量差异与本研究依托多元词典法构建的环境污染物专用词典中三类介质关键词的数量分布形成高度精准的对应关系，其中由图</w:t>
      </w:r>
      <w:r>
        <w:rPr>
          <w:rFonts w:hint="eastAsia"/>
          <w:sz w:val="24"/>
          <w:lang w:eastAsia="zh"/>
        </w:rPr>
        <w:t>4</w:t>
      </w:r>
      <w:r>
        <w:rPr>
          <w:sz w:val="24"/>
        </w:rPr>
        <w:t>所得出的生物相专用关键词118个，水相专用关键词105个和沉积物相专用关键词64个，介质专用关键词的数量排序与A-G七组子图介质检出量的占比排序、整体汇总占比排序基本一致，实现了文献文本关键词特征与实际环境污染物赋存特征的精准印证。生物相作为检出量占比最高的介质，对应数量最多的专用关键词，反映出有效文献中针对生物相中6PPD与6PPDQ的研究内容最丰富、数据最详实，与实际环境中该类污染物在生物体内的富集特征高度匹配；水相专用关键词数量次之，与其中等检出量占比特征相对应，契合该类污染物经轮胎磨损、径流冲刷等途径大量富集于水体的环境行为特征，也体现出有效文献中水体环境是该类污染物研究的核心场景；沉积物相专用关键词数量最少，与其最低的检出量占比相契合，既反映出当前研究中针对沉积物相中该类污染物的关注程度与研究数据均少于水相和生物相，也与实际环境中沉积物相为该类污染物次要赋存介质的特征一致。此外，三类介质专用关键词的数量差异与前期shap蜂群图组内分析得到的介质关键词贡献度排序形成呼应，尽管SHAP蜂群图无法解释各子图柱状统计结果的细微数值差异，但其组内量化的biological</w:t>
      </w:r>
      <w:r>
        <w:rPr>
          <w:rFonts w:hint="eastAsia"/>
          <w:sz w:val="24"/>
          <w:lang w:val="en-US" w:eastAsia="zh-CN"/>
        </w:rPr>
        <w:t xml:space="preserve"> </w:t>
      </w:r>
      <w:r>
        <w:rPr>
          <w:sz w:val="24"/>
        </w:rPr>
        <w:t>&gt;</w:t>
      </w:r>
      <w:r>
        <w:rPr>
          <w:rFonts w:hint="eastAsia"/>
          <w:sz w:val="24"/>
          <w:lang w:val="en-US" w:eastAsia="zh-CN"/>
        </w:rPr>
        <w:t xml:space="preserve"> </w:t>
      </w:r>
      <w:r>
        <w:rPr>
          <w:sz w:val="24"/>
        </w:rPr>
        <w:t>water</w:t>
      </w:r>
      <w:r>
        <w:rPr>
          <w:rFonts w:hint="eastAsia"/>
          <w:sz w:val="24"/>
          <w:lang w:val="en-US" w:eastAsia="zh-CN"/>
        </w:rPr>
        <w:t xml:space="preserve"> </w:t>
      </w:r>
      <w:r>
        <w:rPr>
          <w:sz w:val="24"/>
        </w:rPr>
        <w:t>&gt;</w:t>
      </w:r>
      <w:r>
        <w:rPr>
          <w:rFonts w:hint="eastAsia"/>
          <w:sz w:val="24"/>
          <w:lang w:val="en-US" w:eastAsia="zh-CN"/>
        </w:rPr>
        <w:t xml:space="preserve"> </w:t>
      </w:r>
      <w:r>
        <w:rPr>
          <w:sz w:val="24"/>
        </w:rPr>
        <w:t>sediment关键词贡献度高低排序，与三类介质的关键词数量排序、检出量占比排序高度统一，进一步验证了本研究筛选的核心关键词体系的科学性与有效性，也让文献文本的关键词匹配结果、实际环境的介质检出量结果、SHAP蜂群图的关键词贡献度结果形成了相互支撑的逻辑闭环，为后续6PPD与6PPDQ环境归趋信息的汇编提供了精准的文本数据与实际环境数据双重支撑，同时也为同类新型环境污染物的文献数据挖掘与环境赋存特征研究提供了可复用的分析思路。</w:t>
      </w:r>
    </w:p>
    <w:p w14:paraId="3BD2F5DD">
      <w:pPr>
        <w:spacing w:line="480" w:lineRule="exact"/>
        <w:rPr>
          <w:rFonts w:hint="eastAsia" w:ascii="黑体" w:hAnsi="黑体" w:eastAsia="黑体" w:cs="黑体"/>
          <w:sz w:val="24"/>
          <w:lang w:eastAsia="zh"/>
        </w:rPr>
      </w:pPr>
      <w:r>
        <w:rPr>
          <w:rFonts w:hint="eastAsia"/>
          <w:sz w:val="24"/>
          <w:lang w:eastAsia="zh"/>
        </w:rPr>
        <w:t>2.3</w:t>
      </w:r>
      <w:r>
        <w:rPr>
          <w:rFonts w:hint="eastAsia" w:ascii="黑体" w:hAnsi="黑体" w:eastAsia="黑体" w:cs="黑体"/>
          <w:sz w:val="24"/>
          <w:lang w:eastAsia="zh"/>
        </w:rPr>
        <w:t>基于机器学习与文本挖掘的数据汇编</w:t>
      </w:r>
    </w:p>
    <w:p w14:paraId="272EF6BA">
      <w:pPr>
        <w:spacing w:line="480" w:lineRule="exact"/>
        <w:rPr>
          <w:rFonts w:hint="eastAsia" w:ascii="黑体" w:hAnsi="黑体" w:eastAsia="黑体" w:cs="黑体"/>
          <w:sz w:val="24"/>
          <w:lang w:eastAsia="zh"/>
        </w:rPr>
      </w:pPr>
      <w:r>
        <w:rPr>
          <w:rFonts w:hint="eastAsia"/>
          <w:sz w:val="24"/>
          <w:lang w:eastAsia="zh"/>
        </w:rPr>
        <w:t>2.3.1</w:t>
      </w:r>
      <w:r>
        <w:rPr>
          <w:rFonts w:hint="eastAsia" w:ascii="黑体" w:hAnsi="黑体" w:eastAsia="黑体" w:cs="黑体"/>
          <w:sz w:val="24"/>
          <w:lang w:eastAsia="zh"/>
        </w:rPr>
        <w:t>基于机器学习与文本挖掘的地理数据汇编</w:t>
      </w:r>
    </w:p>
    <w:p w14:paraId="4FBC166F">
      <w:pPr>
        <w:spacing w:line="480" w:lineRule="exact"/>
        <w:ind w:firstLine="480" w:firstLineChars="200"/>
        <w:rPr>
          <w:sz w:val="24"/>
        </w:rPr>
      </w:pPr>
      <w:r>
        <w:rPr>
          <w:sz w:val="24"/>
        </w:rPr>
        <w:t>依托融合注意力机制的神经网络模型提取的6PPD/Q浓度数据与地理信息，结合Python地理可视化工具完成全球典型区域6PPD/Q在水相、沉积物相的地理分布与含量密度特征构建。生物相因野外实际采样点空间分布稀疏、数据量离散度高，纳入地理可视化后易导致空间格局表征模糊、规律识别难度增加，故未纳入本次地理分布可视化分析，相关地理信息仅作定量统计留存。本研究通过经纬度坐标校准、含量密度归一化处理，实现6PPD/Q在全球尺度的空间分布与含量特征可视化，明晰其在不同环境介质中的地理分异规律与含量密度分布特征，结果如图</w:t>
      </w:r>
      <w:r>
        <w:rPr>
          <w:rFonts w:hint="eastAsia"/>
          <w:sz w:val="24"/>
          <w:lang w:eastAsia="zh"/>
        </w:rPr>
        <w:t>6</w:t>
      </w:r>
      <w:r>
        <w:rPr>
          <w:sz w:val="24"/>
        </w:rPr>
        <w:t>所示。全球水体环境中6PPD/Q的地理分布与含量密度呈现显著的空间异质性与纬度分带特征（图</w:t>
      </w:r>
      <w:r>
        <w:rPr>
          <w:rFonts w:hint="eastAsia"/>
          <w:sz w:val="24"/>
          <w:lang w:eastAsia="zh"/>
        </w:rPr>
        <w:t>6</w:t>
      </w:r>
      <w:r>
        <w:rPr>
          <w:sz w:val="24"/>
        </w:rPr>
        <w:t>A）。从经纬度分布散点图可见，6PPD/Q在水体中的检出点位主要集中于东半球中纬度区域（东经20</w:t>
      </w:r>
      <w:r>
        <w:rPr>
          <w:sz w:val="24"/>
          <w:vertAlign w:val="superscript"/>
        </w:rPr>
        <w:t>◦</w:t>
      </w:r>
      <w:r>
        <w:rPr>
          <w:sz w:val="24"/>
        </w:rPr>
        <w:t>-160</w:t>
      </w:r>
      <w:r>
        <w:rPr>
          <w:sz w:val="24"/>
          <w:vertAlign w:val="superscript"/>
        </w:rPr>
        <w:t>◦</w:t>
      </w:r>
      <w:r>
        <w:rPr>
          <w:sz w:val="24"/>
        </w:rPr>
        <w:t>、北纬20</w:t>
      </w:r>
      <w:r>
        <w:rPr>
          <w:sz w:val="24"/>
          <w:vertAlign w:val="superscript"/>
        </w:rPr>
        <w:t>◦</w:t>
      </w:r>
      <w:r>
        <w:rPr>
          <w:sz w:val="24"/>
        </w:rPr>
        <w:t>-60</w:t>
      </w:r>
      <w:r>
        <w:rPr>
          <w:sz w:val="24"/>
          <w:vertAlign w:val="superscript"/>
        </w:rPr>
        <w:t>◦</w:t>
      </w:r>
      <w:r>
        <w:rPr>
          <w:sz w:val="24"/>
        </w:rPr>
        <w:t>）与西半球中低纬度区域（西经80</w:t>
      </w:r>
      <w:r>
        <w:rPr>
          <w:sz w:val="24"/>
          <w:vertAlign w:val="superscript"/>
        </w:rPr>
        <w:t>◦</w:t>
      </w:r>
      <w:r>
        <w:rPr>
          <w:sz w:val="24"/>
        </w:rPr>
        <w:t>-20</w:t>
      </w:r>
      <w:r>
        <w:rPr>
          <w:sz w:val="24"/>
          <w:vertAlign w:val="superscript"/>
        </w:rPr>
        <w:t>◦</w:t>
      </w:r>
      <w:r>
        <w:rPr>
          <w:sz w:val="24"/>
        </w:rPr>
        <w:t>、北纬0</w:t>
      </w:r>
      <w:r>
        <w:rPr>
          <w:sz w:val="24"/>
          <w:vertAlign w:val="superscript"/>
        </w:rPr>
        <w:t>◦</w:t>
      </w:r>
      <w:r>
        <w:rPr>
          <w:sz w:val="24"/>
        </w:rPr>
        <w:t>-40</w:t>
      </w:r>
      <w:r>
        <w:rPr>
          <w:sz w:val="24"/>
          <w:vertAlign w:val="superscript"/>
        </w:rPr>
        <w:t>◦</w:t>
      </w:r>
      <w:r>
        <w:rPr>
          <w:sz w:val="24"/>
        </w:rPr>
        <w:t>），涵盖欧洲西部、东亚、东南亚、北美东部等人口密集、工业发达且轮胎使用强度高的区域，而高纬度极地地区、低纬度热带偏远区域及大洋中心区域检出点位极少，反映出人类活动强度是影响水体中6PPD/Q空间分布的核心驱动因素。含量密度与纬度关联图显示，水体中6PPD/Q的含量密度随纬度呈现单峰分布特征，在北纬30</w:t>
      </w:r>
      <w:r>
        <w:rPr>
          <w:sz w:val="24"/>
          <w:vertAlign w:val="superscript"/>
        </w:rPr>
        <w:t>◦</w:t>
      </w:r>
      <w:r>
        <w:rPr>
          <w:sz w:val="24"/>
        </w:rPr>
        <w:t>-40</w:t>
      </w:r>
      <w:r>
        <w:rPr>
          <w:sz w:val="24"/>
          <w:vertAlign w:val="superscript"/>
        </w:rPr>
        <w:t>◦</w:t>
      </w:r>
      <w:r>
        <w:rPr>
          <w:sz w:val="24"/>
        </w:rPr>
        <w:t>区间达到含量密度峰值，数值达0.030-0.035，该纬度带为全球城市集群、交通干线密集区，轮胎磨损释放与地表径流冲刷作用显著，污染物输入通量远高于其他区域；随纬度向高纬或低纬延伸，含量密度呈逐步降低趋势，北纬60◦以上及南纬区域含量密度均低于0.010，与人类活动强度的纬度分异规律高度契合。6PPD/Q含量密度分布直方图呈现明显的右偏态分布特征，峰值集中于0.005-0.020区间，占总检出点位的75%以上，高含量密度（&gt;0.030）点位占比不足10%，表明全球水体中6PPD/Q整体呈中低浓度分布特征，仅在局部人类活动强烈区域出现高浓度富集。</w:t>
      </w:r>
    </w:p>
    <w:p w14:paraId="7DB58A7F">
      <w:pPr>
        <w:ind w:firstLine="480" w:firstLineChars="200"/>
        <w:rPr>
          <w:sz w:val="24"/>
          <w:lang w:eastAsia="zh"/>
        </w:rPr>
      </w:pPr>
    </w:p>
    <w:p w14:paraId="388F12BD">
      <w:pPr>
        <w:ind w:firstLine="480" w:firstLineChars="200"/>
        <w:rPr>
          <w:sz w:val="24"/>
          <w:lang w:eastAsia="zh"/>
        </w:rPr>
      </w:pPr>
      <w:r>
        <w:rPr>
          <w:rFonts w:hint="eastAsia"/>
          <w:sz w:val="24"/>
          <w:lang w:eastAsia="zh"/>
        </w:rPr>
        <w:drawing>
          <wp:inline distT="0" distB="0" distL="114300" distR="114300">
            <wp:extent cx="5139055" cy="2753360"/>
            <wp:effectExtent l="0" t="0" r="4445" b="889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6"/>
                    <a:stretch>
                      <a:fillRect/>
                    </a:stretch>
                  </pic:blipFill>
                  <pic:spPr>
                    <a:xfrm>
                      <a:off x="0" y="0"/>
                      <a:ext cx="5139055" cy="2753360"/>
                    </a:xfrm>
                    <a:prstGeom prst="rect">
                      <a:avLst/>
                    </a:prstGeom>
                  </pic:spPr>
                </pic:pic>
              </a:graphicData>
            </a:graphic>
          </wp:inline>
        </w:drawing>
      </w:r>
    </w:p>
    <w:p w14:paraId="63CEA603">
      <w:pPr>
        <w:spacing w:line="480" w:lineRule="exact"/>
        <w:ind w:firstLine="539" w:firstLineChars="257"/>
        <w:jc w:val="center"/>
        <w:rPr>
          <w:color w:val="000000"/>
          <w:szCs w:val="21"/>
        </w:rPr>
      </w:pPr>
      <w:r>
        <w:rPr>
          <w:color w:val="000000"/>
          <w:szCs w:val="21"/>
        </w:rPr>
        <w:t>图</w:t>
      </w:r>
      <w:r>
        <w:rPr>
          <w:rFonts w:hint="eastAsia"/>
          <w:color w:val="000000"/>
          <w:szCs w:val="21"/>
          <w:lang w:eastAsia="zh"/>
        </w:rPr>
        <w:t>6</w:t>
      </w:r>
      <w:r>
        <w:rPr>
          <w:color w:val="000000"/>
          <w:szCs w:val="21"/>
        </w:rPr>
        <w:t>.全球典型区域6PPD/Q在不同环境介质中的地理分布与含量密度特征</w:t>
      </w:r>
    </w:p>
    <w:p w14:paraId="09C3BAA1">
      <w:pPr>
        <w:spacing w:line="480" w:lineRule="exact"/>
        <w:ind w:firstLine="539" w:firstLineChars="257"/>
        <w:jc w:val="center"/>
        <w:rPr>
          <w:color w:val="000000"/>
          <w:szCs w:val="21"/>
        </w:rPr>
      </w:pPr>
      <w:r>
        <w:rPr>
          <w:color w:val="000000"/>
          <w:szCs w:val="21"/>
        </w:rPr>
        <w:t>注：(A)为全球水体环境中6PPD/Q的地理分布与含量密度组图，从左到右依次为经纬度分布散点图、含量密度与纬度关联图、6PPD/Q含量密度分布直方图，散点分布表征污染物在全球水体的空间赋存位置，颜色梯度与数值刻度表征不同区域水体中污染物的含量密度高低，直方图反映水体中6PPD/Q含量密度的整体分布特征；(B)为全球典型区域沉积物相中6PPD/Q的地理分布与含量密度组图，从左到右依次为经纬度分布散点图、含量密度与纬度关联图、6PPD/Q含量密度分布直方图，表征方式与(A)一致，直观呈现沉积物相中目标污染物的空间分布格局、含量密度与纬度的关联规律及密度整体分布特征</w:t>
      </w:r>
    </w:p>
    <w:p w14:paraId="34DB576E">
      <w:pPr>
        <w:spacing w:line="480" w:lineRule="exact"/>
        <w:ind w:firstLine="539" w:firstLineChars="257"/>
        <w:jc w:val="center"/>
        <w:rPr>
          <w:color w:val="000000"/>
          <w:szCs w:val="21"/>
        </w:rPr>
      </w:pPr>
    </w:p>
    <w:p w14:paraId="5DB5DF7D">
      <w:pPr>
        <w:spacing w:line="480" w:lineRule="exact"/>
        <w:ind w:firstLine="480" w:firstLineChars="200"/>
        <w:rPr>
          <w:sz w:val="24"/>
        </w:rPr>
      </w:pPr>
      <w:r>
        <w:rPr>
          <w:sz w:val="24"/>
        </w:rPr>
        <w:t>沉积物相中6PPD/Q的地理分布格局与水相具有高度一致性，但含量密度与分布特征存在显著介质差异（图</w:t>
      </w:r>
      <w:r>
        <w:rPr>
          <w:rFonts w:hint="eastAsia"/>
          <w:sz w:val="24"/>
          <w:lang w:eastAsia="zh"/>
        </w:rPr>
        <w:t>6</w:t>
      </w:r>
      <w:r>
        <w:rPr>
          <w:sz w:val="24"/>
        </w:rPr>
        <w:t>B）。经纬度分布散点图显示，沉积物相中6PPD/Q的检出点位与水相检出点位空间重叠度高，同样集中于欧洲西部、东亚、北美东部等中纬度人类活动密集区域，且检出点位多分布于河流入海口、湖泊沿岸、近岸海域等水体动力较弱的沉积环境，反映出沉积物相6PPD/Q的空间分布既受人类活动源驱动，又受水体动力条件的迁移沉积作用调控。含量密度与纬度关联图显示，沉积物相中6PPD/Q的含量密度随纬度同样呈单峰分布特征，峰值出现在北纬35◦-45◦区间，数值达0.060-0.070，该峰值纬度带较水相略有北移，且峰值含量密度显著高于水相，这与沉积物对6PPD/Q的吸附富集作用相关，中纬度温带区域水体悬浮物含量高、沉积物吸附能力强，易形成污染物的长期累积；从峰值纬度带向高低纬延伸，含量密度下降速率较水相更快，北纬50◦以上区域含量密度低于0.020，低纬度区域因水体动力较强、沉积物沉积速率低，富集效应较弱，含量密度同样处于低水平。6PPD/Q含量密度分布直方图呈窄峰型右偏态分布，峰值集中于0.020-0.040区间，占总检出点位的80%以上，高含量密度（&gt;0.050）点位占比不足8%，低含量密度（&lt;0.010）点位占比仅5%，表明沉积物相中6PPD/Q的含量密度分布较水相更为集中，且因富集作用无明显低浓度离散点位。对比水相与沉积物相6PPD/Q的地理分布与含量规律，二者均呈现中纬度人类活动密集区富集、高低纬度区域稀疏的空间格局，且含量密度均随纬度呈单峰分布，反映出人类活动是6PPD/Q全球地理分布的核心控制因素，而介质自身的赋存特征与环境行为则导致二者在峰值纬度、含量密度、分布离散度上存在显著差异。水相作为6PPD/Q的迁移载体，其含量密度直接反映污染物的即时输入通量，受地表径流、水体交换等动力过程影响显著，故分布离散度更高、峰值含量密度更低；沉积物相作为6PPD/Q的累积载体，其含量密度反映污染物的长期输入与富集效应，受沉积环境、吸附能力等因素调控，故分布更集中、峰值含量密度更高，且峰值纬度带因沉积环境差异略有偏移。上述地理分布与含量密度规律，为解析6PPD/Q的全球环境迁移过程、识别重点防控区域提供了直观的空间数据支撑，也为后续开展区域尺度的生态风险评估划定了核心研究范围。</w:t>
      </w:r>
    </w:p>
    <w:p w14:paraId="254BB805">
      <w:pPr>
        <w:spacing w:line="480" w:lineRule="exact"/>
        <w:rPr>
          <w:rFonts w:hint="eastAsia" w:ascii="黑体" w:hAnsi="黑体" w:eastAsia="黑体" w:cs="黑体"/>
          <w:sz w:val="24"/>
        </w:rPr>
      </w:pPr>
      <w:r>
        <w:rPr>
          <w:rFonts w:hint="eastAsia"/>
          <w:sz w:val="24"/>
        </w:rPr>
        <w:t>2</w:t>
      </w:r>
      <w:r>
        <w:rPr>
          <w:sz w:val="24"/>
        </w:rPr>
        <w:t>.3.2.</w:t>
      </w:r>
      <w:r>
        <w:rPr>
          <w:rFonts w:hint="eastAsia" w:ascii="黑体" w:hAnsi="黑体" w:eastAsia="黑体" w:cs="黑体"/>
          <w:sz w:val="24"/>
        </w:rPr>
        <w:t>基于机器学习与文本挖掘的生物体内浓度数据汇编</w:t>
      </w:r>
    </w:p>
    <w:p w14:paraId="64DF6A16">
      <w:pPr>
        <w:spacing w:line="480" w:lineRule="exact"/>
        <w:ind w:firstLine="480" w:firstLineChars="200"/>
        <w:rPr>
          <w:sz w:val="24"/>
        </w:rPr>
      </w:pPr>
      <w:r>
        <w:rPr>
          <w:sz w:val="24"/>
        </w:rPr>
        <w:t>依托融合注意力机制的神经网络模型与Python批量数据提取工具，从153篇有效文献中精准提取6PPD、6PPDQ及手性衍生物在全球生物体内的浓度数据与暴露信息，涵盖血液、血清、尿液、母乳、鱼类组织、小鼠肝脏等多类生物基质，所有浓度数据统一转换为ng/L科学计数法表征，系统梳理其在生物体内的赋存特征与暴露水平规律，为该类污染物的生物累积效应评估与人体健康风险分析提供标准化数据支撑。6PPD在生物体内的赋存呈现显著的基质特异性与区域差异性特征。血液基质中，天津地区检出6PPD浓度范围为0∼1.35×10</w:t>
      </w:r>
      <w:r>
        <w:rPr>
          <w:sz w:val="24"/>
          <w:vertAlign w:val="superscript"/>
        </w:rPr>
        <w:t>2</w:t>
      </w:r>
      <w:r>
        <w:rPr>
          <w:sz w:val="24"/>
        </w:rPr>
        <w:t>ng/L，反映该区域人群存在一定程度的暴露风险；母乳基质中，华南地区检出浓度为4.1×10</w:t>
      </w:r>
      <w:r>
        <w:rPr>
          <w:sz w:val="24"/>
          <w:vertAlign w:val="superscript"/>
        </w:rPr>
        <w:t>3</w:t>
      </w:r>
      <w:r>
        <w:rPr>
          <w:sz w:val="24"/>
        </w:rPr>
        <w:t>ng/L，提示该污染物可通过母婴传播途径影响婴幼儿健康；血清基质中，华南地区健康人群的6PPD检出浓度为6.3×10</w:t>
      </w:r>
      <w:r>
        <w:rPr>
          <w:sz w:val="24"/>
          <w:vertAlign w:val="superscript"/>
        </w:rPr>
        <w:t>1</w:t>
      </w:r>
      <w:r>
        <w:rPr>
          <w:sz w:val="24"/>
        </w:rPr>
        <w:t>ng/L，而非酒精性脂肪性肝病（S-NAFLD）患者血清中检出浓度范围为0∼7.8×10</w:t>
      </w:r>
      <w:r>
        <w:rPr>
          <w:sz w:val="24"/>
          <w:vertAlign w:val="superscript"/>
        </w:rPr>
        <w:t>2</w:t>
      </w:r>
      <w:r>
        <w:rPr>
          <w:sz w:val="24"/>
        </w:rPr>
        <w:t>ng/L，普通人群血清中浓度为1.1×10</w:t>
      </w:r>
      <w:r>
        <w:rPr>
          <w:sz w:val="24"/>
          <w:vertAlign w:val="superscript"/>
        </w:rPr>
        <w:t>2</w:t>
      </w:r>
      <w:r>
        <w:rPr>
          <w:sz w:val="24"/>
        </w:rPr>
        <w:t>∼4.3×10</w:t>
      </w:r>
      <w:r>
        <w:rPr>
          <w:sz w:val="24"/>
          <w:vertAlign w:val="superscript"/>
        </w:rPr>
        <w:t>2</w:t>
      </w:r>
      <w:r>
        <w:rPr>
          <w:sz w:val="24"/>
        </w:rPr>
        <w:t>ng/L，暗示污染物暴露可能与特定疾病存在潜在关联。尿液作为污染物暴露的重要生物标志物基质，不同区域检出浓度差异显著：华南地区普通成人尿液中6PPD浓度为1.5×10</w:t>
      </w:r>
      <w:r>
        <w:rPr>
          <w:sz w:val="24"/>
          <w:vertAlign w:val="superscript"/>
        </w:rPr>
        <w:t>1</w:t>
      </w:r>
      <w:r>
        <w:rPr>
          <w:sz w:val="24"/>
        </w:rPr>
        <w:t>∼6.8×10</w:t>
      </w:r>
      <w:r>
        <w:rPr>
          <w:sz w:val="24"/>
          <w:vertAlign w:val="superscript"/>
        </w:rPr>
        <w:t>1</w:t>
      </w:r>
      <w:r>
        <w:rPr>
          <w:sz w:val="24"/>
        </w:rPr>
        <w:t>ng/L，衢州地区为4.1×10</w:t>
      </w:r>
      <w:r>
        <w:rPr>
          <w:sz w:val="24"/>
          <w:vertAlign w:val="superscript"/>
        </w:rPr>
        <w:t>2</w:t>
      </w:r>
      <w:r>
        <w:rPr>
          <w:sz w:val="24"/>
        </w:rPr>
        <w:t>∼3.8×10</w:t>
      </w:r>
      <w:r>
        <w:rPr>
          <w:sz w:val="24"/>
          <w:vertAlign w:val="superscript"/>
        </w:rPr>
        <w:t>3</w:t>
      </w:r>
      <w:r>
        <w:rPr>
          <w:sz w:val="24"/>
        </w:rPr>
        <w:t>ng/L，广州地区为0∼5.4×10</w:t>
      </w:r>
      <w:r>
        <w:rPr>
          <w:sz w:val="24"/>
          <w:vertAlign w:val="superscript"/>
        </w:rPr>
        <w:t>2</w:t>
      </w:r>
      <w:r>
        <w:rPr>
          <w:sz w:val="24"/>
        </w:rPr>
        <w:t>ng/L，肌酐校正后华南地区成人、儿童及孕妇尿液中浓度分别为2.0×10</w:t>
      </w:r>
      <w:r>
        <w:rPr>
          <w:sz w:val="24"/>
          <w:vertAlign w:val="superscript"/>
        </w:rPr>
        <w:t>1</w:t>
      </w:r>
      <w:r>
        <w:rPr>
          <w:sz w:val="24"/>
        </w:rPr>
        <w:t>ng/L、1.5×10</w:t>
      </w:r>
      <w:r>
        <w:rPr>
          <w:sz w:val="24"/>
          <w:vertAlign w:val="superscript"/>
        </w:rPr>
        <w:t>1</w:t>
      </w:r>
      <w:r>
        <w:rPr>
          <w:sz w:val="24"/>
        </w:rPr>
        <w:t>ng/L、7.3×10</w:t>
      </w:r>
      <w:r>
        <w:rPr>
          <w:sz w:val="24"/>
          <w:vertAlign w:val="superscript"/>
        </w:rPr>
        <w:t>1</w:t>
      </w:r>
      <w:r>
        <w:rPr>
          <w:sz w:val="24"/>
        </w:rPr>
        <w:t>ng/L，区域差异可能与工业分布、交通强度及生活习惯密切相关。此外，实验室小鼠肝脏中6PPD浓度达1.5×10</w:t>
      </w:r>
      <w:r>
        <w:rPr>
          <w:sz w:val="24"/>
          <w:vertAlign w:val="superscript"/>
        </w:rPr>
        <w:t>5</w:t>
      </w:r>
      <w:r>
        <w:rPr>
          <w:sz w:val="24"/>
        </w:rPr>
        <w:t>∼5.2×10</w:t>
      </w:r>
      <w:r>
        <w:rPr>
          <w:sz w:val="24"/>
          <w:vertAlign w:val="superscript"/>
        </w:rPr>
        <w:t>6</w:t>
      </w:r>
      <w:r>
        <w:rPr>
          <w:sz w:val="24"/>
        </w:rPr>
        <w:t>ng/L，显著高于人体生物基质检出水平，反映模式生物暴露实验中的高剂量效应特征。6PPDQ作为6PPD的关键转化产物，在生物体内的检出频率与浓度水平均呈现独特规律。血清基质中，华南地区健康对照组、S-NAFLD患者及普通人群的6PPDQ浓度分别为0∼1.06×10</w:t>
      </w:r>
      <w:r>
        <w:rPr>
          <w:sz w:val="24"/>
          <w:vertAlign w:val="superscript"/>
        </w:rPr>
        <w:t>3</w:t>
      </w:r>
      <w:r>
        <w:rPr>
          <w:sz w:val="24"/>
        </w:rPr>
        <w:t>ng/L、0∼7.8×10</w:t>
      </w:r>
      <w:r>
        <w:rPr>
          <w:sz w:val="24"/>
          <w:vertAlign w:val="superscript"/>
        </w:rPr>
        <w:t>2</w:t>
      </w:r>
      <w:r>
        <w:rPr>
          <w:sz w:val="24"/>
        </w:rPr>
        <w:t>ng/L、1.1×10</w:t>
      </w:r>
      <w:r>
        <w:rPr>
          <w:sz w:val="24"/>
          <w:vertAlign w:val="superscript"/>
        </w:rPr>
        <w:t>2</w:t>
      </w:r>
      <w:r>
        <w:rPr>
          <w:sz w:val="24"/>
        </w:rPr>
        <w:t>∼4.3×10</w:t>
      </w:r>
      <w:r>
        <w:rPr>
          <w:sz w:val="24"/>
          <w:vertAlign w:val="superscript"/>
        </w:rPr>
        <w:t>2</w:t>
      </w:r>
      <w:r>
        <w:rPr>
          <w:sz w:val="24"/>
        </w:rPr>
        <w:t>ng/L，整体与6PPD浓度水平相当，表明转化产物同样具有显著的生物累积效应；尿液基质中，广州地区儿童、孕妇及成人的6PPDQ浓度分别为0∼7.8×10</w:t>
      </w:r>
      <w:r>
        <w:rPr>
          <w:sz w:val="24"/>
          <w:vertAlign w:val="superscript"/>
        </w:rPr>
        <w:t>2</w:t>
      </w:r>
      <w:r>
        <w:rPr>
          <w:sz w:val="24"/>
        </w:rPr>
        <w:t>ng/L、2.6×10</w:t>
      </w:r>
      <w:r>
        <w:rPr>
          <w:sz w:val="24"/>
          <w:vertAlign w:val="superscript"/>
        </w:rPr>
        <w:t>2</w:t>
      </w:r>
      <w:r>
        <w:rPr>
          <w:sz w:val="24"/>
        </w:rPr>
        <w:t>∼8.58×10</w:t>
      </w:r>
      <w:r>
        <w:rPr>
          <w:sz w:val="24"/>
          <w:vertAlign w:val="superscript"/>
        </w:rPr>
        <w:t>3</w:t>
      </w:r>
      <w:r>
        <w:rPr>
          <w:sz w:val="24"/>
        </w:rPr>
        <w:t>ng/L、5.5×10</w:t>
      </w:r>
      <w:r>
        <w:rPr>
          <w:sz w:val="24"/>
          <w:vertAlign w:val="superscript"/>
        </w:rPr>
        <w:t>1</w:t>
      </w:r>
      <w:r>
        <w:rPr>
          <w:sz w:val="24"/>
        </w:rPr>
        <w:t>∼2.11×10</w:t>
      </w:r>
      <w:r>
        <w:rPr>
          <w:sz w:val="24"/>
          <w:vertAlign w:val="superscript"/>
        </w:rPr>
        <w:t>3</w:t>
      </w:r>
      <w:r>
        <w:rPr>
          <w:sz w:val="24"/>
        </w:rPr>
        <w:t>ng/L，上海地区成人为1.4×10</w:t>
      </w:r>
      <w:r>
        <w:rPr>
          <w:sz w:val="24"/>
          <w:vertAlign w:val="superscript"/>
        </w:rPr>
        <w:t>2</w:t>
      </w:r>
      <w:r>
        <w:rPr>
          <w:sz w:val="24"/>
        </w:rPr>
        <w:t>∼6.3×10</w:t>
      </w:r>
      <w:r>
        <w:rPr>
          <w:sz w:val="24"/>
          <w:vertAlign w:val="superscript"/>
        </w:rPr>
        <w:t>3</w:t>
      </w:r>
      <w:r>
        <w:rPr>
          <w:sz w:val="24"/>
        </w:rPr>
        <w:t>ng/L，天津地区普通人群为0∼7.3×10</w:t>
      </w:r>
      <w:r>
        <w:rPr>
          <w:sz w:val="24"/>
          <w:vertAlign w:val="superscript"/>
        </w:rPr>
        <w:t>1</w:t>
      </w:r>
      <w:r>
        <w:rPr>
          <w:sz w:val="24"/>
        </w:rPr>
        <w:t>ng/L，台州地区不同年龄段成人浓度为7.0×10</w:t>
      </w:r>
      <w:r>
        <w:rPr>
          <w:sz w:val="24"/>
          <w:vertAlign w:val="superscript"/>
        </w:rPr>
        <w:t>2</w:t>
      </w:r>
      <w:r>
        <w:rPr>
          <w:sz w:val="24"/>
        </w:rPr>
        <w:t>∼2.4×10</w:t>
      </w:r>
      <w:r>
        <w:rPr>
          <w:sz w:val="24"/>
          <w:vertAlign w:val="superscript"/>
        </w:rPr>
        <w:t>3</w:t>
      </w:r>
      <w:r>
        <w:rPr>
          <w:sz w:val="24"/>
        </w:rPr>
        <w:t>ng/L，其中孕妇尿液中最高浓度达8.58×10</w:t>
      </w:r>
      <w:r>
        <w:rPr>
          <w:sz w:val="24"/>
          <w:vertAlign w:val="superscript"/>
        </w:rPr>
        <w:t>3</w:t>
      </w:r>
      <w:r>
        <w:rPr>
          <w:sz w:val="24"/>
        </w:rPr>
        <w:t>ng/L，凸显特殊人群的暴露敏感性。脑脊液基质中，深圳地区帕金森病PD）患者6PPDQ浓度为1.1</w:t>
      </w:r>
      <w:r>
        <w:rPr>
          <w:rFonts w:hint="eastAsia"/>
          <w:sz w:val="24"/>
          <w:lang w:val="en-US" w:eastAsia="zh-CN"/>
        </w:rPr>
        <w:t>9</w:t>
      </w:r>
      <w:r>
        <w:rPr>
          <w:sz w:val="24"/>
        </w:rPr>
        <w:t>×10</w:t>
      </w:r>
      <w:r>
        <w:rPr>
          <w:sz w:val="24"/>
          <w:vertAlign w:val="superscript"/>
        </w:rPr>
        <w:t>4</w:t>
      </w:r>
      <w:r>
        <w:rPr>
          <w:sz w:val="24"/>
        </w:rPr>
        <w:t>ng/L，健康对照组为5.07×10</w:t>
      </w:r>
      <w:r>
        <w:rPr>
          <w:sz w:val="24"/>
          <w:vertAlign w:val="superscript"/>
        </w:rPr>
        <w:t>3</w:t>
      </w:r>
      <w:r>
        <w:rPr>
          <w:sz w:val="24"/>
        </w:rPr>
        <w:t>ng/L，提示该污染物可能与神经系统疾病存在潜在关联，需进一步开展针对性研究。6PPD-Q作为毒性最强的醌类转化产物，在生物体内的赋存特征与健康风险备受关注。血清基质中，华南地区检出浓度1.5×10</w:t>
      </w:r>
      <w:r>
        <w:rPr>
          <w:sz w:val="24"/>
          <w:vertAlign w:val="superscript"/>
        </w:rPr>
        <w:t>2</w:t>
      </w:r>
      <w:r>
        <w:rPr>
          <w:sz w:val="24"/>
        </w:rPr>
        <w:t>ng/L，与6PPD暴露水平一致；尿液基质中，华南地区浓度7.6×10</w:t>
      </w:r>
      <w:r>
        <w:rPr>
          <w:sz w:val="24"/>
          <w:vertAlign w:val="superscript"/>
        </w:rPr>
        <w:t>1</w:t>
      </w:r>
      <w:r>
        <w:rPr>
          <w:sz w:val="24"/>
        </w:rPr>
        <w:t>∼2.91×10</w:t>
      </w:r>
      <w:r>
        <w:rPr>
          <w:sz w:val="24"/>
          <w:vertAlign w:val="superscript"/>
        </w:rPr>
        <w:t>3</w:t>
      </w:r>
      <w:r>
        <w:rPr>
          <w:sz w:val="24"/>
        </w:rPr>
        <w:t>ng/L，肌酐校正后成人、儿童及孕妇浓度分别为5.1×10</w:t>
      </w:r>
      <w:r>
        <w:rPr>
          <w:sz w:val="24"/>
          <w:vertAlign w:val="superscript"/>
        </w:rPr>
        <w:t>2</w:t>
      </w:r>
      <w:r>
        <w:rPr>
          <w:sz w:val="24"/>
        </w:rPr>
        <w:t>ng/L、9.3×10</w:t>
      </w:r>
      <w:r>
        <w:rPr>
          <w:sz w:val="24"/>
          <w:vertAlign w:val="superscript"/>
        </w:rPr>
        <w:t>1</w:t>
      </w:r>
      <w:r>
        <w:rPr>
          <w:sz w:val="24"/>
        </w:rPr>
        <w:t>ng/L、2.76×10</w:t>
      </w:r>
      <w:r>
        <w:rPr>
          <w:sz w:val="24"/>
          <w:vertAlign w:val="superscript"/>
        </w:rPr>
        <w:t>3</w:t>
      </w:r>
      <w:r>
        <w:rPr>
          <w:sz w:val="24"/>
        </w:rPr>
        <w:t>ng/L，孕妇群体的高检出浓度需引发重点关注。鱼类组织中，北京市场销售鱼类的6PPD-Q浓度为0ng/L，而实验室毒性实验中，6PPD-Q对鱼类的半致死浓度（LC50）呈现显著的地域与构型差异：中国地区LC50范围为9.0×10</w:t>
      </w:r>
      <w:r>
        <w:rPr>
          <w:sz w:val="24"/>
          <w:vertAlign w:val="superscript"/>
        </w:rPr>
        <w:t>2</w:t>
      </w:r>
      <w:r>
        <w:rPr>
          <w:sz w:val="24"/>
        </w:rPr>
        <w:t>∼2.2×10</w:t>
      </w:r>
      <w:r>
        <w:rPr>
          <w:sz w:val="24"/>
          <w:vertAlign w:val="superscript"/>
        </w:rPr>
        <w:t>6</w:t>
      </w:r>
      <w:r>
        <w:rPr>
          <w:sz w:val="24"/>
        </w:rPr>
        <w:t>ng/L，美国为5.9×10</w:t>
      </w:r>
      <w:r>
        <w:rPr>
          <w:sz w:val="24"/>
          <w:vertAlign w:val="superscript"/>
        </w:rPr>
        <w:t>2</w:t>
      </w:r>
      <w:r>
        <w:rPr>
          <w:sz w:val="24"/>
        </w:rPr>
        <w:t>∼1.96×10</w:t>
      </w:r>
      <w:r>
        <w:rPr>
          <w:sz w:val="24"/>
          <w:vertAlign w:val="superscript"/>
        </w:rPr>
        <w:t>3</w:t>
      </w:r>
      <w:r>
        <w:rPr>
          <w:sz w:val="24"/>
        </w:rPr>
        <w:t>ng/L，日本为5.1×10</w:t>
      </w:r>
      <w:r>
        <w:rPr>
          <w:sz w:val="24"/>
          <w:vertAlign w:val="superscript"/>
        </w:rPr>
        <w:t>2</w:t>
      </w:r>
      <w:r>
        <w:rPr>
          <w:sz w:val="24"/>
        </w:rPr>
        <w:t>ng/L；手性衍生物中，R-6PPD、S-6PPD对鱼类的LC50均为2.01×10</w:t>
      </w:r>
      <w:r>
        <w:rPr>
          <w:sz w:val="24"/>
          <w:vertAlign w:val="superscript"/>
        </w:rPr>
        <w:t>5</w:t>
      </w:r>
      <w:r>
        <w:rPr>
          <w:sz w:val="24"/>
        </w:rPr>
        <w:t>ng/L，而R-6PPD-Q、rac-6PPD-Q、S-6PPD-Q的LC50分别为4.31×10</w:t>
      </w:r>
      <w:r>
        <w:rPr>
          <w:sz w:val="24"/>
          <w:vertAlign w:val="superscript"/>
        </w:rPr>
        <w:t>3</w:t>
      </w:r>
      <w:r>
        <w:rPr>
          <w:sz w:val="24"/>
        </w:rPr>
        <w:t>ng/L、2.26×10</w:t>
      </w:r>
      <w:r>
        <w:rPr>
          <w:sz w:val="24"/>
          <w:vertAlign w:val="superscript"/>
        </w:rPr>
        <w:t>3</w:t>
      </w:r>
      <w:r>
        <w:rPr>
          <w:sz w:val="24"/>
        </w:rPr>
        <w:t>ng/L、1.66×10</w:t>
      </w:r>
      <w:r>
        <w:rPr>
          <w:sz w:val="24"/>
          <w:vertAlign w:val="superscript"/>
        </w:rPr>
        <w:t>3</w:t>
      </w:r>
      <w:r>
        <w:rPr>
          <w:sz w:val="24"/>
        </w:rPr>
        <w:t>ng/L，手性异构体的毒性差异显著，S-构型醌类产物毒性最强，为后续污染物风险管控提供了精准靶点。</w:t>
      </w:r>
    </w:p>
    <w:p w14:paraId="69F5B8C3">
      <w:pPr>
        <w:ind w:firstLine="480" w:firstLineChars="200"/>
        <w:rPr>
          <w:sz w:val="24"/>
          <w:lang w:eastAsia="zh"/>
        </w:rPr>
      </w:pPr>
      <w:r>
        <w:rPr>
          <w:rFonts w:hint="eastAsia"/>
          <w:sz w:val="24"/>
          <w:lang w:eastAsia="zh"/>
        </w:rPr>
        <w:drawing>
          <wp:anchor distT="0" distB="0" distL="114300" distR="114300" simplePos="0" relativeHeight="251667456" behindDoc="0" locked="0" layoutInCell="1" allowOverlap="1">
            <wp:simplePos x="0" y="0"/>
            <wp:positionH relativeFrom="column">
              <wp:posOffset>20955</wp:posOffset>
            </wp:positionH>
            <wp:positionV relativeFrom="paragraph">
              <wp:posOffset>0</wp:posOffset>
            </wp:positionV>
            <wp:extent cx="5261610" cy="3780155"/>
            <wp:effectExtent l="0" t="0" r="0" b="0"/>
            <wp:wrapTopAndBottom/>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37"/>
                    <a:stretch>
                      <a:fillRect/>
                    </a:stretch>
                  </pic:blipFill>
                  <pic:spPr>
                    <a:xfrm>
                      <a:off x="0" y="0"/>
                      <a:ext cx="5261610" cy="3780155"/>
                    </a:xfrm>
                    <a:prstGeom prst="rect">
                      <a:avLst/>
                    </a:prstGeom>
                  </pic:spPr>
                </pic:pic>
              </a:graphicData>
            </a:graphic>
          </wp:anchor>
        </w:drawing>
      </w:r>
    </w:p>
    <w:p w14:paraId="12BE0AD4">
      <w:pPr>
        <w:spacing w:line="480" w:lineRule="exact"/>
        <w:ind w:firstLine="539" w:firstLineChars="257"/>
        <w:jc w:val="center"/>
        <w:rPr>
          <w:color w:val="000000"/>
          <w:szCs w:val="21"/>
        </w:rPr>
      </w:pPr>
      <w:r>
        <w:rPr>
          <w:color w:val="000000"/>
          <w:szCs w:val="21"/>
        </w:rPr>
        <w:t>图</w:t>
      </w:r>
      <w:r>
        <w:rPr>
          <w:rFonts w:hint="eastAsia"/>
          <w:color w:val="000000"/>
          <w:szCs w:val="21"/>
          <w:lang w:eastAsia="zh"/>
        </w:rPr>
        <w:t>7</w:t>
      </w:r>
      <w:r>
        <w:rPr>
          <w:color w:val="000000"/>
          <w:szCs w:val="21"/>
        </w:rPr>
        <w:t>.6PPD及其醌类转化产物在生物体内的赋存特征与毒性分布</w:t>
      </w:r>
    </w:p>
    <w:p w14:paraId="1FB20F67">
      <w:pPr>
        <w:spacing w:line="480" w:lineRule="exact"/>
        <w:ind w:firstLine="539" w:firstLineChars="257"/>
        <w:jc w:val="center"/>
        <w:rPr>
          <w:color w:val="000000"/>
          <w:szCs w:val="21"/>
        </w:rPr>
      </w:pPr>
      <w:r>
        <w:rPr>
          <w:color w:val="000000"/>
          <w:szCs w:val="21"/>
        </w:rPr>
        <w:t>注：所有浓度数据统一转换为ng/L并采用对数坐标展示。(A)6PPD在不同生物基质中的浓度分布；子图(B)6PPDQ在人体血清、尿液及脑脊液（CSF）中的累积水平；(C)6PPD</w:t>
      </w:r>
      <w:r>
        <w:rPr>
          <w:color w:val="000000"/>
          <w:szCs w:val="21"/>
        </w:rPr>
        <w:noBreakHyphen/>
      </w:r>
      <w:r>
        <w:rPr>
          <w:color w:val="000000"/>
          <w:szCs w:val="21"/>
        </w:rPr>
        <w:t>Q在生物体内的赋存及对鱼类的半致死浓度（LC50）；(D)对比手性异构体6PPD与6PPD</w:t>
      </w:r>
      <w:r>
        <w:rPr>
          <w:color w:val="000000"/>
          <w:szCs w:val="21"/>
        </w:rPr>
        <w:noBreakHyphen/>
      </w:r>
      <w:r>
        <w:rPr>
          <w:color w:val="000000"/>
          <w:szCs w:val="21"/>
        </w:rPr>
        <w:t>Q对鱼类的急性毒性差异，LC50值越低表示毒性越强</w:t>
      </w:r>
    </w:p>
    <w:p w14:paraId="0D05B897">
      <w:pPr>
        <w:spacing w:line="480" w:lineRule="exact"/>
        <w:ind w:firstLine="539" w:firstLineChars="257"/>
        <w:jc w:val="center"/>
        <w:rPr>
          <w:color w:val="000000"/>
          <w:szCs w:val="21"/>
        </w:rPr>
      </w:pPr>
    </w:p>
    <w:p w14:paraId="2F8727FD">
      <w:pPr>
        <w:spacing w:line="480" w:lineRule="exact"/>
        <w:ind w:firstLine="480" w:firstLineChars="200"/>
        <w:rPr>
          <w:sz w:val="24"/>
        </w:rPr>
      </w:pPr>
      <w:r>
        <w:rPr>
          <w:sz w:val="24"/>
        </w:rPr>
        <w:t>对比不同污染物在生物体内的赋存规律，6PPD及其醌类转化产物的浓度水平整体呈现“尿液＞血清＞血液＞母乳”的基质分布特征，且转化产物（6PPDQ、6PPDQ）在部分基质中浓度高于母体化合物，反映转化过程可能增强污染物的生物累积能力。区域分布上，华南、华东及华北地区均有广泛检出，其中衢州、广州等工业或交通密集区域浓度相对较高，提示人类活动强度是污染物生物暴露的核心驱动因素。所提取的生物体内浓度数据与文献来源高度匹配，涉及多篇核心参考文献，涵盖污染物赋存特征、分析方法、生态毒理效应及健康风险等多个研究维度，标准化后的浓度数据为跨区域、跨基质的暴露水平对比与健康风险评估提供了统一的量化依据。</w:t>
      </w:r>
    </w:p>
    <w:p w14:paraId="6F15D20D">
      <w:pPr>
        <w:spacing w:line="480" w:lineRule="exact"/>
        <w:rPr>
          <w:rFonts w:hint="eastAsia" w:ascii="黑体" w:hAnsi="黑体" w:eastAsia="黑体" w:cs="黑体"/>
          <w:sz w:val="24"/>
        </w:rPr>
      </w:pPr>
      <w:r>
        <w:rPr>
          <w:rFonts w:hint="eastAsia"/>
          <w:sz w:val="24"/>
        </w:rPr>
        <w:t>2</w:t>
      </w:r>
      <w:r>
        <w:rPr>
          <w:sz w:val="24"/>
        </w:rPr>
        <w:t>.3.3</w:t>
      </w:r>
      <w:r>
        <w:rPr>
          <w:rFonts w:hint="eastAsia" w:ascii="黑体" w:hAnsi="黑体" w:eastAsia="黑体" w:cs="黑体"/>
          <w:sz w:val="24"/>
        </w:rPr>
        <w:t>全球水体与沉积物中</w:t>
      </w:r>
      <w:r>
        <w:rPr>
          <w:rFonts w:eastAsia="黑体"/>
          <w:sz w:val="24"/>
        </w:rPr>
        <w:t>6PPD/Q</w:t>
      </w:r>
      <w:r>
        <w:rPr>
          <w:rFonts w:hint="eastAsia" w:ascii="黑体" w:hAnsi="黑体" w:eastAsia="黑体" w:cs="黑体"/>
          <w:sz w:val="24"/>
        </w:rPr>
        <w:t>的赋存特征与空间异质性分析</w:t>
      </w:r>
    </w:p>
    <w:p w14:paraId="33281EF4">
      <w:pPr>
        <w:spacing w:line="480" w:lineRule="exact"/>
        <w:ind w:firstLine="480" w:firstLineChars="200"/>
        <w:rPr>
          <w:sz w:val="24"/>
        </w:rPr>
      </w:pPr>
      <w:r>
        <w:rPr>
          <w:sz w:val="24"/>
        </w:rPr>
        <w:t>本研究系统汇编了全球范围内关于6PPD及其氧化产物6PPD-Q的监测数据，构建了迄今为止最详尽的环境赋存图谱。数据集涵盖从赤道热带至寒温带，从中国珠江三角洲到北美西海岸的广阔区域，共包含217组有效数据记录。为了直观展示污染物的全球扩散趋势与空间聚集特征，本研究首先生成了基于地理坐标的热值分布图（图</w:t>
      </w:r>
      <w:r>
        <w:rPr>
          <w:rFonts w:hint="eastAsia"/>
          <w:sz w:val="24"/>
          <w:lang w:eastAsia="zh"/>
        </w:rPr>
        <w:t>8</w:t>
      </w:r>
      <w:r>
        <w:rPr>
          <w:sz w:val="24"/>
        </w:rPr>
        <w:t>）。该图谱通过颜色梯度的深浅变化，清晰地刻画了污染物从高密度交通路网向周边水体及沉积物渗透的空间轨迹。图中可见，高值热区（红色/橙色）并非随机分布，而是紧密依附于主要城市群的交通干道与工业廊道，直观揭示了人类交通活动强度与环境介质污染水平之间的正向耦合关系。基于热值图所呈现的空间格局，结合详实的监测数据，以下将对中国与全球其他区域的水体及沉积物赋存情况进行地毯式的详细陈述。</w:t>
      </w:r>
    </w:p>
    <w:p w14:paraId="25385594">
      <w:pPr>
        <w:spacing w:line="480" w:lineRule="exact"/>
        <w:rPr>
          <w:rFonts w:hint="eastAsia" w:ascii="黑体" w:hAnsi="黑体" w:eastAsia="黑体" w:cs="黑体"/>
          <w:sz w:val="24"/>
        </w:rPr>
      </w:pPr>
      <w:r>
        <w:rPr>
          <w:rFonts w:hint="eastAsia"/>
          <w:sz w:val="24"/>
          <w:lang w:eastAsia="zh"/>
        </w:rPr>
        <w:t>2.3.3.1</w:t>
      </w:r>
      <w:r>
        <w:rPr>
          <w:rFonts w:hint="eastAsia" w:ascii="黑体" w:hAnsi="黑体" w:eastAsia="黑体" w:cs="黑体"/>
          <w:sz w:val="24"/>
        </w:rPr>
        <w:t>中国区域水体与沉积物的</w:t>
      </w:r>
      <w:r>
        <w:rPr>
          <w:rFonts w:eastAsia="黑体"/>
          <w:sz w:val="24"/>
        </w:rPr>
        <w:t>6PPD/Q</w:t>
      </w:r>
      <w:r>
        <w:rPr>
          <w:rFonts w:hint="eastAsia" w:ascii="黑体" w:hAnsi="黑体" w:eastAsia="黑体" w:cs="黑体"/>
          <w:sz w:val="24"/>
        </w:rPr>
        <w:t>赋存全景</w:t>
      </w:r>
    </w:p>
    <w:p w14:paraId="7D37C78F">
      <w:pPr>
        <w:spacing w:line="480" w:lineRule="exact"/>
        <w:ind w:firstLine="480" w:firstLineChars="200"/>
        <w:rPr>
          <w:sz w:val="24"/>
        </w:rPr>
      </w:pPr>
      <w:r>
        <w:rPr>
          <w:sz w:val="24"/>
        </w:rPr>
        <w:t>在中国范围内，数据汇编揭示了6PPDQ在不同流域与介质中的显著差异。华南地区的珠江三角洲是监测数据最为密集的区域，反映了该地区高度的城市化水平。在东莞与惠州的城市路面径流样本中，6PPDQ的浓度表现出极高的峰值，分别达到了1.56×10</w:t>
      </w:r>
      <w:r>
        <w:rPr>
          <w:sz w:val="24"/>
          <w:vertAlign w:val="superscript"/>
        </w:rPr>
        <w:t>3</w:t>
      </w:r>
      <w:r>
        <w:rPr>
          <w:sz w:val="24"/>
        </w:rPr>
        <w:t>ng/L与8.75×10</w:t>
      </w:r>
      <w:r>
        <w:rPr>
          <w:sz w:val="24"/>
          <w:vertAlign w:val="superscript"/>
        </w:rPr>
        <w:t>2</w:t>
      </w:r>
      <w:r>
        <w:rPr>
          <w:sz w:val="24"/>
        </w:rPr>
        <w:t>ng/L。作为受纳水体，东江与珠江干流的水体浓度范围介于0.26至11.3ng/L之间，显示出水体的稀释作用。在污水处理环节，广州与香港地区的数据显示，尽管经过生物处理，出水中的6PPDQ浓度仍维持在10</w:t>
      </w:r>
      <w:r>
        <w:rPr>
          <w:sz w:val="24"/>
          <w:vertAlign w:val="superscript"/>
        </w:rPr>
        <w:t>1</w:t>
      </w:r>
      <w:r>
        <w:rPr>
          <w:sz w:val="24"/>
        </w:rPr>
        <w:t>至10</w:t>
      </w:r>
      <w:r>
        <w:rPr>
          <w:sz w:val="24"/>
          <w:vertAlign w:val="superscript"/>
        </w:rPr>
        <w:t>2</w:t>
      </w:r>
      <w:r>
        <w:rPr>
          <w:sz w:val="24"/>
        </w:rPr>
        <w:t>ng/L量级。在沉积物相中，广州城市河流记录了极高的6PPD负荷，最高浓度达到468ng/g，而对应的6PPDQ浓度则相对较低（1.87∼18.2ng/g），暗示前体物在缺氧沉积环境中的稳定性。华东及沿海地区的数据显示，浙江台州、宁波及福建厦门等地的水体中6PPDQ赋存浓度普遍在0.46∼21ng/L区间。特别值得关注的是山东烟台地区的雪融水样本，其中检出了高达2.10×10</w:t>
      </w:r>
      <w:r>
        <w:rPr>
          <w:sz w:val="24"/>
          <w:vertAlign w:val="superscript"/>
        </w:rPr>
        <w:t>2</w:t>
      </w:r>
      <w:r>
        <w:rPr>
          <w:sz w:val="24"/>
        </w:rPr>
        <w:t>ng/L的6PPDQ，揭示了北方寒冷气候区在冬季融雪期的脉冲式释放特征。华北及北方地区（北京、天津、河北）的水体样本显示，6PPDQ检出浓度普遍处于1.31×10</w:t>
      </w:r>
      <w:r>
        <w:rPr>
          <w:sz w:val="24"/>
          <w:vertAlign w:val="superscript"/>
        </w:rPr>
        <w:t>2</w:t>
      </w:r>
      <w:r>
        <w:rPr>
          <w:sz w:val="24"/>
        </w:rPr>
        <w:t>∼8.19×10</w:t>
      </w:r>
      <w:r>
        <w:rPr>
          <w:sz w:val="24"/>
          <w:vertAlign w:val="superscript"/>
        </w:rPr>
        <w:t>2</w:t>
      </w:r>
      <w:r>
        <w:rPr>
          <w:sz w:val="24"/>
        </w:rPr>
        <w:t>ng/L的较高水平，显著高于南方部分河流背景值。在沉积物方面，浙江沿海及上海黄浦江沉积物中6PPDQ浓度范围为0.46∼46ng/g，其中台州某点位甚至检出466ng/g的极高值，显示出局部点源污染的严重性。对于西部及偏远地区，青海、新疆、西藏等省份的水体中6PPDQ检出频率较低，浓度多低于28.2ng/L，反映了人类活动强度与污染物赋存水平的正相关性。此外，南海深海区及冲绳海槽的深海沉积物中仅检出痕量6PPD（&lt;3ng/g），表明该类污染物主要累积在近岸及河口区域。</w:t>
      </w:r>
    </w:p>
    <w:p w14:paraId="5FEFAD03">
      <w:pPr>
        <w:spacing w:line="480" w:lineRule="exact"/>
        <w:rPr>
          <w:rFonts w:hint="eastAsia" w:ascii="黑体" w:hAnsi="黑体" w:eastAsia="黑体" w:cs="黑体"/>
          <w:sz w:val="24"/>
        </w:rPr>
      </w:pPr>
      <w:r>
        <w:rPr>
          <w:rFonts w:hint="eastAsia"/>
          <w:sz w:val="24"/>
          <w:lang w:eastAsia="zh"/>
        </w:rPr>
        <w:t>2.3.3.2</w:t>
      </w:r>
      <w:r>
        <w:rPr>
          <w:rFonts w:hint="eastAsia" w:ascii="黑体" w:hAnsi="黑体" w:eastAsia="黑体" w:cs="黑体"/>
          <w:sz w:val="24"/>
        </w:rPr>
        <w:t>全球其他区域水体与沉积物中</w:t>
      </w:r>
      <w:r>
        <w:rPr>
          <w:rFonts w:eastAsia="黑体"/>
          <w:sz w:val="24"/>
        </w:rPr>
        <w:t>6PPD/Q</w:t>
      </w:r>
      <w:r>
        <w:rPr>
          <w:rFonts w:hint="eastAsia" w:ascii="黑体" w:hAnsi="黑体" w:eastAsia="黑体" w:cs="黑体"/>
          <w:sz w:val="24"/>
        </w:rPr>
        <w:t>的赋存详述</w:t>
      </w:r>
    </w:p>
    <w:p w14:paraId="08CD33DF">
      <w:pPr>
        <w:spacing w:line="480" w:lineRule="exact"/>
        <w:ind w:firstLine="480" w:firstLineChars="200"/>
        <w:rPr>
          <w:sz w:val="24"/>
        </w:rPr>
      </w:pPr>
      <w:r>
        <w:rPr>
          <w:sz w:val="24"/>
        </w:rPr>
        <w:t>为了纠正以往研究中“国外数据匮乏”的认知偏差，本节将基于详实的监测记录，对北美、澳洲、欧洲及其他亚太地区的赋存数据进行逐项详述，确保数据描述的完整性与无遗漏。</w:t>
      </w:r>
    </w:p>
    <w:p w14:paraId="434B9514">
      <w:pPr>
        <w:spacing w:line="480" w:lineRule="exact"/>
        <w:rPr>
          <w:rFonts w:hint="eastAsia" w:ascii="黑体" w:hAnsi="黑体" w:eastAsia="黑体" w:cs="黑体"/>
          <w:sz w:val="24"/>
        </w:rPr>
      </w:pPr>
      <w:r>
        <w:rPr>
          <w:rFonts w:hint="eastAsia"/>
          <w:sz w:val="24"/>
          <w:lang w:eastAsia="zh"/>
        </w:rPr>
        <w:t>2.3.3.2.1</w:t>
      </w:r>
      <w:r>
        <w:rPr>
          <w:rFonts w:hint="eastAsia" w:ascii="黑体" w:hAnsi="黑体" w:eastAsia="黑体" w:cs="黑体"/>
          <w:sz w:val="24"/>
        </w:rPr>
        <w:t>北美地区：美国与加拿大的详尽数据特征</w:t>
      </w:r>
    </w:p>
    <w:p w14:paraId="45A2FA68">
      <w:pPr>
        <w:spacing w:line="480" w:lineRule="exact"/>
        <w:ind w:firstLine="480" w:firstLineChars="200"/>
        <w:rPr>
          <w:sz w:val="24"/>
        </w:rPr>
      </w:pPr>
      <w:r>
        <w:rPr>
          <w:sz w:val="24"/>
        </w:rPr>
        <w:t>在北美地区，美国的数据覆盖了从西海岸到东海岸的广泛区域，且浓度跨度极大。加利福尼亚州（CA）作为重点监测区，其数据点位涵盖了萨克拉门托-圣华金河三角洲（Delta）及多个具体站点。数据显示，加州部分站点如DeltaNORT-001至SOUT-007的浓度维持在0.43∼0.93ng/L的较低水平，但在BuckleberryBay及部分城市径流中，浓度显著升高。洛杉矶地区（LA）的道路径流是全球公认的极高浓度热点，监测数据显示其浓度范围在4.1∼6.1</w:t>
      </w:r>
      <w:r>
        <w:rPr>
          <w:rFonts w:hint="eastAsia"/>
          <w:sz w:val="24"/>
          <w:lang w:eastAsia="zh"/>
        </w:rPr>
        <w:t>u</w:t>
      </w:r>
      <w:r>
        <w:rPr>
          <w:sz w:val="24"/>
        </w:rPr>
        <w:t>g/L（即4100∼6100ng/L）之间，而在洛杉矶河（LARiver）的特定监测中，浓度甚至达到2815ng/L。西雅图地区（Seattle）的数据同样惊人，其道路径流中6PPD-Q浓度高达0.8∼19</w:t>
      </w:r>
      <w:r>
        <w:rPr>
          <w:rFonts w:hint="eastAsia"/>
          <w:sz w:val="24"/>
          <w:lang w:eastAsia="zh"/>
        </w:rPr>
        <w:t>u</w:t>
      </w:r>
      <w:r>
        <w:rPr>
          <w:sz w:val="24"/>
        </w:rPr>
        <w:t>g/L，受纳水体（如MillerCreek）浓度也达到80∼200ng/L。此外，美国中西部与南部的数据也十分丰富，包括堪萨斯州、俄克拉荷马州、俄勒冈州、华盛顿州等地的监测数据均显示，虽然部分雨水样本浓度较低（0.002∼0.29</w:t>
      </w:r>
      <w:r>
        <w:rPr>
          <w:rFonts w:hint="eastAsia"/>
          <w:sz w:val="24"/>
          <w:lang w:eastAsia="zh"/>
        </w:rPr>
        <w:t>u</w:t>
      </w:r>
      <w:r>
        <w:rPr>
          <w:sz w:val="24"/>
        </w:rPr>
        <w:t>g/L），但在托尔顿溪（ThorntonCreek）等城市水体中，浓度波动于20∼85ng/L之间。科罗拉多州、佐治亚州、密歇根州、明尼苏达州、北卡罗来纳州、德克萨斯州及弗吉尼亚州的数据则普遍处于0.002∼0.15</w:t>
      </w:r>
      <w:r>
        <w:rPr>
          <w:rFonts w:hint="eastAsia"/>
          <w:sz w:val="24"/>
          <w:lang w:eastAsia="zh"/>
        </w:rPr>
        <w:t>u</w:t>
      </w:r>
      <w:r>
        <w:rPr>
          <w:sz w:val="24"/>
        </w:rPr>
        <w:t>g/L的背景水平，反映了不同城市规模下的污染差异。加拿大地区的数据同样详实，覆盖了安大略省、萨斯喀彻温省及不列颠哥伦比亚省。多伦多地区的城市径流与溪流（如DonRiver,HighlandCreek）中，6PPD-Q浓度普遍在0.19∼0.98</w:t>
      </w:r>
      <w:r>
        <w:rPr>
          <w:rFonts w:hint="eastAsia"/>
          <w:sz w:val="24"/>
          <w:lang w:eastAsia="zh"/>
        </w:rPr>
        <w:t>u</w:t>
      </w:r>
      <w:r>
        <w:rPr>
          <w:sz w:val="24"/>
        </w:rPr>
        <w:t>g/L之间。安大略湖沿岸（如HumberBay,TorontoHarbour）的近岸水体浓度为2.4∼15.5ng/L。萨斯喀彻温省的萨斯卡通（Saskatoon）道路径流中检出了408.5ng/L的高浓度，而温哥华地区的生物滞留设施进水中浓度甚至高达4300ng/L。此外，针对寒冷气候区的研究数据（如加拿大南部，45.5°N）揭示了雪融水（367ng/L）与暴雨径流（593ng/L）中的极高负荷。</w:t>
      </w:r>
    </w:p>
    <w:p w14:paraId="186D2EF7">
      <w:pPr>
        <w:ind w:firstLine="480" w:firstLineChars="200"/>
        <w:rPr>
          <w:sz w:val="24"/>
          <w:lang w:eastAsia="zh"/>
        </w:rPr>
      </w:pPr>
      <w:r>
        <w:rPr>
          <w:rFonts w:hint="eastAsia"/>
          <w:sz w:val="24"/>
          <w:lang w:eastAsia="zh"/>
        </w:rPr>
        <w:drawing>
          <wp:inline distT="0" distB="0" distL="114300" distR="114300">
            <wp:extent cx="5228590" cy="2800985"/>
            <wp:effectExtent l="0" t="0" r="10160" b="1841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8"/>
                    <a:stretch>
                      <a:fillRect/>
                    </a:stretch>
                  </pic:blipFill>
                  <pic:spPr>
                    <a:xfrm>
                      <a:off x="0" y="0"/>
                      <a:ext cx="5228590" cy="2800985"/>
                    </a:xfrm>
                    <a:prstGeom prst="rect">
                      <a:avLst/>
                    </a:prstGeom>
                  </pic:spPr>
                </pic:pic>
              </a:graphicData>
            </a:graphic>
          </wp:inline>
        </w:drawing>
      </w:r>
    </w:p>
    <w:p w14:paraId="2FAF82A3">
      <w:pPr>
        <w:spacing w:line="480" w:lineRule="exact"/>
        <w:ind w:firstLine="539" w:firstLineChars="257"/>
        <w:jc w:val="center"/>
        <w:rPr>
          <w:color w:val="000000"/>
          <w:szCs w:val="21"/>
        </w:rPr>
      </w:pPr>
      <w:r>
        <w:rPr>
          <w:color w:val="000000"/>
          <w:szCs w:val="21"/>
        </w:rPr>
        <w:t>图</w:t>
      </w:r>
      <w:r>
        <w:rPr>
          <w:rFonts w:hint="eastAsia"/>
          <w:color w:val="000000"/>
          <w:szCs w:val="21"/>
        </w:rPr>
        <w:t>8</w:t>
      </w:r>
      <w:r>
        <w:rPr>
          <w:color w:val="000000"/>
          <w:szCs w:val="21"/>
        </w:rPr>
        <w:t>.全球水体与沉积物环境中6PPD/Q浓度分布热值地图</w:t>
      </w:r>
    </w:p>
    <w:p w14:paraId="7B3376EF">
      <w:pPr>
        <w:spacing w:line="480" w:lineRule="exact"/>
        <w:ind w:firstLine="539" w:firstLineChars="257"/>
        <w:jc w:val="center"/>
        <w:rPr>
          <w:rFonts w:hint="default" w:eastAsia="宋体"/>
          <w:color w:val="000000"/>
          <w:szCs w:val="21"/>
          <w:lang w:val="en-US" w:eastAsia="zh-CN"/>
        </w:rPr>
      </w:pPr>
      <w:r>
        <w:rPr>
          <w:color w:val="000000"/>
          <w:szCs w:val="21"/>
        </w:rPr>
        <w:t>注：图中颜色深浅代表污染物浓度的高低，红色代表高浓度热点区域，蓝绿色代表背景值或低浓度区域</w:t>
      </w:r>
      <w:r>
        <w:rPr>
          <w:rFonts w:hint="eastAsia"/>
          <w:color w:val="000000"/>
          <w:szCs w:val="21"/>
          <w:lang w:eastAsia="zh-CN"/>
        </w:rPr>
        <w:t>，</w:t>
      </w:r>
      <w:r>
        <w:rPr>
          <w:rFonts w:hint="eastAsia"/>
          <w:color w:val="000000"/>
          <w:szCs w:val="21"/>
          <w:lang w:val="en-US" w:eastAsia="zh-CN"/>
        </w:rPr>
        <w:t>图中浓度统一为ng/L</w:t>
      </w:r>
    </w:p>
    <w:p w14:paraId="0066B939">
      <w:pPr>
        <w:ind w:firstLine="480" w:firstLineChars="200"/>
        <w:rPr>
          <w:sz w:val="24"/>
          <w:lang w:eastAsia="zh"/>
        </w:rPr>
      </w:pPr>
    </w:p>
    <w:p w14:paraId="7FDC5FB3">
      <w:pPr>
        <w:spacing w:line="480" w:lineRule="exact"/>
        <w:ind w:firstLine="480" w:firstLineChars="200"/>
        <w:rPr>
          <w:sz w:val="24"/>
        </w:rPr>
      </w:pPr>
      <w:r>
        <w:rPr>
          <w:sz w:val="24"/>
        </w:rPr>
        <w:t>测数据显示其浓度范围在4.1∼6.1</w:t>
      </w:r>
      <w:r>
        <w:rPr>
          <w:rFonts w:hint="eastAsia"/>
          <w:sz w:val="24"/>
          <w:lang w:eastAsia="zh"/>
        </w:rPr>
        <w:t>u</w:t>
      </w:r>
      <w:r>
        <w:rPr>
          <w:sz w:val="24"/>
        </w:rPr>
        <w:t>g/L（即4100∼6100ng/L）之间，而在洛杉矶河（LA</w:t>
      </w:r>
      <w:r>
        <w:rPr>
          <w:rFonts w:hint="eastAsia"/>
          <w:sz w:val="24"/>
        </w:rPr>
        <w:t xml:space="preserve"> </w:t>
      </w:r>
      <w:r>
        <w:rPr>
          <w:sz w:val="24"/>
        </w:rPr>
        <w:t>River）的特定监测中，浓度甚至达到2815ng/L。西雅图地区（Seattle）的数据同样惊人，其道路径流中6PPDQ浓度高达0.8∼19</w:t>
      </w:r>
      <w:r>
        <w:rPr>
          <w:rFonts w:hint="eastAsia"/>
          <w:sz w:val="24"/>
          <w:lang w:eastAsia="zh"/>
        </w:rPr>
        <w:t>u</w:t>
      </w:r>
      <w:r>
        <w:rPr>
          <w:sz w:val="24"/>
        </w:rPr>
        <w:t>g/L，受纳水体（如Miller</w:t>
      </w:r>
      <w:r>
        <w:rPr>
          <w:rFonts w:hint="eastAsia"/>
          <w:sz w:val="24"/>
        </w:rPr>
        <w:t xml:space="preserve"> </w:t>
      </w:r>
      <w:r>
        <w:rPr>
          <w:sz w:val="24"/>
        </w:rPr>
        <w:t>Creek）浓度也达到80∼200ng/L。此外，美国中西部与南部的数据也十分丰富，包括堪萨斯州、俄克拉荷马州、俄勒冈州、华盛顿州等地的监测数据均显示，虽然部分雨水样本浓度较低（0.002∼0.29</w:t>
      </w:r>
      <w:r>
        <w:rPr>
          <w:rFonts w:hint="eastAsia"/>
          <w:sz w:val="24"/>
          <w:lang w:eastAsia="zh"/>
        </w:rPr>
        <w:t>u</w:t>
      </w:r>
      <w:r>
        <w:rPr>
          <w:sz w:val="24"/>
        </w:rPr>
        <w:t>g/L），但在托尔顿溪（Thornton</w:t>
      </w:r>
      <w:r>
        <w:rPr>
          <w:rFonts w:hint="eastAsia"/>
          <w:sz w:val="24"/>
        </w:rPr>
        <w:t xml:space="preserve"> </w:t>
      </w:r>
      <w:r>
        <w:rPr>
          <w:sz w:val="24"/>
        </w:rPr>
        <w:t>Creek）等城市水体中，浓度波动于20∼85ng/L之间。科罗拉多州、佐治亚州、密歇根州、明尼苏达州、北卡罗来纳州、德克萨斯州及弗吉尼亚州的数据则普遍处于0.002∼0.15</w:t>
      </w:r>
      <w:r>
        <w:rPr>
          <w:rFonts w:hint="eastAsia"/>
          <w:sz w:val="24"/>
          <w:lang w:eastAsia="zh"/>
        </w:rPr>
        <w:t>u</w:t>
      </w:r>
      <w:r>
        <w:rPr>
          <w:sz w:val="24"/>
        </w:rPr>
        <w:t>g/L的背景水平，反映了不同城市规模下的污染差异。加拿大地区的数据同样详实，覆盖了安大略省、萨斯喀彻温省及不列颠哥伦比亚省。多伦多地区的城市径流与溪流（如Don</w:t>
      </w:r>
      <w:r>
        <w:rPr>
          <w:rFonts w:hint="eastAsia"/>
          <w:sz w:val="24"/>
        </w:rPr>
        <w:t xml:space="preserve"> </w:t>
      </w:r>
      <w:r>
        <w:rPr>
          <w:sz w:val="24"/>
        </w:rPr>
        <w:t>River,High</w:t>
      </w:r>
      <w:r>
        <w:rPr>
          <w:rFonts w:hint="eastAsia"/>
          <w:sz w:val="24"/>
        </w:rPr>
        <w:t xml:space="preserve"> </w:t>
      </w:r>
      <w:r>
        <w:rPr>
          <w:sz w:val="24"/>
        </w:rPr>
        <w:t>land</w:t>
      </w:r>
      <w:r>
        <w:rPr>
          <w:rFonts w:hint="eastAsia"/>
          <w:sz w:val="24"/>
        </w:rPr>
        <w:t xml:space="preserve"> </w:t>
      </w:r>
      <w:r>
        <w:rPr>
          <w:sz w:val="24"/>
        </w:rPr>
        <w:t>Creek）中，6PPD-Q浓度普遍在0.19∼0.98</w:t>
      </w:r>
      <w:r>
        <w:rPr>
          <w:rFonts w:hint="eastAsia"/>
          <w:sz w:val="24"/>
          <w:lang w:eastAsia="zh"/>
        </w:rPr>
        <w:t>u</w:t>
      </w:r>
      <w:r>
        <w:rPr>
          <w:sz w:val="24"/>
        </w:rPr>
        <w:t>g/L之间。安大略湖沿岸（如Humber</w:t>
      </w:r>
      <w:r>
        <w:rPr>
          <w:rFonts w:hint="eastAsia"/>
          <w:sz w:val="24"/>
        </w:rPr>
        <w:t xml:space="preserve"> </w:t>
      </w:r>
      <w:r>
        <w:rPr>
          <w:sz w:val="24"/>
        </w:rPr>
        <w:t>Bay,Toronto</w:t>
      </w:r>
      <w:r>
        <w:rPr>
          <w:rFonts w:hint="eastAsia"/>
          <w:sz w:val="24"/>
        </w:rPr>
        <w:t xml:space="preserve"> </w:t>
      </w:r>
      <w:r>
        <w:rPr>
          <w:sz w:val="24"/>
        </w:rPr>
        <w:t>Harbour）的近岸水体浓度为2.4∼15.5ng/L。萨斯喀彻温省的萨斯卡通（Saskatoon）道路径流中检出了408.5ng/L的高浓度，而温哥华地区的生物滞留设施进水中浓度甚至高达4300ng/L。此外，针对寒冷气候区的研究数据（如加拿大南部，45.5°N）揭示了雪融水（367ng/L）与暴雨径流（593ng/L）中的极高负荷。</w:t>
      </w:r>
    </w:p>
    <w:p w14:paraId="4450455F">
      <w:pPr>
        <w:spacing w:line="480" w:lineRule="exact"/>
        <w:rPr>
          <w:rFonts w:hint="eastAsia" w:ascii="黑体" w:hAnsi="黑体" w:eastAsia="黑体" w:cs="黑体"/>
          <w:sz w:val="24"/>
        </w:rPr>
      </w:pPr>
      <w:r>
        <w:rPr>
          <w:rFonts w:hint="eastAsia"/>
          <w:sz w:val="24"/>
          <w:lang w:eastAsia="zh"/>
        </w:rPr>
        <w:t>2.3.3.2.2</w:t>
      </w:r>
      <w:r>
        <w:rPr>
          <w:rFonts w:hint="eastAsia" w:ascii="黑体" w:hAnsi="黑体" w:eastAsia="黑体" w:cs="黑体"/>
          <w:sz w:val="24"/>
        </w:rPr>
        <w:t>亚太及其他地区：韩国、澳洲与欧洲的实测记录</w:t>
      </w:r>
    </w:p>
    <w:p w14:paraId="56823297">
      <w:pPr>
        <w:spacing w:line="480" w:lineRule="exact"/>
        <w:ind w:firstLine="480" w:firstLineChars="200"/>
        <w:rPr>
          <w:sz w:val="24"/>
        </w:rPr>
      </w:pPr>
      <w:r>
        <w:rPr>
          <w:sz w:val="24"/>
        </w:rPr>
        <w:t>在亚太地区，韩国水华湖（Lake</w:t>
      </w:r>
      <w:r>
        <w:rPr>
          <w:rFonts w:hint="eastAsia"/>
          <w:sz w:val="24"/>
          <w:lang w:val="en-US" w:eastAsia="zh-CN"/>
        </w:rPr>
        <w:t xml:space="preserve"> </w:t>
      </w:r>
      <w:r>
        <w:rPr>
          <w:sz w:val="24"/>
        </w:rPr>
        <w:t>Sihwa）及其周边溪流的沉积物数据表现出了惊人的富集特征，6PPDQ浓度高达330</w:t>
      </w:r>
      <w:r>
        <w:rPr>
          <w:rFonts w:hint="eastAsia"/>
          <w:sz w:val="24"/>
        </w:rPr>
        <w:t xml:space="preserve"> </w:t>
      </w:r>
      <w:r>
        <w:rPr>
          <w:sz w:val="24"/>
        </w:rPr>
        <w:t>ng/g，6PPD前体物浓度亦达到340ng/g，是全球沉积物污染最严重的区域之一。香港特别行政区的交通干道径流中检出浓度为2.43</w:t>
      </w:r>
      <w:r>
        <w:rPr>
          <w:rFonts w:hint="eastAsia"/>
          <w:sz w:val="24"/>
        </w:rPr>
        <w:t xml:space="preserve"> </w:t>
      </w:r>
      <w:r>
        <w:rPr>
          <w:rFonts w:hint="eastAsia"/>
          <w:sz w:val="24"/>
          <w:lang w:eastAsia="zh"/>
        </w:rPr>
        <w:t>u</w:t>
      </w:r>
      <w:r>
        <w:rPr>
          <w:sz w:val="24"/>
        </w:rPr>
        <w:t>g/L，污水处理厂进水浓度高达470</w:t>
      </w:r>
      <w:r>
        <w:rPr>
          <w:rFonts w:hint="eastAsia"/>
          <w:sz w:val="24"/>
        </w:rPr>
        <w:t xml:space="preserve"> </w:t>
      </w:r>
      <w:r>
        <w:rPr>
          <w:sz w:val="24"/>
        </w:rPr>
        <w:t>ng/L，出水仍维持在37</w:t>
      </w:r>
      <w:r>
        <w:rPr>
          <w:rFonts w:hint="eastAsia"/>
          <w:sz w:val="24"/>
        </w:rPr>
        <w:t xml:space="preserve"> </w:t>
      </w:r>
      <w:r>
        <w:rPr>
          <w:sz w:val="24"/>
        </w:rPr>
        <w:t>ng/L，表明该物质在城市水循环中的顽固性。澳大利亚的数据主要集中在昆士兰州与新南威尔士州。布里斯班河（Brisbane</w:t>
      </w:r>
      <w:r>
        <w:rPr>
          <w:rFonts w:hint="eastAsia"/>
          <w:sz w:val="24"/>
          <w:lang w:val="en-US" w:eastAsia="zh-CN"/>
        </w:rPr>
        <w:t xml:space="preserve"> </w:t>
      </w:r>
      <w:r>
        <w:rPr>
          <w:sz w:val="24"/>
        </w:rPr>
        <w:t>River）及库伯拉溪（Coobera</w:t>
      </w:r>
      <w:r>
        <w:rPr>
          <w:rFonts w:hint="eastAsia"/>
          <w:sz w:val="24"/>
          <w:lang w:val="en-US" w:eastAsia="zh-CN"/>
        </w:rPr>
        <w:t xml:space="preserve"> </w:t>
      </w:r>
      <w:r>
        <w:rPr>
          <w:sz w:val="24"/>
        </w:rPr>
        <w:t>Creek）的水体样本中，6PPD-Q浓度分别为0.38∼88</w:t>
      </w:r>
      <w:r>
        <w:rPr>
          <w:rFonts w:hint="eastAsia"/>
          <w:sz w:val="24"/>
        </w:rPr>
        <w:t xml:space="preserve"> </w:t>
      </w:r>
      <w:r>
        <w:rPr>
          <w:sz w:val="24"/>
        </w:rPr>
        <w:t>ng/L与88</w:t>
      </w:r>
      <w:r>
        <w:rPr>
          <w:rFonts w:hint="eastAsia"/>
          <w:sz w:val="24"/>
        </w:rPr>
        <w:t xml:space="preserve"> </w:t>
      </w:r>
      <w:r>
        <w:rPr>
          <w:sz w:val="24"/>
        </w:rPr>
        <w:t>ng/L，而昆士兰地区的地表水监测显示浓度范围在0∼24</w:t>
      </w:r>
      <w:r>
        <w:rPr>
          <w:rFonts w:hint="eastAsia"/>
          <w:sz w:val="24"/>
        </w:rPr>
        <w:t xml:space="preserve"> </w:t>
      </w:r>
      <w:r>
        <w:rPr>
          <w:sz w:val="24"/>
        </w:rPr>
        <w:t>ng/L之间。值得注意的是，澳大利亚深海沉积物背景值极低（&lt;3</w:t>
      </w:r>
      <w:r>
        <w:rPr>
          <w:rFonts w:hint="eastAsia"/>
          <w:sz w:val="24"/>
        </w:rPr>
        <w:t xml:space="preserve"> </w:t>
      </w:r>
      <w:r>
        <w:rPr>
          <w:sz w:val="24"/>
        </w:rPr>
        <w:t>ng/g），与近岸高值形成鲜明对比。欧洲地区的监测数据虽然相对较少，但具有代表性。德国莱比锡（Leipzig）地区的水体样本中检出了110∼428</w:t>
      </w:r>
      <w:r>
        <w:rPr>
          <w:rFonts w:hint="eastAsia"/>
          <w:sz w:val="24"/>
        </w:rPr>
        <w:t xml:space="preserve"> </w:t>
      </w:r>
      <w:r>
        <w:rPr>
          <w:sz w:val="24"/>
        </w:rPr>
        <w:t>ng/L的浓度，英国伦敦地区的监测值为136</w:t>
      </w:r>
      <w:r>
        <w:rPr>
          <w:rFonts w:hint="eastAsia"/>
          <w:sz w:val="24"/>
        </w:rPr>
        <w:t xml:space="preserve"> </w:t>
      </w:r>
      <w:r>
        <w:rPr>
          <w:sz w:val="24"/>
        </w:rPr>
        <w:t>ng/L。此外，马来西亚与斯里兰卡的污水处理厂进/出水监测数据显示浓度低于0.5</w:t>
      </w:r>
      <w:r>
        <w:rPr>
          <w:rFonts w:hint="eastAsia"/>
          <w:sz w:val="24"/>
        </w:rPr>
        <w:t xml:space="preserve"> </w:t>
      </w:r>
      <w:r>
        <w:rPr>
          <w:sz w:val="24"/>
        </w:rPr>
        <w:t>ng/L，反映了热带发展中国家在该污染物排放上的现状。综上所述，本章节通过对全球海量数据的逐项详述，不仅量化了6PPDQ在不同国家与环境介质中的赋存特征，更证实了该污染物在发达国家高度城市化区域的普遍性与高风险性。从中国珠江三角洲的沉积物累积到美国洛杉矶的径流脉冲，从加拿大的雪融释放到澳大利亚的河流本底，数据汇编构建了该污染物全球迁移的完整证据链。</w:t>
      </w:r>
    </w:p>
    <w:p w14:paraId="5BDBA5F8">
      <w:pPr>
        <w:spacing w:line="480" w:lineRule="exact"/>
        <w:rPr>
          <w:rFonts w:hint="eastAsia" w:ascii="黑体" w:hAnsi="黑体" w:eastAsia="黑体" w:cs="黑体"/>
          <w:sz w:val="24"/>
          <w:lang w:eastAsia="zh"/>
        </w:rPr>
      </w:pPr>
      <w:r>
        <w:rPr>
          <w:rFonts w:hint="eastAsia"/>
          <w:sz w:val="24"/>
          <w:lang w:eastAsia="zh"/>
        </w:rPr>
        <w:t xml:space="preserve">3. </w:t>
      </w:r>
      <w:r>
        <w:rPr>
          <w:rFonts w:hint="eastAsia" w:ascii="黑体" w:hAnsi="黑体" w:eastAsia="黑体" w:cs="黑体"/>
          <w:sz w:val="24"/>
          <w:lang w:eastAsia="zh"/>
        </w:rPr>
        <w:t>结论</w:t>
      </w:r>
    </w:p>
    <w:p w14:paraId="147AF024">
      <w:pPr>
        <w:spacing w:line="480" w:lineRule="exact"/>
        <w:ind w:firstLine="480" w:firstLineChars="200"/>
        <w:rPr>
          <w:sz w:val="24"/>
        </w:rPr>
      </w:pPr>
      <w:r>
        <w:rPr>
          <w:sz w:val="24"/>
        </w:rPr>
        <w:t>通过构建基于深度学习的文献数据挖掘框架，系统解析了全球范围内6PPD及其醌类转化产物（6PPDQ）的环境赋存特征与生态风险规律。主要结论如下：</w:t>
      </w:r>
    </w:p>
    <w:p w14:paraId="4B5B4EC6">
      <w:pPr>
        <w:numPr>
          <w:ilvl w:val="0"/>
          <w:numId w:val="2"/>
        </w:numPr>
        <w:spacing w:line="480" w:lineRule="exact"/>
        <w:ind w:firstLine="480" w:firstLineChars="200"/>
        <w:rPr>
          <w:sz w:val="24"/>
        </w:rPr>
      </w:pPr>
      <w:r>
        <w:rPr>
          <w:sz w:val="24"/>
        </w:rPr>
        <w:t>构建了高效的环境污染物信息提取模型：研究证实，融合SpaCy预处理、多头注意力机制与MCP上下文注意力机制的全连接神经网络（FCNN）模型，能有效解决海量文献中非结构化数据提取难、噪声干扰大的问题。该模型通过量化关键词的SHAP贡献值，实现了对核心污染物实体（6PPD/Q）、环境介质及浓度数据的精准定位，为环境大数据的自动化汇编提供了可靠的方法论范式。</w:t>
      </w:r>
    </w:p>
    <w:p w14:paraId="08E9D687">
      <w:pPr>
        <w:numPr>
          <w:ilvl w:val="0"/>
          <w:numId w:val="2"/>
        </w:numPr>
        <w:spacing w:line="480" w:lineRule="exact"/>
        <w:ind w:firstLine="480" w:firstLineChars="200"/>
        <w:rPr>
          <w:sz w:val="24"/>
        </w:rPr>
      </w:pPr>
      <w:r>
        <w:rPr>
          <w:sz w:val="24"/>
        </w:rPr>
        <w:t>揭示了6PPDQ全球赋存的显著空间异质性：6PPDQ的环境分布并非随机，而是呈现出强烈的人为驱动特征。数据汇编结果表明，该污染物在全球范围内形成了以北纬30°-45°为核心的高风险带，主要集中于北美东部、欧洲西部及东亚的人口密集与交通发达区域。这种“中纬度富集”规律直观反映了轮胎磨损颗粒经地表径流迁移对水环境的污染路径。</w:t>
      </w:r>
    </w:p>
    <w:p w14:paraId="0DD7AF4B">
      <w:pPr>
        <w:numPr>
          <w:ilvl w:val="0"/>
          <w:numId w:val="2"/>
        </w:numPr>
        <w:spacing w:line="480" w:lineRule="exact"/>
        <w:ind w:firstLine="480" w:firstLineChars="200"/>
        <w:rPr>
          <w:sz w:val="24"/>
        </w:rPr>
      </w:pPr>
      <w:r>
        <w:rPr>
          <w:sz w:val="24"/>
        </w:rPr>
        <w:t>阐明了不同环境介质中的迁移转化规律：6PPDQ在不同介质中的行为特征存在显著差异。水体作为迁移载体，污染物呈现随径流扩散的特征；而沉积物作为主要的汇（Sink），在中纬度温带区域表现出极强的吸附富集能力，导致其峰值浓度显著高于水相。此外，生物相（尤其是人体尿液、血清）中的高检出率证实了该类物质具有显著的生物累积效应，且转化产物（6PPDQ）的生物累积潜力在某些情况下高于母体化合物（6PPD）。</w:t>
      </w:r>
    </w:p>
    <w:p w14:paraId="266C9734">
      <w:pPr>
        <w:numPr>
          <w:ilvl w:val="0"/>
          <w:numId w:val="2"/>
        </w:numPr>
        <w:spacing w:line="480" w:lineRule="exact"/>
        <w:ind w:firstLine="480" w:firstLineChars="200"/>
        <w:rPr>
          <w:sz w:val="24"/>
          <w:lang w:eastAsia="zh"/>
        </w:rPr>
      </w:pPr>
      <w:r>
        <w:rPr>
          <w:sz w:val="24"/>
        </w:rPr>
        <w:t>明确了高风险区域与特殊人群的暴露特征：研究发现，城市道路径流（如美国洛杉矶、中国珠三角）是6PPDQ的极高浓度热点，构成了水生生态系统的急性毒性威胁。同时，人体生物监测数据揭示了孕妇、帕金森病患者等特殊群体存在较高的内暴露风险，提示6PPDQ可能与神经系统疾病存在潜在关联，需对该类新型污染物的健康效应给予高度关注。综上所述，本研究不仅量化了全球6PPD/Q的污染图谱，更通过数据挖掘技术揭示了其“人为源驱动-介质迁移-生物累积”的全链条环境行为特征，为制定针对性的污染防控策略及生态风险评估标准提供了科学依据。</w:t>
      </w:r>
    </w:p>
    <w:p w14:paraId="3668AEE2">
      <w:pPr>
        <w:spacing w:before="480" w:after="360" w:line="480" w:lineRule="exact"/>
        <w:jc w:val="both"/>
        <w:rPr>
          <w:rFonts w:eastAsia="黑体"/>
          <w:b/>
          <w:sz w:val="28"/>
          <w:szCs w:val="28"/>
        </w:rPr>
        <w:sectPr>
          <w:headerReference r:id="rId17" w:type="default"/>
          <w:pgSz w:w="11906" w:h="16838"/>
          <w:pgMar w:top="1440" w:right="1797" w:bottom="1440" w:left="1797" w:header="851" w:footer="992" w:gutter="0"/>
          <w:lnNumType w:countBy="1" w:restart="newSection"/>
          <w:cols w:space="720" w:num="1"/>
          <w:docGrid w:linePitch="312" w:charSpace="0"/>
        </w:sectPr>
      </w:pPr>
    </w:p>
    <w:p w14:paraId="685C68E2">
      <w:pPr>
        <w:spacing w:before="480" w:after="360"/>
        <w:jc w:val="center"/>
        <w:rPr>
          <w:rFonts w:eastAsia="黑体"/>
          <w:b/>
          <w:sz w:val="28"/>
          <w:szCs w:val="28"/>
        </w:rPr>
      </w:pPr>
      <w:r>
        <w:rPr>
          <w:rFonts w:eastAsia="黑体"/>
          <w:b/>
          <w:sz w:val="28"/>
          <w:szCs w:val="28"/>
        </w:rPr>
        <w:t>参考文献</w:t>
      </w:r>
    </w:p>
    <w:p w14:paraId="6909EAA4">
      <w:pPr>
        <w:spacing w:before="480" w:after="360"/>
        <w:jc w:val="center"/>
        <w:rPr>
          <w:rFonts w:hint="default" w:eastAsia="黑体"/>
          <w:b/>
          <w:sz w:val="28"/>
          <w:szCs w:val="28"/>
          <w:lang w:val="en-US" w:eastAsia="zh-CN"/>
        </w:rPr>
      </w:pPr>
      <w:r>
        <w:rPr>
          <w:rFonts w:hint="eastAsia" w:eastAsia="黑体"/>
          <w:b/>
          <w:sz w:val="18"/>
          <w:szCs w:val="18"/>
        </w:rPr>
        <w:t>注：C：conference；J：journal；EB/OL：electronic book/online</w:t>
      </w:r>
      <w:r>
        <w:rPr>
          <w:rFonts w:hint="eastAsia" w:eastAsia="黑体"/>
          <w:b/>
          <w:sz w:val="18"/>
          <w:szCs w:val="18"/>
          <w:lang w:eastAsia="zh-CN"/>
        </w:rPr>
        <w:t>；</w:t>
      </w:r>
      <w:r>
        <w:rPr>
          <w:rFonts w:hint="eastAsia" w:eastAsia="黑体"/>
          <w:b/>
          <w:sz w:val="18"/>
          <w:szCs w:val="18"/>
          <w:lang w:val="en-US" w:eastAsia="zh-CN"/>
        </w:rPr>
        <w:t>R:report</w:t>
      </w:r>
    </w:p>
    <w:p w14:paraId="5A605FE9">
      <w:pPr>
        <w:rPr>
          <w:sz w:val="24"/>
        </w:rPr>
      </w:pPr>
    </w:p>
    <w:p w14:paraId="341BBE22">
      <w:pPr>
        <w:keepNext w:val="0"/>
        <w:keepLines w:val="0"/>
        <w:widowControl/>
        <w:suppressLineNumbers w:val="0"/>
      </w:pPr>
    </w:p>
    <w:p w14:paraId="5651C3F8">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 xml:space="preserve">Pan S, Zhang L, Zhang J. Layer-adaptive structured pruning guided by </w:t>
      </w:r>
      <w:r>
        <w:rPr>
          <w:rFonts w:hint="eastAsia"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latency[C]//Advances in Neural Information Processing Systems, 2021, 34: 12497-12509.</w:t>
      </w:r>
    </w:p>
    <w:p w14:paraId="65BBCC0E">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Fedus W, Zoph B, Shazeer N. Switch transformers: Scaling to trillion parameter models with simple and efficient sparsity[C]//Advances in Neural Information Processing Systems, 2021, 34: 1037-1051.</w:t>
      </w:r>
    </w:p>
    <w:p w14:paraId="2C8DD148">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 xml:space="preserve">Wang A, Singh A, Michael J. GLUE: A multi-task benchmark and analysis platform for </w:t>
      </w:r>
      <w:r>
        <w:rPr>
          <w:rFonts w:hint="eastAsia"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natural language understanding[C]//Proceedings of the International Conference on Learning Representations, 2019.</w:t>
      </w:r>
    </w:p>
    <w:p w14:paraId="11C9BF05">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Lin T Y, Maire M, Belongie S. Microsoft COCO: Common objects in context[C]//Proceedings of the European Conference on Computer Vision, 2014: 740-755.</w:t>
      </w:r>
    </w:p>
    <w:p w14:paraId="4F1034E1">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 xml:space="preserve">Lu P, Mishra S, Xia T. Learn to explain: Multimodal reasoning via thought chains for </w:t>
      </w:r>
      <w:r>
        <w:rPr>
          <w:rFonts w:hint="eastAsia"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science question answering[C]//Advances in Neural Information Processing Systems, 2023, 36.</w:t>
      </w:r>
    </w:p>
    <w:p w14:paraId="4BC485DA">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Touvron H, Martin L, Stone K. LLaMA 2: Open foundation and fine-tuned chat models[EB/OL].</w:t>
      </w:r>
    </w:p>
    <w:p w14:paraId="6048844E">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OpenAI. GPT-3.5 technical report[EB/OL]. OpenAI, 2023.</w:t>
      </w:r>
    </w:p>
    <w:p w14:paraId="65ADB31D">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Lepikhin D, Lee H, Xu Y. Gshard: Scaling giant models with conditional computation and automatic sharding[C]//Proceedings of the International Conference on Machine Learning, 2022: 12965-12977.</w:t>
      </w:r>
    </w:p>
    <w:p w14:paraId="0522D545">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Chua K, Calandra R, McAllister R. Deep reinforcement learning in a handful of trials using probabilistic dynamics models[C]//Proceedings of the International Conference on Machine Learning, 2018: 4754-4765.</w:t>
      </w:r>
    </w:p>
    <w:p w14:paraId="07175135">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 xml:space="preserve">Lillicrap T P, Hunt J J, Pritzel A. Continuous control with deep reinforcement </w:t>
      </w:r>
      <w:r>
        <w:rPr>
          <w:rFonts w:hint="eastAsia" w:cs="Times New Roman"/>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learning[C]//Proceedings of the International Conference on Machine Learning, 2015: 1871-1880.</w:t>
      </w:r>
    </w:p>
    <w:p w14:paraId="730D2586">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Raffel C, Shazeer N, Roberts A. Exploring the limits of transfer learning with a unified text-to-text transformer[J]. Journal of Machine Learning Research, 2020, 21(140): 1-67.</w:t>
      </w:r>
    </w:p>
    <w:p w14:paraId="608F51A3">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Zhang Z, Zhang A, Li M. Automatic chain of thought prompting in large language models[C]//Advances in Neural Information Processing Systems, 2022, 35: 1788-1801.</w:t>
      </w:r>
    </w:p>
    <w:p w14:paraId="66374CDC">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Rao Y, Zhao W, Liu B. Dynamicvit: Efficient vision transformers with dynamic token sparsification[C]//Proceedings of the IEEE/CVF Conference on Computer Vision and Pattern Recognition, 2022: 13907-13916.</w:t>
      </w:r>
    </w:p>
    <w:p w14:paraId="6A684F48">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Lin J, Tang J, Tang H. Awq: Activation-aware weight quantization for llm compression and acceleration[EB/OL].</w:t>
      </w:r>
    </w:p>
    <w:p w14:paraId="2574D010">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Dai X, Chen Y, Xiao B. Dyhead: Unifying object detection heads with attentions[C]//Advances in Neural Information Processing Systems, 2021, 34: 22661-22672.</w:t>
      </w:r>
    </w:p>
    <w:p w14:paraId="4A422276">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Abadi M, Barham P, Chen J. Tensorflow: A system for large-scale machine learning[C]//Proceedings of the 12th USENIX Symposium on Operating Systems Design and Implementation, 2016: 265-286.</w:t>
      </w:r>
    </w:p>
    <w:p w14:paraId="1277D444">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Gemini Team, Anil R, Borgeaud S. Gemini: A Family of Highly Capable Multimodal Models[EB/OL].</w:t>
      </w:r>
    </w:p>
    <w:p w14:paraId="5725084A">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Gupta H, Chaudhary M, Raha T. GeminiPro at SemEval-2024 Task 9: BrainTeaser on Gemini[C]//Proceedings of the 18th International Workshop on Semantic Evaluation (SemEval-2024), 2024.</w:t>
      </w:r>
    </w:p>
    <w:p w14:paraId="7BCE4940">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Guo X, Che Y, Zheng Z. Multi-timescale optimal scheduling for interconnected data centers[J]. Frontiers in Energy, 2024.</w:t>
      </w:r>
    </w:p>
    <w:p w14:paraId="787DA8E5">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Hoffmann J, Borgeaud S, Mensch A. Training compute-optimal large language models[J]. Nature, 2022, 610(7932): 47-53.</w:t>
      </w:r>
    </w:p>
    <w:p w14:paraId="0E857827">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Jitkrittum W, Narasimhan H, Kumar S. Universal Model Routing for Efficient LLM Inference[EB/OL].</w:t>
      </w:r>
    </w:p>
    <w:p w14:paraId="7C71168F">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Kamthe S, Deisenroth M P. Data-efficient reinforcement learning with probabilistic model predictive control[C]//Proceedings of the Twenty-First International Conference on Artificial Intelligence and Statistics, 2018, 84: 1701-1710.</w:t>
      </w:r>
    </w:p>
    <w:p w14:paraId="11BD082D">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Liu Z, Hu H, Lin Y. Swin Transformer V2: Scaling Up Capacity and Resolution[EB/OL].</w:t>
      </w:r>
    </w:p>
    <w:p w14:paraId="1AA1DC7E">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Liu H, Li C, Li Y. LLaVA-NeXT: Improved Reasoning, OCR, and World Knowledge[EB/OL].</w:t>
      </w:r>
    </w:p>
    <w:p w14:paraId="1A533688">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Haolang L, Bolun C, WeiYe F. Mitigating multimodal hallucination via lightweight alignment controllers[C]//Findings of the 2024 Conference on Empirical Methods in Natural Language Processing, 2024.</w:t>
      </w:r>
    </w:p>
    <w:p w14:paraId="1E4D5881">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OpenAI, Achiam J, Adler S. GPT-4 Technical Report[EB/OL].</w:t>
      </w:r>
    </w:p>
    <w:p w14:paraId="77D1992A">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Wei T, Zhu B, Zhao L. Skywork-MOE: A Deep Dive into Training Techniques for Mixture-of-Experts Language Models[EB/OL].</w:t>
      </w:r>
    </w:p>
    <w:p w14:paraId="78470DCD">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Maringer L, Roiser L, Wallner G. The role of quinoid derivatives in the UV-initiated synergistic interaction mechanism of HALS and phenolic antioxidants[J]. Polymer Degradation and Stability, 2016, 131: 91-97.</w:t>
      </w:r>
    </w:p>
    <w:p w14:paraId="1B5D31F3">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Yan Q, Kiki C, Chen T. Comparative growth inhibition of 6PPD and 6PPD-Q on microalgae Selenastrum capricornutum, with insights into 6PPD-induced phototoxicity and oxidative stress[J]. Science of the Total Environment, 2024, 957: 177627.</w:t>
      </w:r>
    </w:p>
    <w:p w14:paraId="19152CC4">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Jeong C B, Kim Y J, Choi M, et al. Toxicological Effects of Tire Rubber-Derived 6PPD-Quinone, a Species-Specific Toxicant, and Dithiobisbenzanilide (DTBBA) in the Marine Rotifer Brachionus koreanus[J]. Marine Pollution Bulletin, 2023, 192.</w:t>
      </w:r>
    </w:p>
    <w:p w14:paraId="06122324">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Prosser R S, Salole J, Hang S. Toxicity of 6PPD-quinone to Four Freshwater Invertebrate Species[J]. Environmental Pollution, 2023, 337.</w:t>
      </w:r>
    </w:p>
    <w:p w14:paraId="73C2EAC8">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Calle L, Le Du-Carrée J, Martínez I. Toxicity of Tire Rubber-Derived Pollutants 6PPD-Quinone and 4-Tert-Octylphenol on Marine Plankton[J]. Journal of Hazardous Materials, 2025, 484.</w:t>
      </w:r>
    </w:p>
    <w:p w14:paraId="48D3FE99">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Lo B P, Marlatt V L, Liao X. Acute Toxicity of 6PPD-Quinone to Early Life Stage Juvenile Chinook (Oncorhynchus tshawytscha) and Coho (Oncorhynchus kisutch) Salmon[J]. Environmental Toxicology and Chemistry, 2023, 42: 815-822.</w:t>
      </w:r>
    </w:p>
    <w:p w14:paraId="099C9671">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Hiki K, Yamamoto H. The Tire-Derived Chemical 6PPD-quinone Is Lethally Toxic to the White-Spotted Char Salvelinus leucomaenis pluvius but not to Two Other Salmonid Species[J]. Environmental Science &amp; Technology Letters, 2022.</w:t>
      </w:r>
    </w:p>
    <w:p w14:paraId="70FD8205">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Danielle P, Ryan S S, Christine T. The Lethal and Sublethal Impacts of Two Tire Rubber-Derived Chemicals on Brook Trout (Salvelinus fontinalis) Fry and Fingerlings[J]. Chemosphere, 2024, 360.</w:t>
      </w:r>
    </w:p>
    <w:p w14:paraId="1D9AE587">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Catherine R, Evan K, Niteesh J. Acute and Subchronic Toxicity of 6PPD-Quinone to Early Life Stage Lake Trout (Salvelinus namaycush)[J]. Environmental Science &amp; Technology, 2025, 59: 791-797.</w:t>
      </w:r>
    </w:p>
    <w:p w14:paraId="3CB1EC68">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Di S, Liu Z, Zhao H, et al. Chiral Perspective Evaluations: Enantioselective Hydrolysis of 6PPD and 6PPD-Quinone in Water and Enantioselective Toxicity to Gobiocypris rarus and Oncorhynchus mykiss[J]. Environment International, 2022, 166.</w:t>
      </w:r>
    </w:p>
    <w:p w14:paraId="4FAACEF6">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Greer J, Dalsky E, Lane R, et al. Establishing an In Vitro Model to Assess the Toxicity of 6PPD-Quinone and Other Tire Wear Transformation Products[J]. Environmental Science &amp; Technology Letters, 2023, 10: 533-537.</w:t>
      </w:r>
    </w:p>
    <w:p w14:paraId="73A15BAE">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Co M. Initial Submission: Acute Toxicity of Santoflex 13 to Rainbow Trout and Bluegill with Cover Letter Dated 081492: Technical Report EPA/OTS 88-920007606[R]. Monsanto Co., 1977.</w:t>
      </w:r>
    </w:p>
    <w:p w14:paraId="5B836E85">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Brinkmann M, Montgomery D, Selinger S, et al. Acute Toxicity of the Tire Rubber-Derived Chemical 6PPD-Quinone to Four Fishes of Commercial, Cultural, and Ecological Importance[J]. Environmental Science &amp; Technology Letters, 2022, 9: 333-338.</w:t>
      </w:r>
    </w:p>
    <w:p w14:paraId="284D0CC0">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Liao X, Chen Z, Ou S, et al. Neurological Impairment is Crucial for Tire Rubber-Derived Contaminant 6PPDQ-induced Acute Toxicity to Rainbow Trout[J]. Science Bulletin, 2024, 69: 621-635.</w:t>
      </w:r>
    </w:p>
    <w:p w14:paraId="0B9FCC88">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Prosser R, Gillis P, Holman E, et al. Effect of Substituted Phenylamine Antioxidants on Three Life Stages of the Freshwater Mussel Lampsilis siliquoidea[J]. Environmental Pollution, 2017, 229: 281-289.</w:t>
      </w:r>
    </w:p>
    <w:p w14:paraId="1C95C420">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Rao C, Chu F, Fang F. Toxic Effects and Comparison of Common Amino Antioxidants (AAOs) in the Environment on Zebrafish: A Comprehensive Analysis Based on Cells, Embryos, and Adult Fish[J]. Science of The Total Environment, 2024, 924.</w:t>
      </w:r>
    </w:p>
    <w:p w14:paraId="35AB7DF0">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Geng N, Hou S, Sun S. A Nationwide Investigation of Substituted p-Phenylenediamines (PPDs) and PPD-Quinones in the Riverine Waters of China[J]. Environmental Science &amp; Technology, 2025, 59.</w:t>
      </w:r>
    </w:p>
    <w:p w14:paraId="58226588">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Shi C, Liang Y, Zhu F. Effects of environmental concentrations of 6PPD and its quinone metabolite on the growth and reproduction of freshwater cladoceran[J]. Science of The Total Environment, 2024, 948: 175018.</w:t>
      </w:r>
    </w:p>
    <w:p w14:paraId="017055CC">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Liang Y, Zhu F, Zhou Y. Environmental occurrence, fate, human exposure, and human health risks of p-phenylenediamines and their quinones[J]. Science of The Total Environment, 2024, 957: 177742.</w:t>
      </w:r>
    </w:p>
    <w:p w14:paraId="4364A99B">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Sun Y, Wang J, Li W. Occurrence, fate and chiral signatures of p-phenylenediamines and their quinones in wastewater treatment plants, China[J]. Water Research, 2025, 276: 123272.</w:t>
      </w:r>
    </w:p>
    <w:p w14:paraId="028DC3EB">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Somepalli K, Andaluri G. Spatiotemporal distribution and environmental risk assessment of 6PPDQ in the Schuylkill River[J]. Emerging Contaminants, 2025, 11: 100501.</w:t>
      </w:r>
    </w:p>
    <w:p w14:paraId="078711F1">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Chen X, Sun S, Xu P, et al. Rubber additives and relevant oxidation products in groundwater in a central China region: Levels, influencing factors and exposure[J]. Environmental Pollution, 2024, 363: 125155.</w:t>
      </w:r>
    </w:p>
    <w:p w14:paraId="1FF02C40">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Zhou L J, Liu S, Wang M, et al. Nationwide occurrence and prioritization of tire additives and their transformation products in lake sediments of China[J]. Environment International, 2024, 193: 109139.</w:t>
      </w:r>
    </w:p>
    <w:p w14:paraId="21837D83">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Jin R, Venier M, Chen Q, et al. Amino antioxidants: A review of their environmental behavior, human exposure, and aquatic toxicity[J]. Chemosphere, 2023, 317: 137913.</w:t>
      </w:r>
    </w:p>
    <w:p w14:paraId="62B97B53">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Liu Y H, Mei Y X, Liang X N, et al. Small-Intensity Rainfall Triggers Greater Contamination of Rubber-Derived Chemicals in Road Stormwater Runoff from Various Functional Areas in Megalopolis Cities[J]. Environmental Science &amp; Technology, 2024, 58.</w:t>
      </w:r>
    </w:p>
    <w:p w14:paraId="31CC1F59">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Xie L, Yuan L, Sun J, et al. Compound Class-Specific Temporal Trends (2021–2023) of Tire Wear Compounds in Suspended Solids from Toronto Wastewater Treatment Plants[J]. ACS ES&amp;T Water, 2024, 4.</w:t>
      </w:r>
    </w:p>
    <w:p w14:paraId="601CD61C">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Cao G, Wang W, Zhang J, et al. Occurrence and Removal of Substituted p-Phenylenediamine-Derived Quinones in Hong Kong Sewage Treatment Plants[J]. Environmental Science &amp; Technology, 2023, 57.</w:t>
      </w:r>
    </w:p>
    <w:p w14:paraId="65F53204">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Zhu J, Guo R, Ren F, et al. p-Phenylenediamine Derivatives in Tap Water: Implications for Human Exposure[J]. Water, 2024, 16: 1128.</w:t>
      </w:r>
    </w:p>
    <w:p w14:paraId="5299C653">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Ren S, Xia Y, Wang X, et al. Development and application of diffusive gradients in thin-films for in-situ monitoring of 6PPD-Quinone in urban waters[J]. Water Research, 2024, 266: 122408.</w:t>
      </w:r>
    </w:p>
    <w:p w14:paraId="6DCF31C3">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Black G P, Parsia M D, Uychutin M, et al. 6PPD-quinone in water from the San Francisco–San Joaquin Delta, California, 2018–2024[J]. Environmental Monitoring and Assessment, 2025, 197.</w:t>
      </w:r>
    </w:p>
    <w:p w14:paraId="36EC46D7">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Seiwert B, Nihemaiti M, Troussier M, et al. Abiotic oxidative transformation of 6-PPD and 6-PPD quinone from tires and occurrence of their products in snow from urban roads and in municipal wastewater[J]. Water Research, 2022, 212: 118122.</w:t>
      </w:r>
    </w:p>
    <w:p w14:paraId="3D232F39">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Rodgers T F M, Wang Y, Humes C, et al. Bioretention Cells Provide a 10-Fold Reduction in 6PPD-Quinone Mass Loadings to Receiving Waters: Evidence from a Field Experiment and Modeling[J]. Environmental Science &amp; Technology Letters, 2023, 10.</w:t>
      </w:r>
    </w:p>
    <w:p w14:paraId="6B075655">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Choi M S, Kim S H, Hyun M, et al. Development of a quantitative analytical method for 6PPD, a harmful tire antioxidant, in biological samples for toxicity assessment[J]. Ecotoxicology and Environmental Safety, 2025, 296: 118171.</w:t>
      </w:r>
    </w:p>
    <w:p w14:paraId="2DC32122">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Zhang H Y, Huang Z, Liu Y H, et al. Occurrence and risks of 23 tire additives and their transformation products in an urban water system[J]. Environment International, 2023, 171: 107715.</w:t>
      </w:r>
    </w:p>
    <w:p w14:paraId="2E7CA602">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Wan X, Liang G, Wang D. Potential human health risk of the emerging environmental contaminant 6-PPD quinone[J]. Science of The Total Environment, 2024, 949: 175057.</w:t>
      </w:r>
    </w:p>
    <w:p w14:paraId="0C2D2CBC">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Zhang R, Zhao S, Liu X, et al. Aquatic environmental fates and risks of benzotriazoles, benzothiazoles, and p-phenylenediamines in a catchment providing water to a megacity of China[J]. Environmental Research, 2023, 216: 114721.</w:t>
      </w:r>
    </w:p>
    <w:p w14:paraId="5791A2AF">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Yu W, Tang S, Wong J W, et al. Degradation and detoxification of 6PPD-quinone in water by ultraviolet-activated peroxymonosulfate: Mechanisms, byproducts, and impact on sediment microbial community[J]. Water Research, 2024, 263: 122210.</w:t>
      </w:r>
    </w:p>
    <w:p w14:paraId="0F90B1C6">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Johannessen C, Metcalfe C D. The occurrence of tire wear compounds and their transformation products in municipal wastewater and drinking water treatment plants[J]. Environmental Monitoring and Assessment, 2022, 194.</w:t>
      </w:r>
    </w:p>
    <w:p w14:paraId="0209CAF9">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Klauschies T, Isanta-Navarro J. The joint effects of salt and 6PPD contamination on a freshwater herbivore[J]. Science of The Total Environment, 2022, 829: 154675.</w:t>
      </w:r>
    </w:p>
    <w:p w14:paraId="57AC6F26">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Zeng L, Li Y, Sun Y, et al. Widespread Occurrence and Transport of p-Phenylenediamines and Their Quinones in Sediments across Urban Rivers, Estuaries, Coasts, and Deep-Sea Regions[J]. Environmental Science &amp; Technology, 2023, 57.</w:t>
      </w:r>
    </w:p>
    <w:p w14:paraId="4F2FBDA8">
      <w:pPr>
        <w:keepNext w:val="0"/>
        <w:keepLines w:val="0"/>
        <w:widowControl/>
        <w:numPr>
          <w:ilvl w:val="0"/>
          <w:numId w:val="3"/>
        </w:numPr>
        <w:suppressLineNumbers w:val="0"/>
        <w:shd w:val="clear" w:fill="FFFFFF"/>
        <w:spacing w:line="360" w:lineRule="auto"/>
        <w:ind w:left="480" w:hanging="480" w:hangingChars="2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Pan S, Zhang L, Tu X, et al. Layer-Adaptive Structured Pruning Guided by Latency[EB/OL].</w:t>
      </w:r>
    </w:p>
    <w:p w14:paraId="1A7BE04F">
      <w:pPr>
        <w:rPr>
          <w:sz w:val="24"/>
        </w:rPr>
      </w:pPr>
    </w:p>
    <w:p w14:paraId="0A0EE7DA">
      <w:pPr>
        <w:spacing w:line="360" w:lineRule="auto"/>
        <w:ind w:left="420" w:hanging="420" w:hangingChars="200"/>
        <w:jc w:val="left"/>
        <w:rPr>
          <w:szCs w:val="21"/>
        </w:rPr>
      </w:pPr>
    </w:p>
    <w:p w14:paraId="5F84B94F">
      <w:pPr>
        <w:pStyle w:val="52"/>
        <w:spacing w:line="360" w:lineRule="auto"/>
        <w:ind w:left="288" w:firstLine="0" w:firstLineChars="0"/>
        <w:rPr>
          <w:rFonts w:ascii="Times New Roman" w:hAnsi="Times New Roman"/>
          <w:color w:val="000000"/>
          <w:sz w:val="24"/>
          <w:szCs w:val="24"/>
          <w:shd w:val="clear" w:color="auto" w:fill="FFFFFF"/>
        </w:rPr>
      </w:pPr>
    </w:p>
    <w:p w14:paraId="01C5EDDC">
      <w:pPr>
        <w:spacing w:line="480" w:lineRule="exact"/>
        <w:ind w:left="283" w:hanging="283" w:hangingChars="135"/>
        <w:rPr>
          <w:szCs w:val="21"/>
        </w:rPr>
      </w:pPr>
    </w:p>
    <w:p w14:paraId="2142C274">
      <w:pPr>
        <w:spacing w:line="480" w:lineRule="exact"/>
        <w:ind w:left="283" w:hanging="283" w:hangingChars="135"/>
        <w:rPr>
          <w:szCs w:val="21"/>
        </w:rPr>
      </w:pPr>
    </w:p>
    <w:p w14:paraId="192A9218">
      <w:pPr>
        <w:spacing w:line="480" w:lineRule="exact"/>
        <w:ind w:left="283" w:hanging="283" w:hangingChars="135"/>
        <w:jc w:val="left"/>
        <w:rPr>
          <w:szCs w:val="21"/>
        </w:rPr>
      </w:pPr>
    </w:p>
    <w:p w14:paraId="29B84829">
      <w:pPr>
        <w:spacing w:line="480" w:lineRule="exact"/>
        <w:ind w:left="283" w:hanging="283" w:hangingChars="135"/>
        <w:jc w:val="left"/>
        <w:rPr>
          <w:szCs w:val="21"/>
        </w:rPr>
      </w:pPr>
    </w:p>
    <w:p w14:paraId="3C1176F7">
      <w:pPr>
        <w:spacing w:line="480" w:lineRule="exact"/>
        <w:ind w:left="283" w:hanging="283" w:hangingChars="135"/>
        <w:jc w:val="left"/>
        <w:rPr>
          <w:szCs w:val="21"/>
        </w:rPr>
      </w:pPr>
    </w:p>
    <w:p w14:paraId="6F2C01E2">
      <w:pPr>
        <w:spacing w:before="480" w:after="360"/>
        <w:jc w:val="center"/>
        <w:rPr>
          <w:rFonts w:eastAsia="黑体"/>
          <w:b/>
          <w:bCs/>
          <w:sz w:val="28"/>
          <w:szCs w:val="28"/>
        </w:rPr>
      </w:pPr>
      <w:bookmarkStart w:id="5" w:name="_Toc93734170"/>
      <w:bookmarkStart w:id="6" w:name="_Toc93734168"/>
      <w:r>
        <w:rPr>
          <w:rFonts w:eastAsia="黑体"/>
          <w:b/>
          <w:bCs/>
          <w:sz w:val="28"/>
          <w:szCs w:val="28"/>
        </w:rPr>
        <w:t>附录</w:t>
      </w:r>
      <w:bookmarkEnd w:id="5"/>
    </w:p>
    <w:p w14:paraId="4AEC185F">
      <w:pPr>
        <w:numPr>
          <w:ilvl w:val="0"/>
          <w:numId w:val="4"/>
        </w:numPr>
        <w:spacing w:before="480" w:after="360"/>
        <w:jc w:val="both"/>
      </w:pPr>
      <w:r>
        <w:rPr>
          <w:rFonts w:hint="eastAsia" w:eastAsia="黑体"/>
          <w:b/>
          <w:bCs/>
          <w:sz w:val="28"/>
          <w:szCs w:val="28"/>
          <w:lang w:val="en-US" w:eastAsia="zh-CN"/>
        </w:rPr>
        <w:t>基础代码原理I与代码仓库</w:t>
      </w:r>
    </w:p>
    <w:p w14:paraId="50CA96DC">
      <w:pPr>
        <w:numPr>
          <w:ilvl w:val="0"/>
          <w:numId w:val="4"/>
        </w:numPr>
        <w:spacing w:before="480" w:after="360"/>
        <w:jc w:val="both"/>
        <w:rPr>
          <w:rFonts w:hint="default" w:eastAsia="黑体"/>
          <w:b/>
          <w:bCs/>
          <w:sz w:val="28"/>
          <w:szCs w:val="28"/>
          <w:lang w:val="en-US" w:eastAsia="zh-CN"/>
        </w:rPr>
      </w:pPr>
      <w:r>
        <w:rPr>
          <w:rFonts w:hint="eastAsia" w:eastAsia="黑体"/>
          <w:b/>
          <w:bCs/>
          <w:sz w:val="28"/>
          <w:szCs w:val="28"/>
          <w:lang w:val="en-US" w:eastAsia="zh-CN"/>
        </w:rPr>
        <w:t>基础代码原理II与代码仓库</w:t>
      </w:r>
    </w:p>
    <w:p w14:paraId="4E774271">
      <w:pPr>
        <w:numPr>
          <w:ilvl w:val="0"/>
          <w:numId w:val="4"/>
        </w:numPr>
        <w:spacing w:before="480" w:after="360"/>
        <w:jc w:val="both"/>
        <w:rPr>
          <w:rFonts w:hint="default" w:eastAsia="黑体"/>
          <w:b/>
          <w:bCs/>
          <w:sz w:val="28"/>
          <w:szCs w:val="28"/>
          <w:lang w:val="en-US" w:eastAsia="zh-CN"/>
        </w:rPr>
      </w:pPr>
      <w:r>
        <w:rPr>
          <w:rFonts w:hint="eastAsia" w:eastAsia="黑体"/>
          <w:b/>
          <w:bCs/>
          <w:sz w:val="28"/>
          <w:szCs w:val="28"/>
          <w:lang w:val="en-US" w:eastAsia="zh-CN"/>
        </w:rPr>
        <w:t>基础代码原理III与代码仓库</w:t>
      </w:r>
    </w:p>
    <w:p w14:paraId="5A43D0E1">
      <w:pPr>
        <w:numPr>
          <w:ilvl w:val="0"/>
          <w:numId w:val="4"/>
        </w:numPr>
        <w:spacing w:before="480" w:after="360"/>
        <w:jc w:val="both"/>
        <w:rPr>
          <w:rFonts w:hint="default" w:eastAsia="黑体"/>
          <w:b/>
          <w:bCs/>
          <w:sz w:val="28"/>
          <w:szCs w:val="28"/>
          <w:lang w:val="en-US" w:eastAsia="zh-CN"/>
        </w:rPr>
      </w:pPr>
      <w:r>
        <w:rPr>
          <w:rFonts w:hint="eastAsia" w:eastAsia="黑体"/>
          <w:b/>
          <w:bCs/>
          <w:sz w:val="28"/>
          <w:szCs w:val="28"/>
          <w:lang w:val="en-US" w:eastAsia="zh-CN"/>
        </w:rPr>
        <w:t>基础代码原理IV与代码仓库</w:t>
      </w:r>
    </w:p>
    <w:p w14:paraId="71692B78">
      <w:pPr>
        <w:numPr>
          <w:ilvl w:val="0"/>
          <w:numId w:val="4"/>
        </w:numPr>
        <w:spacing w:before="480" w:after="360"/>
        <w:jc w:val="both"/>
        <w:rPr>
          <w:rFonts w:hint="default" w:eastAsia="黑体"/>
          <w:b/>
          <w:bCs/>
          <w:sz w:val="28"/>
          <w:szCs w:val="28"/>
          <w:lang w:val="en-US" w:eastAsia="zh-CN"/>
        </w:rPr>
      </w:pPr>
      <w:r>
        <w:rPr>
          <w:rFonts w:hint="eastAsia" w:eastAsia="黑体"/>
          <w:b/>
          <w:bCs/>
          <w:sz w:val="28"/>
          <w:szCs w:val="28"/>
          <w:lang w:val="en-US" w:eastAsia="zh-CN"/>
        </w:rPr>
        <w:t>论文运算符号逻辑词对照统表</w:t>
      </w:r>
    </w:p>
    <w:p w14:paraId="75BEDBEF">
      <w:pPr>
        <w:numPr>
          <w:ilvl w:val="0"/>
          <w:numId w:val="4"/>
        </w:numPr>
        <w:spacing w:before="480" w:after="360"/>
        <w:jc w:val="both"/>
        <w:rPr>
          <w:rFonts w:hint="default" w:eastAsia="黑体"/>
          <w:b/>
          <w:bCs/>
          <w:sz w:val="28"/>
          <w:szCs w:val="28"/>
          <w:lang w:val="en-US" w:eastAsia="zh-CN"/>
        </w:rPr>
      </w:pPr>
      <w:r>
        <w:rPr>
          <w:rFonts w:hint="eastAsia" w:eastAsia="黑体"/>
          <w:b/>
          <w:bCs/>
          <w:sz w:val="28"/>
          <w:szCs w:val="28"/>
          <w:lang w:val="en-US" w:eastAsia="zh-CN"/>
        </w:rPr>
        <w:t>支撑材料链接</w:t>
      </w:r>
    </w:p>
    <w:p w14:paraId="4CE9280C">
      <w:pPr>
        <w:jc w:val="center"/>
        <w:rPr>
          <w:rFonts w:eastAsia="黑体"/>
          <w:b/>
          <w:bCs/>
          <w:sz w:val="28"/>
          <w:szCs w:val="28"/>
        </w:rPr>
      </w:pPr>
      <w:r>
        <w:rPr>
          <w:rFonts w:eastAsia="黑体"/>
          <w:b/>
          <w:bCs/>
          <w:sz w:val="32"/>
          <w:szCs w:val="32"/>
        </w:rPr>
        <w:br w:type="page"/>
      </w:r>
      <w:bookmarkEnd w:id="6"/>
      <w:r>
        <w:rPr>
          <w:rFonts w:eastAsia="黑体"/>
          <w:b/>
          <w:bCs/>
          <w:sz w:val="28"/>
          <w:szCs w:val="28"/>
        </w:rPr>
        <w:t>致谢</w:t>
      </w:r>
      <w:r>
        <w:rPr>
          <w:rFonts w:hint="eastAsia" w:eastAsia="黑体"/>
          <w:b/>
          <w:bCs/>
          <w:sz w:val="28"/>
          <w:szCs w:val="28"/>
        </w:rPr>
        <w:t>与</w:t>
      </w:r>
      <w:r>
        <w:rPr>
          <w:rFonts w:eastAsia="黑体"/>
          <w:b/>
          <w:bCs/>
          <w:sz w:val="28"/>
          <w:szCs w:val="28"/>
        </w:rPr>
        <w:t>作者简历及攻读学位期间发表的学术论文与研究成果</w:t>
      </w:r>
    </w:p>
    <w:p w14:paraId="0911113D">
      <w:pPr>
        <w:jc w:val="center"/>
        <w:rPr>
          <w:rFonts w:hint="eastAsia" w:eastAsia="黑体"/>
          <w:b/>
          <w:bCs/>
          <w:sz w:val="28"/>
          <w:szCs w:val="32"/>
          <w:lang w:val="en-US" w:eastAsia="zh-CN"/>
        </w:rPr>
      </w:pPr>
    </w:p>
    <w:p w14:paraId="27B22D87">
      <w:pPr>
        <w:jc w:val="center"/>
        <w:rPr>
          <w:rFonts w:hint="eastAsia" w:eastAsia="黑体"/>
          <w:b/>
          <w:bCs/>
          <w:sz w:val="28"/>
          <w:szCs w:val="32"/>
          <w:lang w:val="en-US" w:eastAsia="zh-CN"/>
        </w:rPr>
      </w:pPr>
      <w:r>
        <w:rPr>
          <w:rFonts w:hint="eastAsia" w:eastAsia="黑体"/>
          <w:b/>
          <w:bCs/>
          <w:sz w:val="28"/>
          <w:szCs w:val="32"/>
          <w:lang w:val="en-US" w:eastAsia="zh-CN"/>
        </w:rPr>
        <w:t>致谢</w:t>
      </w:r>
    </w:p>
    <w:p w14:paraId="75F3167E">
      <w:pPr>
        <w:spacing w:line="480" w:lineRule="exact"/>
        <w:ind w:firstLine="480" w:firstLineChars="200"/>
        <w:jc w:val="left"/>
        <w:rPr>
          <w:rFonts w:hint="default"/>
          <w:sz w:val="24"/>
          <w:lang w:val="en-US" w:eastAsia="zh-CN"/>
        </w:rPr>
      </w:pPr>
      <w:r>
        <w:rPr>
          <w:rFonts w:hint="default"/>
          <w:sz w:val="24"/>
          <w:lang w:val="en-US" w:eastAsia="zh-CN"/>
        </w:rPr>
        <w:t>我在2022年进入暨南大学环境与气候学院学习，至今已经是第四年了，在环境与气候学院认识了许多好朋友与知己，如化学与材料学院的邹一鸣，邓智迅同学；环境与气候学院的刘云峰同学等人，在校园生活中给我帮助良多，在此表示感谢。</w:t>
      </w:r>
    </w:p>
    <w:p w14:paraId="13194849">
      <w:pPr>
        <w:spacing w:line="480" w:lineRule="exact"/>
        <w:ind w:firstLine="480" w:firstLineChars="200"/>
        <w:jc w:val="left"/>
        <w:rPr>
          <w:rFonts w:hint="eastAsia"/>
          <w:sz w:val="24"/>
        </w:rPr>
      </w:pPr>
      <w:r>
        <w:rPr>
          <w:rFonts w:hint="eastAsia"/>
          <w:sz w:val="24"/>
        </w:rPr>
        <w:t>行文至此，落笔为终。当敲下论文最后一个句点时，窗外的广州已是暮春四月，空气中弥漫着熟悉的湿润气息。回首这段求学与科研的旅程，从最初对环境化学中新兴污染物6PPD</w:t>
      </w:r>
      <w:r>
        <w:rPr>
          <w:rFonts w:hint="eastAsia"/>
          <w:sz w:val="24"/>
          <w:lang w:val="en-US" w:eastAsia="zh-CN"/>
        </w:rPr>
        <w:t>/</w:t>
      </w:r>
      <w:r>
        <w:rPr>
          <w:rFonts w:hint="eastAsia"/>
          <w:sz w:val="24"/>
        </w:rPr>
        <w:t>Q的惊鸿一瞥，到后来深入自然语言处理(NLP)算法的浩瀚海洋，这一路走来，既有探索未知的迷茫，亦有柳暗花明的欣喜。这篇论文不仅是我本科学业的答卷，更是我青春岁月中一段刻骨铭心的注脚。</w:t>
      </w:r>
    </w:p>
    <w:p w14:paraId="1FF45ED8">
      <w:pPr>
        <w:spacing w:line="480" w:lineRule="exact"/>
        <w:ind w:firstLine="480" w:firstLineChars="200"/>
        <w:jc w:val="left"/>
        <w:rPr>
          <w:rFonts w:hint="eastAsia"/>
          <w:sz w:val="24"/>
        </w:rPr>
      </w:pPr>
      <w:r>
        <w:rPr>
          <w:rFonts w:hint="eastAsia"/>
          <w:sz w:val="24"/>
        </w:rPr>
        <w:t>首先，我要向我的导师</w:t>
      </w:r>
      <w:r>
        <w:rPr>
          <w:rFonts w:hint="eastAsia"/>
          <w:sz w:val="24"/>
          <w:lang w:val="en-US" w:eastAsia="zh-CN"/>
        </w:rPr>
        <w:t>李慧珍教授</w:t>
      </w:r>
      <w:r>
        <w:rPr>
          <w:rFonts w:hint="eastAsia"/>
          <w:sz w:val="24"/>
        </w:rPr>
        <w:t>致以敬意和感谢。感谢您将我领入环境科学的大门，更包容并支持我进行跨学科的尝试。您严谨的治学态度和渊博的学识，如灯塔般照亮了我前行的道路，让我明白了科研不仅需要脚踏实地的积累，更需要仰望星空的勇气。</w:t>
      </w:r>
    </w:p>
    <w:p w14:paraId="4F14C5D4">
      <w:pPr>
        <w:spacing w:line="480" w:lineRule="exact"/>
        <w:jc w:val="left"/>
        <w:rPr>
          <w:rFonts w:hint="eastAsia"/>
          <w:sz w:val="24"/>
        </w:rPr>
      </w:pPr>
      <w:r>
        <w:rPr>
          <w:rFonts w:hint="eastAsia"/>
          <w:sz w:val="24"/>
        </w:rPr>
        <w:t>感谢我的同门与挚友。难忘我们在实验室里并肩作战的日夜，感谢你们在我面对海量文献数据清洗感到枯燥乏味时，给予我的鼓励与陪伴。无论是关于SpaCy实体识别的激烈讨论，还是对全球污染分布热图的反复推敲，每一次思维的碰撞都让这篇论文更加完善。是你们的帮助，让这段孤独的科研之旅充满了温暖与欢笑。</w:t>
      </w:r>
    </w:p>
    <w:p w14:paraId="778AB23A">
      <w:pPr>
        <w:spacing w:line="480" w:lineRule="exact"/>
        <w:ind w:firstLine="480" w:firstLineChars="200"/>
        <w:jc w:val="left"/>
        <w:rPr>
          <w:rFonts w:hint="eastAsia"/>
          <w:sz w:val="24"/>
        </w:rPr>
      </w:pPr>
      <w:r>
        <w:rPr>
          <w:rFonts w:hint="eastAsia"/>
          <w:sz w:val="24"/>
        </w:rPr>
        <w:t>感谢我的家人。你们永远是我最坚强的后盾，无论我做出何种选择，你们总是无条件地支持我、信任我。是你们的爱与包容，让我能够心无旁骛地追逐自己的学术梦想，让我有底气去探索那些看似遥不可及的领域。</w:t>
      </w:r>
    </w:p>
    <w:p w14:paraId="41A1E213">
      <w:pPr>
        <w:spacing w:line="480" w:lineRule="exact"/>
        <w:ind w:firstLine="480" w:firstLineChars="200"/>
        <w:jc w:val="left"/>
        <w:rPr>
          <w:rFonts w:hint="default" w:eastAsia="宋体"/>
          <w:sz w:val="24"/>
          <w:lang w:val="en-US" w:eastAsia="zh-CN"/>
        </w:rPr>
      </w:pPr>
      <w:r>
        <w:rPr>
          <w:rFonts w:hint="eastAsia"/>
          <w:sz w:val="24"/>
          <w:lang w:val="en-US" w:eastAsia="zh-CN"/>
        </w:rPr>
        <w:t>最后，我希望可以和小蒋同学有一个未来，走向一个未来，就像蜜蜂找到了她的蒲公英那般。</w:t>
      </w:r>
    </w:p>
    <w:p w14:paraId="0B69BE56">
      <w:pPr>
        <w:spacing w:line="480" w:lineRule="exact"/>
        <w:ind w:firstLine="562" w:firstLineChars="200"/>
        <w:jc w:val="center"/>
        <w:rPr>
          <w:rFonts w:hint="eastAsia" w:eastAsia="黑体"/>
          <w:b/>
          <w:bCs/>
          <w:sz w:val="28"/>
          <w:szCs w:val="32"/>
          <w:lang w:val="en-US" w:eastAsia="zh-CN"/>
        </w:rPr>
      </w:pPr>
    </w:p>
    <w:p w14:paraId="5D797505">
      <w:pPr>
        <w:spacing w:line="480" w:lineRule="exact"/>
        <w:ind w:firstLine="562" w:firstLineChars="200"/>
        <w:jc w:val="center"/>
        <w:rPr>
          <w:rFonts w:hint="eastAsia" w:eastAsia="黑体"/>
          <w:b/>
          <w:bCs/>
          <w:sz w:val="28"/>
          <w:szCs w:val="32"/>
          <w:lang w:val="en-US" w:eastAsia="zh-CN"/>
        </w:rPr>
      </w:pPr>
    </w:p>
    <w:p w14:paraId="63F81552">
      <w:pPr>
        <w:spacing w:line="480" w:lineRule="exact"/>
        <w:ind w:firstLine="562" w:firstLineChars="200"/>
        <w:jc w:val="center"/>
        <w:rPr>
          <w:rFonts w:hint="eastAsia" w:eastAsia="黑体"/>
          <w:b/>
          <w:bCs/>
          <w:sz w:val="28"/>
          <w:szCs w:val="32"/>
          <w:lang w:val="en-US" w:eastAsia="zh-CN"/>
        </w:rPr>
      </w:pPr>
    </w:p>
    <w:p w14:paraId="4ACE1078">
      <w:pPr>
        <w:spacing w:line="480" w:lineRule="exact"/>
        <w:ind w:firstLine="562" w:firstLineChars="200"/>
        <w:jc w:val="center"/>
        <w:rPr>
          <w:rFonts w:hint="eastAsia" w:eastAsia="黑体"/>
          <w:b/>
          <w:bCs/>
          <w:sz w:val="28"/>
          <w:szCs w:val="32"/>
          <w:lang w:val="en-US" w:eastAsia="zh-CN"/>
        </w:rPr>
      </w:pPr>
    </w:p>
    <w:p w14:paraId="027643A9">
      <w:pPr>
        <w:spacing w:line="480" w:lineRule="exact"/>
        <w:ind w:firstLine="562" w:firstLineChars="200"/>
        <w:jc w:val="center"/>
        <w:rPr>
          <w:rFonts w:hint="eastAsia" w:eastAsia="黑体"/>
          <w:b/>
          <w:bCs/>
          <w:sz w:val="28"/>
          <w:szCs w:val="32"/>
          <w:lang w:val="en-US" w:eastAsia="zh-CN"/>
        </w:rPr>
      </w:pPr>
    </w:p>
    <w:p w14:paraId="67EB6A1A">
      <w:pPr>
        <w:spacing w:line="480" w:lineRule="exact"/>
        <w:ind w:firstLine="562" w:firstLineChars="200"/>
        <w:jc w:val="center"/>
        <w:rPr>
          <w:rFonts w:hint="eastAsia" w:eastAsia="黑体"/>
          <w:b/>
          <w:bCs/>
          <w:sz w:val="28"/>
          <w:szCs w:val="32"/>
          <w:lang w:val="en-US" w:eastAsia="zh-CN"/>
        </w:rPr>
      </w:pPr>
    </w:p>
    <w:p w14:paraId="7AEF5440">
      <w:pPr>
        <w:spacing w:line="480" w:lineRule="exact"/>
        <w:ind w:firstLine="562" w:firstLineChars="200"/>
        <w:jc w:val="center"/>
        <w:rPr>
          <w:rFonts w:hint="eastAsia" w:eastAsia="黑体"/>
          <w:b/>
          <w:bCs/>
          <w:sz w:val="28"/>
          <w:szCs w:val="32"/>
          <w:lang w:val="en-US" w:eastAsia="zh-CN"/>
        </w:rPr>
      </w:pPr>
      <w:r>
        <w:rPr>
          <w:rFonts w:hint="eastAsia" w:eastAsia="黑体"/>
          <w:b/>
          <w:bCs/>
          <w:sz w:val="28"/>
          <w:szCs w:val="32"/>
          <w:lang w:val="en-US" w:eastAsia="zh-CN"/>
        </w:rPr>
        <w:t>作者简历</w:t>
      </w:r>
    </w:p>
    <w:p w14:paraId="57FED142">
      <w:pPr>
        <w:spacing w:line="480" w:lineRule="exact"/>
        <w:ind w:firstLine="480" w:firstLineChars="200"/>
        <w:jc w:val="both"/>
        <w:rPr>
          <w:rFonts w:hint="eastAsia"/>
          <w:sz w:val="24"/>
          <w:lang w:val="en-US" w:eastAsia="zh-CN"/>
        </w:rPr>
      </w:pPr>
      <w:r>
        <w:rPr>
          <w:rFonts w:hint="eastAsia"/>
          <w:sz w:val="24"/>
          <w:lang w:val="en-US" w:eastAsia="zh-CN"/>
        </w:rPr>
        <w:t>张耀霖（2003—），男，广东省广州市天河区人，2022年毕业于广州市第一一三中学进入暨南大学环境与气候学院攻读学士学位，至2026年攻读期满。2024年在暨南大学环境与气候学院推荐前往中国科学院广州地球化学研究所进行项目为期一年的科创计划项目与实习，于2025年顺利结项。在2025年获得澳门大学海岸线环境方向博士录取，并于2026年获得香港科技大学（广州）红鸟硕士项目推研。</w:t>
      </w:r>
    </w:p>
    <w:p w14:paraId="6CE4404A">
      <w:pPr>
        <w:spacing w:line="480" w:lineRule="exact"/>
        <w:ind w:firstLine="562" w:firstLineChars="200"/>
        <w:jc w:val="center"/>
        <w:rPr>
          <w:rFonts w:hint="eastAsia" w:eastAsia="黑体"/>
          <w:b/>
          <w:bCs/>
          <w:sz w:val="28"/>
          <w:szCs w:val="32"/>
          <w:lang w:val="en-US" w:eastAsia="zh-CN"/>
        </w:rPr>
      </w:pPr>
    </w:p>
    <w:p w14:paraId="7832501F">
      <w:pPr>
        <w:spacing w:line="480" w:lineRule="exact"/>
        <w:ind w:firstLine="562" w:firstLineChars="200"/>
        <w:jc w:val="center"/>
        <w:rPr>
          <w:rFonts w:hint="eastAsia" w:eastAsia="黑体"/>
          <w:b/>
          <w:bCs/>
          <w:sz w:val="28"/>
          <w:szCs w:val="32"/>
          <w:lang w:val="en-US" w:eastAsia="zh-CN"/>
        </w:rPr>
      </w:pPr>
    </w:p>
    <w:p w14:paraId="1A608101">
      <w:pPr>
        <w:spacing w:line="480" w:lineRule="exact"/>
        <w:ind w:firstLine="562" w:firstLineChars="200"/>
        <w:jc w:val="center"/>
        <w:rPr>
          <w:rFonts w:hint="eastAsia" w:eastAsia="黑体"/>
          <w:b/>
          <w:bCs/>
          <w:sz w:val="28"/>
          <w:szCs w:val="32"/>
          <w:lang w:val="en-US" w:eastAsia="zh-CN"/>
        </w:rPr>
      </w:pPr>
      <w:r>
        <w:rPr>
          <w:rFonts w:hint="eastAsia" w:eastAsia="黑体"/>
          <w:b/>
          <w:bCs/>
          <w:sz w:val="28"/>
          <w:szCs w:val="32"/>
          <w:lang w:val="en-US" w:eastAsia="zh-CN"/>
        </w:rPr>
        <w:t>攻读学位期间发表的学</w:t>
      </w:r>
      <w:bookmarkStart w:id="7" w:name="_GoBack"/>
      <w:bookmarkEnd w:id="7"/>
      <w:r>
        <w:rPr>
          <w:rFonts w:hint="eastAsia" w:eastAsia="黑体"/>
          <w:b/>
          <w:bCs/>
          <w:sz w:val="28"/>
          <w:szCs w:val="32"/>
          <w:lang w:val="en-US" w:eastAsia="zh-CN"/>
        </w:rPr>
        <w:t>术论文与研究成果（节选）</w:t>
      </w:r>
    </w:p>
    <w:p w14:paraId="70237000">
      <w:pPr>
        <w:numPr>
          <w:ilvl w:val="0"/>
          <w:numId w:val="0"/>
        </w:numPr>
        <w:spacing w:line="480" w:lineRule="exact"/>
        <w:ind w:left="420" w:hanging="420" w:hangingChars="200"/>
        <w:jc w:val="both"/>
        <w:rPr>
          <w:rFonts w:hint="default"/>
          <w:sz w:val="21"/>
          <w:szCs w:val="21"/>
          <w:lang w:val="en-US" w:eastAsia="zh-CN"/>
        </w:rPr>
      </w:pPr>
      <w:r>
        <w:rPr>
          <w:rFonts w:hint="default"/>
          <w:sz w:val="21"/>
          <w:szCs w:val="21"/>
          <w:lang w:val="en-US" w:eastAsia="zh-CN"/>
        </w:rPr>
        <w:t>[1] ZHANG Y, LI M. A control-theoretic MCP framework for MLLMs' efficiency andinterpretability[C]//2025 6th International Conference on Computer Engineering and IntelligentControl (ICCEIC). Piscataway: IEEE, 2025: 299-303.</w:t>
      </w:r>
    </w:p>
    <w:p w14:paraId="0474FAA7">
      <w:pPr>
        <w:numPr>
          <w:ilvl w:val="0"/>
          <w:numId w:val="0"/>
        </w:numPr>
        <w:spacing w:line="480" w:lineRule="exact"/>
        <w:ind w:left="420" w:hanging="420" w:hangingChars="200"/>
        <w:jc w:val="both"/>
        <w:rPr>
          <w:rFonts w:hint="default"/>
          <w:sz w:val="21"/>
          <w:szCs w:val="21"/>
          <w:lang w:val="en-US" w:eastAsia="zh-CN"/>
        </w:rPr>
      </w:pPr>
      <w:r>
        <w:rPr>
          <w:rFonts w:hint="default"/>
          <w:sz w:val="21"/>
          <w:szCs w:val="21"/>
          <w:lang w:val="en-US" w:eastAsia="zh-CN"/>
        </w:rPr>
        <w:t>[2] ZHANG Y, LI M. A model-controller-presenter tri-layer control-theoretic orchestrationframework for synergistic efficiency and interpretability in multimodal large languagemodels[J]. International Journal of Complexity in Applied Science and Technology, 2026, x(x):XXX-XXX.</w:t>
      </w:r>
    </w:p>
    <w:p w14:paraId="2B277E25">
      <w:pPr>
        <w:numPr>
          <w:ilvl w:val="0"/>
          <w:numId w:val="0"/>
        </w:numPr>
        <w:spacing w:line="480" w:lineRule="exact"/>
        <w:ind w:left="420" w:hanging="420" w:hangingChars="200"/>
        <w:jc w:val="both"/>
        <w:rPr>
          <w:rFonts w:hint="default"/>
          <w:sz w:val="21"/>
          <w:szCs w:val="21"/>
          <w:lang w:val="en-US" w:eastAsia="zh-CN"/>
        </w:rPr>
      </w:pPr>
      <w:r>
        <w:rPr>
          <w:rFonts w:hint="default"/>
          <w:sz w:val="21"/>
          <w:szCs w:val="21"/>
          <w:lang w:val="en-US" w:eastAsia="zh-CN"/>
        </w:rPr>
        <w:t>[3] ZHANG Y, HUANG K, ZHANG X, et al. Marine ecological risk assessment of tris(2-chloropropyl phosphate in the Guangdong-Hong Kong-Macao Greater Bay Area[J]. AsianJournal of Ecotoxicology, 2025, 20(3): 437-447.</w:t>
      </w:r>
    </w:p>
    <w:p w14:paraId="2A4014A2">
      <w:pPr>
        <w:numPr>
          <w:ilvl w:val="0"/>
          <w:numId w:val="0"/>
        </w:numPr>
        <w:spacing w:line="480" w:lineRule="exact"/>
        <w:ind w:left="420" w:hanging="420" w:hangingChars="200"/>
        <w:jc w:val="both"/>
        <w:rPr>
          <w:rFonts w:hint="default"/>
          <w:sz w:val="21"/>
          <w:szCs w:val="21"/>
          <w:lang w:val="en-US" w:eastAsia="zh-CN"/>
        </w:rPr>
      </w:pPr>
      <w:r>
        <w:rPr>
          <w:rFonts w:hint="default"/>
          <w:sz w:val="21"/>
          <w:szCs w:val="21"/>
          <w:lang w:val="en-US" w:eastAsia="zh-CN"/>
        </w:rPr>
        <w:t>[4] ZOU Y, ZHANG Y, YANG Y, et al. Preparation of chinese herbal UV absorbers andstabilization on retinoic acid within 250-400 nm[J</w:t>
      </w:r>
      <w:r>
        <w:rPr>
          <w:rFonts w:hint="eastAsia"/>
          <w:sz w:val="21"/>
          <w:szCs w:val="21"/>
          <w:lang w:val="en-US" w:eastAsia="zh-CN"/>
        </w:rPr>
        <w:t>]</w:t>
      </w:r>
      <w:r>
        <w:rPr>
          <w:rFonts w:hint="default"/>
          <w:sz w:val="21"/>
          <w:szCs w:val="21"/>
          <w:lang w:val="en-US" w:eastAsia="zh-CN"/>
        </w:rPr>
        <w:t>. Chemical World, 2024, 66(6): 389-393.</w:t>
      </w:r>
    </w:p>
    <w:p w14:paraId="2230FCC8">
      <w:pPr>
        <w:numPr>
          <w:ilvl w:val="0"/>
          <w:numId w:val="0"/>
        </w:numPr>
        <w:spacing w:line="480" w:lineRule="exact"/>
        <w:jc w:val="both"/>
        <w:rPr>
          <w:rFonts w:hint="default"/>
          <w:sz w:val="21"/>
          <w:szCs w:val="21"/>
          <w:lang w:val="en-US" w:eastAsia="zh-CN"/>
        </w:rPr>
      </w:pPr>
      <w:r>
        <w:rPr>
          <w:rFonts w:hint="default"/>
          <w:sz w:val="21"/>
          <w:szCs w:val="21"/>
          <w:lang w:val="en-US" w:eastAsia="zh-CN"/>
        </w:rPr>
        <w:t>[5] ZHANG Y, LIN M, ZOU Y. Monitor (atmospheric environment): ZL 202430342857.6[P]. 2024-08-30.</w:t>
      </w:r>
    </w:p>
    <w:p w14:paraId="7CF25B08">
      <w:pPr>
        <w:numPr>
          <w:ilvl w:val="0"/>
          <w:numId w:val="0"/>
        </w:numPr>
        <w:spacing w:line="480" w:lineRule="exact"/>
        <w:jc w:val="both"/>
        <w:rPr>
          <w:rFonts w:hint="default"/>
          <w:sz w:val="21"/>
          <w:szCs w:val="21"/>
          <w:lang w:val="en-US" w:eastAsia="zh-CN"/>
        </w:rPr>
      </w:pPr>
      <w:r>
        <w:rPr>
          <w:rFonts w:hint="default"/>
          <w:sz w:val="21"/>
          <w:szCs w:val="21"/>
          <w:lang w:val="en-US" w:eastAsia="zh-CN"/>
        </w:rPr>
        <w:t>[6] ZHANG Y. Text data mining and analysis system: 2025SR1998973[CP]. 2025.</w:t>
      </w:r>
    </w:p>
    <w:p w14:paraId="217498D0">
      <w:pPr>
        <w:spacing w:line="480" w:lineRule="exact"/>
        <w:ind w:firstLine="562" w:firstLineChars="200"/>
        <w:jc w:val="center"/>
        <w:rPr>
          <w:rFonts w:hint="default" w:eastAsia="黑体"/>
          <w:b/>
          <w:bCs/>
          <w:sz w:val="28"/>
          <w:szCs w:val="32"/>
          <w:lang w:val="en-US" w:eastAsia="zh-CN"/>
        </w:rPr>
      </w:pPr>
    </w:p>
    <w:p w14:paraId="27DF0A07">
      <w:pPr>
        <w:spacing w:line="480" w:lineRule="exact"/>
        <w:ind w:firstLine="562" w:firstLineChars="200"/>
        <w:jc w:val="both"/>
        <w:rPr>
          <w:rFonts w:hint="eastAsia" w:eastAsia="黑体"/>
          <w:b/>
          <w:bCs/>
          <w:sz w:val="28"/>
          <w:szCs w:val="32"/>
          <w:lang w:val="en-US" w:eastAsia="zh-CN"/>
        </w:rPr>
      </w:pPr>
    </w:p>
    <w:p w14:paraId="228739D7">
      <w:pPr>
        <w:spacing w:line="480" w:lineRule="exact"/>
        <w:jc w:val="left"/>
        <w:rPr>
          <w:sz w:val="24"/>
        </w:rPr>
      </w:pPr>
    </w:p>
    <w:p w14:paraId="38C2A048">
      <w:pPr>
        <w:spacing w:line="480" w:lineRule="exact"/>
        <w:jc w:val="left"/>
        <w:rPr>
          <w:sz w:val="30"/>
          <w:szCs w:val="30"/>
        </w:rPr>
      </w:pPr>
    </w:p>
    <w:p w14:paraId="1D8BC652">
      <w:pPr>
        <w:rPr>
          <w:rFonts w:hint="eastAsia" w:ascii="仿宋" w:hAnsi="仿宋" w:eastAsia="仿宋"/>
          <w:sz w:val="28"/>
          <w:szCs w:val="28"/>
        </w:rPr>
      </w:pPr>
    </w:p>
    <w:sectPr>
      <w:headerReference r:id="rId20" w:type="first"/>
      <w:footerReference r:id="rId22" w:type="first"/>
      <w:headerReference r:id="rId18" w:type="default"/>
      <w:footerReference r:id="rId21" w:type="default"/>
      <w:headerReference r:id="rId19" w:type="even"/>
      <w:pgSz w:w="11906" w:h="16838"/>
      <w:pgMar w:top="1417" w:right="1134" w:bottom="1417" w:left="1701" w:header="851" w:footer="992" w:gutter="0"/>
      <w:cols w:space="720" w:num="1"/>
      <w:titlePg/>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roman"/>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roman"/>
    <w:pitch w:val="default"/>
    <w:sig w:usb0="00000000" w:usb1="00000000" w:usb2="00000000" w:usb3="00000000" w:csb0="00040001"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FandolKai-Regular">
    <w:altName w:val="Times New Roman"/>
    <w:panose1 w:val="00000000000000000000"/>
    <w:charset w:val="00"/>
    <w:family w:val="auto"/>
    <w:pitch w:val="default"/>
    <w:sig w:usb0="00000000" w:usb1="00000000" w:usb2="00000000" w:usb3="00000000" w:csb0="00000000" w:csb1="00000000"/>
  </w:font>
  <w:font w:name="TeXGyreTermesX-Italic">
    <w:altName w:val="Times New Roma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09601">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9924">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6382B">
    <w:pPr>
      <w:pStyle w:val="13"/>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AD4484">
                          <w:pPr>
                            <w:pStyle w:val="13"/>
                          </w:pPr>
                          <w:r>
                            <w:fldChar w:fldCharType="begin"/>
                          </w:r>
                          <w:r>
                            <w:instrText xml:space="preserve"> PAGE  \* MERGEFORMAT </w:instrText>
                          </w:r>
                          <w:r>
                            <w:fldChar w:fldCharType="separate"/>
                          </w:r>
                          <w:r>
                            <w:t>I</w:t>
                          </w:r>
                          <w:r>
                            <w:fldChar w:fldCharType="end"/>
                          </w:r>
                        </w:p>
                      </w:txbxContent>
                    </wps:txbx>
                    <wps:bodyPr vert="horz" wrap="none" lIns="0" tIns="0" rIns="0" bIns="0" anchor="t" anchorCtr="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CJa8WLXAQAAswMAAA4AAAAAAAAAAQAgAAAA&#10;HgEAAGRycy9lMm9Eb2MueG1sUEsFBgAAAAAGAAYAWQEAAGcFAAAAAA==&#10;">
              <v:fill on="f" focussize="0,0"/>
              <v:stroke on="f"/>
              <v:imagedata o:title=""/>
              <o:lock v:ext="edit" aspectratio="f"/>
              <v:textbox inset="0mm,0mm,0mm,0mm" style="mso-fit-shape-to-text:t;">
                <w:txbxContent>
                  <w:p w14:paraId="1DAD4484">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358F0">
    <w:pPr>
      <w:pStyle w:val="13"/>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FBD3A5A">
                          <w:pPr>
                            <w:pStyle w:val="13"/>
                          </w:pPr>
                          <w:r>
                            <w:fldChar w:fldCharType="begin"/>
                          </w:r>
                          <w:r>
                            <w:instrText xml:space="preserve"> PAGE  \* MERGEFORMAT </w:instrText>
                          </w:r>
                          <w:r>
                            <w:fldChar w:fldCharType="separate"/>
                          </w:r>
                          <w:r>
                            <w:t>I</w:t>
                          </w:r>
                          <w:r>
                            <w:fldChar w:fldCharType="end"/>
                          </w:r>
                        </w:p>
                      </w:txbxContent>
                    </wps:txbx>
                    <wps:bodyPr vert="horz" wrap="none" lIns="0" tIns="0" rIns="0" bIns="0" anchor="t" anchorCtr="0">
                      <a:spAutoFit/>
                    </wps:bodyPr>
                  </wps:wsp>
                </a:graphicData>
              </a:graphic>
            </wp:anchor>
          </w:drawing>
        </mc:Choice>
        <mc:Fallback>
          <w:pict>
            <v:shape id="文本框 8"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M6M8TDXAQAAswMAAA4AAAAAAAAAAQAgAAAA&#10;HgEAAGRycy9lMm9Eb2MueG1sUEsFBgAAAAAGAAYAWQEAAGcFAAAAAA==&#10;">
              <v:fill on="f" focussize="0,0"/>
              <v:stroke on="f"/>
              <v:imagedata o:title=""/>
              <o:lock v:ext="edit" aspectratio="f"/>
              <v:textbox inset="0mm,0mm,0mm,0mm" style="mso-fit-shape-to-text:t;">
                <w:txbxContent>
                  <w:p w14:paraId="3FBD3A5A">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331A8">
    <w:pPr>
      <w:pStyle w:val="1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07BA026">
                          <w:pPr>
                            <w:pStyle w:val="13"/>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 id="文本框 9"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BIk01+2AEAALMDAAAOAAAAAAAAAAEAIAAA&#10;AB4BAABkcnMvZTJvRG9jLnhtbFBLBQYAAAAABgAGAFkBAABoBQAAAAA=&#10;">
              <v:fill on="f" focussize="0,0"/>
              <v:stroke on="f"/>
              <v:imagedata o:title=""/>
              <o:lock v:ext="edit" aspectratio="f"/>
              <v:textbox inset="0mm,0mm,0mm,0mm" style="mso-fit-shape-to-text:t;">
                <w:txbxContent>
                  <w:p w14:paraId="107BA026">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7ADC7">
    <w:pPr>
      <w:pStyle w:val="13"/>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44764F">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o2IpktAgAAV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o2IpktAgAAVwQAAA4AAAAAAAAAAQAgAAAAHwEAAGRycy9lMm9Eb2MueG1sUEsFBgAAAAAG&#10;AAYAWQEAAL4FAAAAAA==&#10;">
              <v:fill on="f" focussize="0,0"/>
              <v:stroke on="f" weight="0.5pt"/>
              <v:imagedata o:title=""/>
              <o:lock v:ext="edit" aspectratio="f"/>
              <v:textbox inset="0mm,0mm,0mm,0mm" style="mso-fit-shape-to-text:t;">
                <w:txbxContent>
                  <w:p w14:paraId="4F44764F">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0837373"/>
      <w:docPartObj>
        <w:docPartGallery w:val="autotext"/>
      </w:docPartObj>
    </w:sdtPr>
    <w:sdtContent>
      <w:p w14:paraId="67B8FE2C">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1A5C463E">
    <w:pPr>
      <w:pStyle w:val="1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5041325"/>
      <w:docPartObj>
        <w:docPartGallery w:val="autotext"/>
      </w:docPartObj>
    </w:sdtPr>
    <w:sdtContent>
      <w:p w14:paraId="1A87ACDD">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3C325C35">
    <w:pPr>
      <w:pStyle w:val="13"/>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A9AA4">
    <w:pPr>
      <w:pStyle w:val="13"/>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C9B2B3F">
                          <w:pPr>
                            <w:pStyle w:val="13"/>
                          </w:pPr>
                          <w:r>
                            <w:fldChar w:fldCharType="begin"/>
                          </w:r>
                          <w:r>
                            <w:instrText xml:space="preserve"> PAGE  \* MERGEFORMAT </w:instrText>
                          </w:r>
                          <w:r>
                            <w:fldChar w:fldCharType="separate"/>
                          </w:r>
                          <w:r>
                            <w:t>XIII</w:t>
                          </w:r>
                          <w:r>
                            <w:fldChar w:fldCharType="end"/>
                          </w:r>
                        </w:p>
                      </w:txbxContent>
                    </wps:txbx>
                    <wps:bodyPr vert="horz" wrap="none" lIns="0" tIns="0" rIns="0" bIns="0" anchor="t" anchorCtr="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CsSvvw2AEAALMDAAAOAAAAAAAAAAEAIAAA&#10;AB4BAABkcnMvZTJvRG9jLnhtbFBLBQYAAAAABgAGAFkBAABoBQAAAAA=&#10;">
              <v:fill on="f" focussize="0,0"/>
              <v:stroke on="f"/>
              <v:imagedata o:title=""/>
              <o:lock v:ext="edit" aspectratio="f"/>
              <v:textbox inset="0mm,0mm,0mm,0mm" style="mso-fit-shape-to-text:t;">
                <w:txbxContent>
                  <w:p w14:paraId="1C9B2B3F">
                    <w:pPr>
                      <w:pStyle w:val="13"/>
                    </w:pPr>
                    <w:r>
                      <w:fldChar w:fldCharType="begin"/>
                    </w:r>
                    <w:r>
                      <w:instrText xml:space="preserve"> PAGE  \* MERGEFORMAT </w:instrText>
                    </w:r>
                    <w:r>
                      <w:fldChar w:fldCharType="separate"/>
                    </w:r>
                    <w:r>
                      <w:t>XIII</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4E7D7">
    <w:pPr>
      <w:pStyle w:val="13"/>
      <w:ind w:right="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9CDFE2A">
                          <w:pPr>
                            <w:pStyle w:val="13"/>
                          </w:pPr>
                          <w:r>
                            <w:fldChar w:fldCharType="begin"/>
                          </w:r>
                          <w:r>
                            <w:instrText xml:space="preserve"> PAGE  \* MERGEFORMAT </w:instrText>
                          </w:r>
                          <w:r>
                            <w:fldChar w:fldCharType="separate"/>
                          </w:r>
                          <w:r>
                            <w:t>XV</w:t>
                          </w:r>
                          <w:r>
                            <w:fldChar w:fldCharType="end"/>
                          </w:r>
                        </w:p>
                      </w:txbxContent>
                    </wps:txbx>
                    <wps:bodyPr vert="horz" wrap="none" lIns="0" tIns="0" rIns="0" bIns="0" anchor="t" anchorCtr="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M6pebnPAAAABQEAAA8AAAAAAAAAAQAgAAAAIgAA&#10;AGRycy9kb3ducmV2LnhtbFBLAQIUABQAAAAIAIdO4kAV9DI92AEAALMDAAAOAAAAAAAAAAEAIAAA&#10;AB4BAABkcnMvZTJvRG9jLnhtbFBLBQYAAAAABgAGAFkBAABoBQAAAAA=&#10;">
              <v:fill on="f" focussize="0,0"/>
              <v:stroke on="f"/>
              <v:imagedata o:title=""/>
              <o:lock v:ext="edit" aspectratio="f"/>
              <v:textbox inset="0mm,0mm,0mm,0mm" style="mso-fit-shape-to-text:t;">
                <w:txbxContent>
                  <w:p w14:paraId="19CDFE2A">
                    <w:pPr>
                      <w:pStyle w:val="13"/>
                    </w:pPr>
                    <w:r>
                      <w:fldChar w:fldCharType="begin"/>
                    </w:r>
                    <w:r>
                      <w:instrText xml:space="preserve"> PAGE  \* MERGEFORMAT </w:instrText>
                    </w:r>
                    <w:r>
                      <w:fldChar w:fldCharType="separate"/>
                    </w:r>
                    <w:r>
                      <w:t>XV</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945554">
    <w:pPr>
      <w:pStyle w:val="14"/>
      <w:tabs>
        <w:tab w:val="left" w:pos="3690"/>
        <w:tab w:val="center" w:pos="4156"/>
        <w:tab w:val="clear" w:pos="4153"/>
      </w:tabs>
    </w:pPr>
    <w:r>
      <w:rPr>
        <w:rFonts w:hint="eastAsia"/>
      </w:rPr>
      <w:t>摘 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9797E">
    <w:pPr>
      <w:pStyle w:val="14"/>
      <w:jc w:val="left"/>
    </w:pPr>
    <w:r>
      <w:tab/>
    </w:r>
    <w:r>
      <w:rPr>
        <w:rFonts w:hint="eastAsia"/>
      </w:rPr>
      <w:t>论文题目</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E73F2">
    <w:pPr>
      <w:pStyle w:val="14"/>
      <w:rPr>
        <w:sz w:val="21"/>
        <w:szCs w:val="21"/>
      </w:rPr>
    </w:pPr>
    <w:r>
      <w:rPr>
        <w:rFonts w:hint="eastAsia"/>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B9769">
    <w:pPr>
      <w:pStyle w:val="14"/>
      <w:jc w:val="left"/>
    </w:pPr>
    <w:r>
      <w:tab/>
    </w:r>
    <w:r>
      <w:rPr>
        <w:rFonts w:hint="eastAsia"/>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BA674">
    <w:pPr>
      <w:pStyle w:val="14"/>
      <w:rPr>
        <w:lang w:eastAsia="zh"/>
      </w:rPr>
    </w:pPr>
    <w:r>
      <w:t>第</w:t>
    </w:r>
    <w:r>
      <w:rPr>
        <w:rFonts w:hint="eastAsia"/>
        <w:lang w:eastAsia="zh"/>
      </w:rPr>
      <w:t>1</w:t>
    </w:r>
    <w:r>
      <w:t xml:space="preserve">章 </w:t>
    </w:r>
    <w:r>
      <w:rPr>
        <w:rFonts w:hint="eastAsia"/>
        <w:lang w:eastAsia="zh"/>
      </w:rPr>
      <w:t>绪论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637FA">
    <w:pPr>
      <w:pStyle w:val="14"/>
      <w:jc w:val="left"/>
      <w:rPr>
        <w:sz w:val="24"/>
        <w:szCs w:val="24"/>
      </w:rPr>
    </w:pPr>
    <w:r>
      <w:tab/>
    </w:r>
    <w:r>
      <w:rPr>
        <w:b/>
        <w:lang w:eastAsia="zh"/>
      </w:rPr>
      <w:t>全球水体中对苯二胺抗氧化剂及其醌类转化产物（6PPD/Q为例）的赋存与生态风险：文献挖掘的运用</w:t>
    </w:r>
    <w:r>
      <w:rPr>
        <w:sz w:val="24"/>
        <w:szCs w:val="24"/>
      </w:rPr>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17B91">
    <w:pPr>
      <w:pStyle w:val="14"/>
      <w:tabs>
        <w:tab w:val="left" w:pos="3510"/>
        <w:tab w:val="center" w:pos="4156"/>
        <w:tab w:val="clear" w:pos="4153"/>
      </w:tabs>
      <w:jc w:val="left"/>
      <w:rPr>
        <w:szCs w:val="21"/>
      </w:rPr>
    </w:pPr>
    <w:r>
      <w:rPr>
        <w:szCs w:val="21"/>
      </w:rPr>
      <w:tab/>
    </w:r>
    <w:r>
      <w:rPr>
        <w:szCs w:val="21"/>
      </w:rPr>
      <w:tab/>
    </w:r>
    <w:r>
      <w:rPr>
        <w:rFonts w:hint="eastAsia"/>
        <w:szCs w:val="21"/>
      </w:rPr>
      <w:t>第2章 结果与讨论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F87E8">
    <w:pPr>
      <w:pStyle w:val="14"/>
      <w:rPr>
        <w:rFonts w:hint="eastAsia" w:ascii="宋体" w:hAnsi="宋体"/>
        <w:szCs w:val="21"/>
      </w:rPr>
    </w:pPr>
    <w:r>
      <w:rPr>
        <w:rFonts w:hint="eastAsia" w:ascii="宋体" w:hAnsi="宋体"/>
        <w:szCs w:val="21"/>
      </w:rPr>
      <w:t>附录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633FD">
    <w:pPr>
      <w:pStyle w:val="14"/>
    </w:pPr>
    <w:r>
      <w:rPr>
        <w:b/>
        <w:lang w:eastAsia="zh"/>
      </w:rPr>
      <w:t>全球水体中对苯二胺抗氧化剂及其醌类转化产物（6PPD/Q为例）的赋存与生态风险：文献挖掘的运用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9E33B">
    <w:pPr>
      <w:pStyle w:val="14"/>
      <w:pBdr>
        <w:bottom w:val="single" w:color="auto" w:sz="4" w:space="0"/>
      </w:pBdr>
    </w:pPr>
    <w:r>
      <w:rPr>
        <w:rFonts w:hint="eastAsia"/>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B26CE"/>
    <w:multiLevelType w:val="singleLevel"/>
    <w:tmpl w:val="9ACB26CE"/>
    <w:lvl w:ilvl="0" w:tentative="0">
      <w:start w:val="1"/>
      <w:numFmt w:val="decimal"/>
      <w:suff w:val="space"/>
      <w:lvlText w:val="[%1]"/>
      <w:lvlJc w:val="left"/>
    </w:lvl>
  </w:abstractNum>
  <w:abstractNum w:abstractNumId="1">
    <w:nsid w:val="A3F67484"/>
    <w:multiLevelType w:val="singleLevel"/>
    <w:tmpl w:val="A3F67484"/>
    <w:lvl w:ilvl="0" w:tentative="0">
      <w:start w:val="2"/>
      <w:numFmt w:val="decimal"/>
      <w:lvlText w:val="%1."/>
      <w:lvlJc w:val="left"/>
      <w:pPr>
        <w:tabs>
          <w:tab w:val="left" w:pos="312"/>
        </w:tabs>
      </w:pPr>
    </w:lvl>
  </w:abstractNum>
  <w:abstractNum w:abstractNumId="2">
    <w:nsid w:val="E07A1B74"/>
    <w:multiLevelType w:val="singleLevel"/>
    <w:tmpl w:val="E07A1B74"/>
    <w:lvl w:ilvl="0" w:tentative="0">
      <w:start w:val="1"/>
      <w:numFmt w:val="upperLetter"/>
      <w:suff w:val="space"/>
      <w:lvlText w:val="%1."/>
      <w:lvlJc w:val="left"/>
    </w:lvl>
  </w:abstractNum>
  <w:abstractNum w:abstractNumId="3">
    <w:nsid w:val="FAF82AC5"/>
    <w:multiLevelType w:val="singleLevel"/>
    <w:tmpl w:val="FAF82AC5"/>
    <w:lvl w:ilvl="0" w:tentative="0">
      <w:start w:val="1"/>
      <w:numFmt w:val="decimal"/>
      <w:suff w:val="space"/>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doNotValidateAgainstSchema/>
  <w:doNotDemarcateInvalidXml/>
  <w:footnotePr>
    <w:numFmt w:val="decimalEnclosedCircleChinese"/>
    <w:numRestart w:val="eachPage"/>
  </w:foot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IzMrU0tjA2Mza2sLBQ0lEKTi0uzszPAykwrAUA/836QCwAAAA="/>
    <w:docVar w:name="commondata" w:val="eyJoZGlkIjoiNDgyNjExYWY3NjllNzhhMTljYWY0MDM1NTBmZWJiMGMifQ=="/>
  </w:docVars>
  <w:rsids>
    <w:rsidRoot w:val="00172A27"/>
    <w:rsid w:val="00000B42"/>
    <w:rsid w:val="00000DEE"/>
    <w:rsid w:val="00001386"/>
    <w:rsid w:val="00002B0C"/>
    <w:rsid w:val="000045B4"/>
    <w:rsid w:val="000052CE"/>
    <w:rsid w:val="00006A5A"/>
    <w:rsid w:val="00006BC4"/>
    <w:rsid w:val="00006F57"/>
    <w:rsid w:val="000071D3"/>
    <w:rsid w:val="00012EA6"/>
    <w:rsid w:val="00021057"/>
    <w:rsid w:val="000239F8"/>
    <w:rsid w:val="0002783B"/>
    <w:rsid w:val="00027D20"/>
    <w:rsid w:val="0003082D"/>
    <w:rsid w:val="000356F5"/>
    <w:rsid w:val="00037358"/>
    <w:rsid w:val="0004065B"/>
    <w:rsid w:val="00044A91"/>
    <w:rsid w:val="00045752"/>
    <w:rsid w:val="00045E13"/>
    <w:rsid w:val="00051170"/>
    <w:rsid w:val="00052355"/>
    <w:rsid w:val="00052B22"/>
    <w:rsid w:val="0005503E"/>
    <w:rsid w:val="000600A4"/>
    <w:rsid w:val="000631A5"/>
    <w:rsid w:val="0006441E"/>
    <w:rsid w:val="00066E22"/>
    <w:rsid w:val="00070954"/>
    <w:rsid w:val="00070F4E"/>
    <w:rsid w:val="00071F4B"/>
    <w:rsid w:val="0007225C"/>
    <w:rsid w:val="00074FA6"/>
    <w:rsid w:val="00074FCF"/>
    <w:rsid w:val="000762C9"/>
    <w:rsid w:val="000768A7"/>
    <w:rsid w:val="0008097F"/>
    <w:rsid w:val="000812CA"/>
    <w:rsid w:val="00081B12"/>
    <w:rsid w:val="00083EDE"/>
    <w:rsid w:val="000903C5"/>
    <w:rsid w:val="00092B29"/>
    <w:rsid w:val="000949EE"/>
    <w:rsid w:val="000A0515"/>
    <w:rsid w:val="000A07A8"/>
    <w:rsid w:val="000A0C2E"/>
    <w:rsid w:val="000A20FF"/>
    <w:rsid w:val="000A38B2"/>
    <w:rsid w:val="000A3A1B"/>
    <w:rsid w:val="000A6922"/>
    <w:rsid w:val="000A751D"/>
    <w:rsid w:val="000B060D"/>
    <w:rsid w:val="000B090A"/>
    <w:rsid w:val="000B1FF3"/>
    <w:rsid w:val="000B30BE"/>
    <w:rsid w:val="000B3113"/>
    <w:rsid w:val="000B351E"/>
    <w:rsid w:val="000B3595"/>
    <w:rsid w:val="000B3B88"/>
    <w:rsid w:val="000B794D"/>
    <w:rsid w:val="000C1E7C"/>
    <w:rsid w:val="000C47B2"/>
    <w:rsid w:val="000D0645"/>
    <w:rsid w:val="000D144A"/>
    <w:rsid w:val="000D27E8"/>
    <w:rsid w:val="000D4786"/>
    <w:rsid w:val="000D70B8"/>
    <w:rsid w:val="000D7ED8"/>
    <w:rsid w:val="000E1698"/>
    <w:rsid w:val="000E2604"/>
    <w:rsid w:val="000E48E3"/>
    <w:rsid w:val="000E4FEA"/>
    <w:rsid w:val="001006F3"/>
    <w:rsid w:val="00103DFA"/>
    <w:rsid w:val="0010483C"/>
    <w:rsid w:val="00104E90"/>
    <w:rsid w:val="0010712B"/>
    <w:rsid w:val="00107BCD"/>
    <w:rsid w:val="00107C25"/>
    <w:rsid w:val="00112E5B"/>
    <w:rsid w:val="00113D40"/>
    <w:rsid w:val="00114CE1"/>
    <w:rsid w:val="001161BC"/>
    <w:rsid w:val="00117076"/>
    <w:rsid w:val="00117289"/>
    <w:rsid w:val="0011758A"/>
    <w:rsid w:val="00120674"/>
    <w:rsid w:val="001231A8"/>
    <w:rsid w:val="00123E14"/>
    <w:rsid w:val="00123F89"/>
    <w:rsid w:val="001242F3"/>
    <w:rsid w:val="00126685"/>
    <w:rsid w:val="0012676D"/>
    <w:rsid w:val="00127924"/>
    <w:rsid w:val="0013394E"/>
    <w:rsid w:val="00133EA1"/>
    <w:rsid w:val="001352D5"/>
    <w:rsid w:val="00140F6A"/>
    <w:rsid w:val="00142202"/>
    <w:rsid w:val="0014487D"/>
    <w:rsid w:val="00147BD2"/>
    <w:rsid w:val="001510FC"/>
    <w:rsid w:val="00151B7C"/>
    <w:rsid w:val="001546B3"/>
    <w:rsid w:val="001560EA"/>
    <w:rsid w:val="00157F62"/>
    <w:rsid w:val="00164747"/>
    <w:rsid w:val="00166612"/>
    <w:rsid w:val="00167585"/>
    <w:rsid w:val="001717C0"/>
    <w:rsid w:val="00172A27"/>
    <w:rsid w:val="00177660"/>
    <w:rsid w:val="001779CF"/>
    <w:rsid w:val="00180568"/>
    <w:rsid w:val="0018227A"/>
    <w:rsid w:val="001829DA"/>
    <w:rsid w:val="00186CB6"/>
    <w:rsid w:val="00186F4E"/>
    <w:rsid w:val="001908EF"/>
    <w:rsid w:val="001910C3"/>
    <w:rsid w:val="00191D39"/>
    <w:rsid w:val="00191E7A"/>
    <w:rsid w:val="00193842"/>
    <w:rsid w:val="00195924"/>
    <w:rsid w:val="0019593C"/>
    <w:rsid w:val="00195A4B"/>
    <w:rsid w:val="001960E1"/>
    <w:rsid w:val="001A18AE"/>
    <w:rsid w:val="001A4624"/>
    <w:rsid w:val="001B2D91"/>
    <w:rsid w:val="001C4EAE"/>
    <w:rsid w:val="001C5BEE"/>
    <w:rsid w:val="001C65EC"/>
    <w:rsid w:val="001D0337"/>
    <w:rsid w:val="001D419F"/>
    <w:rsid w:val="001D7700"/>
    <w:rsid w:val="001E2686"/>
    <w:rsid w:val="001E6096"/>
    <w:rsid w:val="001F2180"/>
    <w:rsid w:val="001F27E9"/>
    <w:rsid w:val="001F6092"/>
    <w:rsid w:val="001F758B"/>
    <w:rsid w:val="00200C6E"/>
    <w:rsid w:val="00202622"/>
    <w:rsid w:val="00202C2F"/>
    <w:rsid w:val="0020386A"/>
    <w:rsid w:val="002038F4"/>
    <w:rsid w:val="00205209"/>
    <w:rsid w:val="002067D7"/>
    <w:rsid w:val="0020687E"/>
    <w:rsid w:val="00210022"/>
    <w:rsid w:val="00210C82"/>
    <w:rsid w:val="00213718"/>
    <w:rsid w:val="00216677"/>
    <w:rsid w:val="00217179"/>
    <w:rsid w:val="00217A3B"/>
    <w:rsid w:val="00221E7A"/>
    <w:rsid w:val="00222375"/>
    <w:rsid w:val="00222B19"/>
    <w:rsid w:val="00223521"/>
    <w:rsid w:val="002265AA"/>
    <w:rsid w:val="00227CD9"/>
    <w:rsid w:val="0024017C"/>
    <w:rsid w:val="00241961"/>
    <w:rsid w:val="002425E0"/>
    <w:rsid w:val="0024326A"/>
    <w:rsid w:val="00245BC3"/>
    <w:rsid w:val="00254462"/>
    <w:rsid w:val="002544FD"/>
    <w:rsid w:val="002551E1"/>
    <w:rsid w:val="0025767D"/>
    <w:rsid w:val="002617D0"/>
    <w:rsid w:val="00262FD9"/>
    <w:rsid w:val="00266D3E"/>
    <w:rsid w:val="00270468"/>
    <w:rsid w:val="00270DF8"/>
    <w:rsid w:val="00270E6B"/>
    <w:rsid w:val="00271EBD"/>
    <w:rsid w:val="00272A2D"/>
    <w:rsid w:val="00275487"/>
    <w:rsid w:val="00275A7E"/>
    <w:rsid w:val="002764CD"/>
    <w:rsid w:val="00281D1E"/>
    <w:rsid w:val="00283F70"/>
    <w:rsid w:val="00285795"/>
    <w:rsid w:val="00287FF4"/>
    <w:rsid w:val="00292C17"/>
    <w:rsid w:val="0029444E"/>
    <w:rsid w:val="0029514C"/>
    <w:rsid w:val="00297481"/>
    <w:rsid w:val="002A03D7"/>
    <w:rsid w:val="002A3426"/>
    <w:rsid w:val="002A3F43"/>
    <w:rsid w:val="002A40D4"/>
    <w:rsid w:val="002A49AF"/>
    <w:rsid w:val="002A6758"/>
    <w:rsid w:val="002A6E58"/>
    <w:rsid w:val="002A6F38"/>
    <w:rsid w:val="002B10AB"/>
    <w:rsid w:val="002B191C"/>
    <w:rsid w:val="002B3D58"/>
    <w:rsid w:val="002B44DF"/>
    <w:rsid w:val="002B5B4B"/>
    <w:rsid w:val="002B602A"/>
    <w:rsid w:val="002B6170"/>
    <w:rsid w:val="002C152D"/>
    <w:rsid w:val="002C16E6"/>
    <w:rsid w:val="002C3179"/>
    <w:rsid w:val="002C4622"/>
    <w:rsid w:val="002C7AC0"/>
    <w:rsid w:val="002D023A"/>
    <w:rsid w:val="002D140F"/>
    <w:rsid w:val="002D1820"/>
    <w:rsid w:val="002D3042"/>
    <w:rsid w:val="002D357D"/>
    <w:rsid w:val="002D4D3A"/>
    <w:rsid w:val="002D5F83"/>
    <w:rsid w:val="002D6B74"/>
    <w:rsid w:val="002E0775"/>
    <w:rsid w:val="002E3380"/>
    <w:rsid w:val="002F0BD2"/>
    <w:rsid w:val="002F1672"/>
    <w:rsid w:val="002F30D6"/>
    <w:rsid w:val="002F4E7D"/>
    <w:rsid w:val="00300049"/>
    <w:rsid w:val="00306976"/>
    <w:rsid w:val="003074B1"/>
    <w:rsid w:val="00310F6F"/>
    <w:rsid w:val="003111AB"/>
    <w:rsid w:val="003115CB"/>
    <w:rsid w:val="003172BA"/>
    <w:rsid w:val="00323D07"/>
    <w:rsid w:val="00323EED"/>
    <w:rsid w:val="00324E0F"/>
    <w:rsid w:val="00325336"/>
    <w:rsid w:val="00327EE0"/>
    <w:rsid w:val="00330DBC"/>
    <w:rsid w:val="00332759"/>
    <w:rsid w:val="003359F0"/>
    <w:rsid w:val="00335BAC"/>
    <w:rsid w:val="00336299"/>
    <w:rsid w:val="0033762E"/>
    <w:rsid w:val="0034236F"/>
    <w:rsid w:val="003437B1"/>
    <w:rsid w:val="003466C9"/>
    <w:rsid w:val="00351203"/>
    <w:rsid w:val="0035197E"/>
    <w:rsid w:val="0035285F"/>
    <w:rsid w:val="0035341E"/>
    <w:rsid w:val="00354E64"/>
    <w:rsid w:val="003568DA"/>
    <w:rsid w:val="00357FAC"/>
    <w:rsid w:val="003629B2"/>
    <w:rsid w:val="00363D53"/>
    <w:rsid w:val="003672F6"/>
    <w:rsid w:val="00371177"/>
    <w:rsid w:val="0037213C"/>
    <w:rsid w:val="00372F36"/>
    <w:rsid w:val="00373616"/>
    <w:rsid w:val="00374B5E"/>
    <w:rsid w:val="00375900"/>
    <w:rsid w:val="00376D39"/>
    <w:rsid w:val="0038217D"/>
    <w:rsid w:val="00382493"/>
    <w:rsid w:val="00382D10"/>
    <w:rsid w:val="003849D7"/>
    <w:rsid w:val="003858E7"/>
    <w:rsid w:val="003866A8"/>
    <w:rsid w:val="00387D6D"/>
    <w:rsid w:val="0039166A"/>
    <w:rsid w:val="003920FE"/>
    <w:rsid w:val="0039245A"/>
    <w:rsid w:val="003932CF"/>
    <w:rsid w:val="00397102"/>
    <w:rsid w:val="003A61FA"/>
    <w:rsid w:val="003A6A11"/>
    <w:rsid w:val="003A7419"/>
    <w:rsid w:val="003B02EE"/>
    <w:rsid w:val="003B07D4"/>
    <w:rsid w:val="003B6FBE"/>
    <w:rsid w:val="003B734C"/>
    <w:rsid w:val="003C2C80"/>
    <w:rsid w:val="003C40C8"/>
    <w:rsid w:val="003D1F26"/>
    <w:rsid w:val="003D270E"/>
    <w:rsid w:val="003D4F20"/>
    <w:rsid w:val="003D7918"/>
    <w:rsid w:val="003E1B87"/>
    <w:rsid w:val="003E6A42"/>
    <w:rsid w:val="003E70BD"/>
    <w:rsid w:val="003F1A53"/>
    <w:rsid w:val="003F2B2B"/>
    <w:rsid w:val="003F34B1"/>
    <w:rsid w:val="003F5169"/>
    <w:rsid w:val="003F66AF"/>
    <w:rsid w:val="00400E08"/>
    <w:rsid w:val="004048BF"/>
    <w:rsid w:val="004071E9"/>
    <w:rsid w:val="004114BA"/>
    <w:rsid w:val="004175C6"/>
    <w:rsid w:val="004227CE"/>
    <w:rsid w:val="0042312B"/>
    <w:rsid w:val="004253F0"/>
    <w:rsid w:val="00426F89"/>
    <w:rsid w:val="00432997"/>
    <w:rsid w:val="00434427"/>
    <w:rsid w:val="004349ED"/>
    <w:rsid w:val="00435F19"/>
    <w:rsid w:val="0043640D"/>
    <w:rsid w:val="00437F50"/>
    <w:rsid w:val="00440E84"/>
    <w:rsid w:val="004450A8"/>
    <w:rsid w:val="004537EA"/>
    <w:rsid w:val="00455D83"/>
    <w:rsid w:val="00463777"/>
    <w:rsid w:val="00463E8B"/>
    <w:rsid w:val="00464250"/>
    <w:rsid w:val="00466566"/>
    <w:rsid w:val="00471D6D"/>
    <w:rsid w:val="00473184"/>
    <w:rsid w:val="004732AD"/>
    <w:rsid w:val="00473A30"/>
    <w:rsid w:val="004779A7"/>
    <w:rsid w:val="00480199"/>
    <w:rsid w:val="00481404"/>
    <w:rsid w:val="00481D8B"/>
    <w:rsid w:val="00482A3D"/>
    <w:rsid w:val="00482C34"/>
    <w:rsid w:val="00485208"/>
    <w:rsid w:val="00485E62"/>
    <w:rsid w:val="00486A38"/>
    <w:rsid w:val="00493A4F"/>
    <w:rsid w:val="00494EE9"/>
    <w:rsid w:val="00495D93"/>
    <w:rsid w:val="004A252F"/>
    <w:rsid w:val="004A4A99"/>
    <w:rsid w:val="004B1D06"/>
    <w:rsid w:val="004B5E45"/>
    <w:rsid w:val="004B66A6"/>
    <w:rsid w:val="004B7269"/>
    <w:rsid w:val="004B7CA0"/>
    <w:rsid w:val="004C2BFF"/>
    <w:rsid w:val="004C5A80"/>
    <w:rsid w:val="004D0808"/>
    <w:rsid w:val="004D17B2"/>
    <w:rsid w:val="004D29AB"/>
    <w:rsid w:val="004D4464"/>
    <w:rsid w:val="004D4784"/>
    <w:rsid w:val="004D6803"/>
    <w:rsid w:val="004E17AC"/>
    <w:rsid w:val="004E2603"/>
    <w:rsid w:val="004F2D5A"/>
    <w:rsid w:val="004F5049"/>
    <w:rsid w:val="004F654E"/>
    <w:rsid w:val="004F7CE8"/>
    <w:rsid w:val="005003DF"/>
    <w:rsid w:val="005029EA"/>
    <w:rsid w:val="00506A0B"/>
    <w:rsid w:val="00507B44"/>
    <w:rsid w:val="0051271D"/>
    <w:rsid w:val="00513DDD"/>
    <w:rsid w:val="00514496"/>
    <w:rsid w:val="0051486E"/>
    <w:rsid w:val="0051701F"/>
    <w:rsid w:val="00517472"/>
    <w:rsid w:val="00521518"/>
    <w:rsid w:val="00524944"/>
    <w:rsid w:val="00526051"/>
    <w:rsid w:val="0052679D"/>
    <w:rsid w:val="0052703C"/>
    <w:rsid w:val="00530658"/>
    <w:rsid w:val="00532F05"/>
    <w:rsid w:val="005349F5"/>
    <w:rsid w:val="00535EE0"/>
    <w:rsid w:val="00536FAE"/>
    <w:rsid w:val="00540E73"/>
    <w:rsid w:val="00541A95"/>
    <w:rsid w:val="00545981"/>
    <w:rsid w:val="00545D6E"/>
    <w:rsid w:val="00546515"/>
    <w:rsid w:val="00552E9C"/>
    <w:rsid w:val="005532E0"/>
    <w:rsid w:val="00560CC2"/>
    <w:rsid w:val="00561B01"/>
    <w:rsid w:val="005677B3"/>
    <w:rsid w:val="00573A0D"/>
    <w:rsid w:val="005748D1"/>
    <w:rsid w:val="0057511F"/>
    <w:rsid w:val="00575B14"/>
    <w:rsid w:val="00576FF2"/>
    <w:rsid w:val="00580AFD"/>
    <w:rsid w:val="00582B8C"/>
    <w:rsid w:val="00582C46"/>
    <w:rsid w:val="00583A9F"/>
    <w:rsid w:val="0058599E"/>
    <w:rsid w:val="0058726A"/>
    <w:rsid w:val="005876D9"/>
    <w:rsid w:val="00587713"/>
    <w:rsid w:val="00587F84"/>
    <w:rsid w:val="005905FE"/>
    <w:rsid w:val="0059303F"/>
    <w:rsid w:val="00593503"/>
    <w:rsid w:val="005A3E13"/>
    <w:rsid w:val="005A4989"/>
    <w:rsid w:val="005A55DB"/>
    <w:rsid w:val="005B2EDA"/>
    <w:rsid w:val="005B3275"/>
    <w:rsid w:val="005B34D5"/>
    <w:rsid w:val="005B42C4"/>
    <w:rsid w:val="005B4B3C"/>
    <w:rsid w:val="005B5F51"/>
    <w:rsid w:val="005B61A6"/>
    <w:rsid w:val="005C0722"/>
    <w:rsid w:val="005C1354"/>
    <w:rsid w:val="005C36C9"/>
    <w:rsid w:val="005C75E4"/>
    <w:rsid w:val="005C7723"/>
    <w:rsid w:val="005C7DA9"/>
    <w:rsid w:val="005D1AA7"/>
    <w:rsid w:val="005D3CE8"/>
    <w:rsid w:val="005D5EB3"/>
    <w:rsid w:val="005E09DF"/>
    <w:rsid w:val="005E5998"/>
    <w:rsid w:val="005E5EB4"/>
    <w:rsid w:val="005F0F75"/>
    <w:rsid w:val="005F157A"/>
    <w:rsid w:val="005F77D1"/>
    <w:rsid w:val="006070AC"/>
    <w:rsid w:val="00610ECB"/>
    <w:rsid w:val="00612235"/>
    <w:rsid w:val="0061310F"/>
    <w:rsid w:val="006136BB"/>
    <w:rsid w:val="00613782"/>
    <w:rsid w:val="00613E54"/>
    <w:rsid w:val="00614915"/>
    <w:rsid w:val="0061505B"/>
    <w:rsid w:val="006156B9"/>
    <w:rsid w:val="00616CF2"/>
    <w:rsid w:val="00617724"/>
    <w:rsid w:val="00620AE5"/>
    <w:rsid w:val="00624EA9"/>
    <w:rsid w:val="00626FDC"/>
    <w:rsid w:val="00631E2A"/>
    <w:rsid w:val="0063258A"/>
    <w:rsid w:val="00636818"/>
    <w:rsid w:val="00637201"/>
    <w:rsid w:val="00652788"/>
    <w:rsid w:val="00652A42"/>
    <w:rsid w:val="00652A94"/>
    <w:rsid w:val="00655FC4"/>
    <w:rsid w:val="00656360"/>
    <w:rsid w:val="00661512"/>
    <w:rsid w:val="0066177F"/>
    <w:rsid w:val="00662848"/>
    <w:rsid w:val="006639E1"/>
    <w:rsid w:val="00664F84"/>
    <w:rsid w:val="00665E5E"/>
    <w:rsid w:val="006679ED"/>
    <w:rsid w:val="00667F36"/>
    <w:rsid w:val="00670EED"/>
    <w:rsid w:val="00670FF5"/>
    <w:rsid w:val="00671D87"/>
    <w:rsid w:val="00672D2A"/>
    <w:rsid w:val="0067459D"/>
    <w:rsid w:val="006751B2"/>
    <w:rsid w:val="0067544B"/>
    <w:rsid w:val="00681194"/>
    <w:rsid w:val="00681206"/>
    <w:rsid w:val="006814A5"/>
    <w:rsid w:val="00681EBC"/>
    <w:rsid w:val="00684A02"/>
    <w:rsid w:val="00690928"/>
    <w:rsid w:val="006918CF"/>
    <w:rsid w:val="006931D8"/>
    <w:rsid w:val="00693933"/>
    <w:rsid w:val="0069703E"/>
    <w:rsid w:val="006A4BDD"/>
    <w:rsid w:val="006A50B2"/>
    <w:rsid w:val="006B079A"/>
    <w:rsid w:val="006B0A75"/>
    <w:rsid w:val="006B35A4"/>
    <w:rsid w:val="006B402C"/>
    <w:rsid w:val="006B65C6"/>
    <w:rsid w:val="006C0544"/>
    <w:rsid w:val="006C1A75"/>
    <w:rsid w:val="006C2A11"/>
    <w:rsid w:val="006C46D2"/>
    <w:rsid w:val="006C57EB"/>
    <w:rsid w:val="006C5BC5"/>
    <w:rsid w:val="006C7791"/>
    <w:rsid w:val="006D110D"/>
    <w:rsid w:val="006D3666"/>
    <w:rsid w:val="006D39B7"/>
    <w:rsid w:val="006D55BA"/>
    <w:rsid w:val="006D56B9"/>
    <w:rsid w:val="006D79F7"/>
    <w:rsid w:val="006E03AF"/>
    <w:rsid w:val="006E0D90"/>
    <w:rsid w:val="006E19DA"/>
    <w:rsid w:val="006E3041"/>
    <w:rsid w:val="006E4B95"/>
    <w:rsid w:val="006E5CA7"/>
    <w:rsid w:val="006E6AEA"/>
    <w:rsid w:val="006F3D11"/>
    <w:rsid w:val="006F4109"/>
    <w:rsid w:val="006F4553"/>
    <w:rsid w:val="006F45BC"/>
    <w:rsid w:val="006F51F8"/>
    <w:rsid w:val="006F7E6D"/>
    <w:rsid w:val="0070034B"/>
    <w:rsid w:val="007004C3"/>
    <w:rsid w:val="007016BB"/>
    <w:rsid w:val="0070253B"/>
    <w:rsid w:val="00707FE4"/>
    <w:rsid w:val="007111E7"/>
    <w:rsid w:val="007114D8"/>
    <w:rsid w:val="0071184B"/>
    <w:rsid w:val="00711944"/>
    <w:rsid w:val="00714558"/>
    <w:rsid w:val="0071492A"/>
    <w:rsid w:val="00716F93"/>
    <w:rsid w:val="007206BA"/>
    <w:rsid w:val="0072097B"/>
    <w:rsid w:val="00720E5D"/>
    <w:rsid w:val="007220E1"/>
    <w:rsid w:val="0072308C"/>
    <w:rsid w:val="0072356C"/>
    <w:rsid w:val="00723FD4"/>
    <w:rsid w:val="007321E7"/>
    <w:rsid w:val="00733740"/>
    <w:rsid w:val="00735798"/>
    <w:rsid w:val="007366FE"/>
    <w:rsid w:val="00737A9F"/>
    <w:rsid w:val="00737AA9"/>
    <w:rsid w:val="00737B7D"/>
    <w:rsid w:val="00742330"/>
    <w:rsid w:val="00743A20"/>
    <w:rsid w:val="00751B48"/>
    <w:rsid w:val="00752DA8"/>
    <w:rsid w:val="00754DC1"/>
    <w:rsid w:val="00755EFF"/>
    <w:rsid w:val="00756152"/>
    <w:rsid w:val="00756FE9"/>
    <w:rsid w:val="0075797A"/>
    <w:rsid w:val="0076036C"/>
    <w:rsid w:val="00761FB1"/>
    <w:rsid w:val="007621F0"/>
    <w:rsid w:val="007623C4"/>
    <w:rsid w:val="007626FA"/>
    <w:rsid w:val="00762F10"/>
    <w:rsid w:val="007647EB"/>
    <w:rsid w:val="007652E7"/>
    <w:rsid w:val="00771EC2"/>
    <w:rsid w:val="00772A11"/>
    <w:rsid w:val="00773A34"/>
    <w:rsid w:val="00774085"/>
    <w:rsid w:val="00776480"/>
    <w:rsid w:val="007773E9"/>
    <w:rsid w:val="00780043"/>
    <w:rsid w:val="00780982"/>
    <w:rsid w:val="0078472D"/>
    <w:rsid w:val="00785D9D"/>
    <w:rsid w:val="00797EB0"/>
    <w:rsid w:val="007A49F9"/>
    <w:rsid w:val="007A64C7"/>
    <w:rsid w:val="007A65A1"/>
    <w:rsid w:val="007B04CC"/>
    <w:rsid w:val="007B0E3F"/>
    <w:rsid w:val="007B1A3D"/>
    <w:rsid w:val="007C0C48"/>
    <w:rsid w:val="007C5E15"/>
    <w:rsid w:val="007C640F"/>
    <w:rsid w:val="007C6411"/>
    <w:rsid w:val="007D1D19"/>
    <w:rsid w:val="007D45DE"/>
    <w:rsid w:val="007D565D"/>
    <w:rsid w:val="007E0C8C"/>
    <w:rsid w:val="007E15B8"/>
    <w:rsid w:val="007E1F41"/>
    <w:rsid w:val="007E3BBD"/>
    <w:rsid w:val="007E3D2B"/>
    <w:rsid w:val="007F0009"/>
    <w:rsid w:val="007F3FF3"/>
    <w:rsid w:val="007F5C48"/>
    <w:rsid w:val="0080206D"/>
    <w:rsid w:val="00804670"/>
    <w:rsid w:val="0081254F"/>
    <w:rsid w:val="008129E9"/>
    <w:rsid w:val="00813E7E"/>
    <w:rsid w:val="008152B6"/>
    <w:rsid w:val="008205F1"/>
    <w:rsid w:val="00823ACB"/>
    <w:rsid w:val="008246E6"/>
    <w:rsid w:val="00824B86"/>
    <w:rsid w:val="00825218"/>
    <w:rsid w:val="008259AD"/>
    <w:rsid w:val="00832832"/>
    <w:rsid w:val="00833428"/>
    <w:rsid w:val="0083476B"/>
    <w:rsid w:val="00834E5A"/>
    <w:rsid w:val="00835722"/>
    <w:rsid w:val="00836972"/>
    <w:rsid w:val="00836D37"/>
    <w:rsid w:val="00837FC5"/>
    <w:rsid w:val="00842D67"/>
    <w:rsid w:val="0084319A"/>
    <w:rsid w:val="008469A7"/>
    <w:rsid w:val="00846D40"/>
    <w:rsid w:val="00850270"/>
    <w:rsid w:val="008511FA"/>
    <w:rsid w:val="008526FF"/>
    <w:rsid w:val="008532B9"/>
    <w:rsid w:val="00855967"/>
    <w:rsid w:val="008567E9"/>
    <w:rsid w:val="00857CAD"/>
    <w:rsid w:val="00860088"/>
    <w:rsid w:val="0086454B"/>
    <w:rsid w:val="008655FE"/>
    <w:rsid w:val="00865DD1"/>
    <w:rsid w:val="008675A0"/>
    <w:rsid w:val="00871984"/>
    <w:rsid w:val="00872B26"/>
    <w:rsid w:val="008747D5"/>
    <w:rsid w:val="00875120"/>
    <w:rsid w:val="00875B2F"/>
    <w:rsid w:val="008761F0"/>
    <w:rsid w:val="0087670C"/>
    <w:rsid w:val="00880672"/>
    <w:rsid w:val="00882453"/>
    <w:rsid w:val="0088454A"/>
    <w:rsid w:val="0088759F"/>
    <w:rsid w:val="0089056D"/>
    <w:rsid w:val="00891C91"/>
    <w:rsid w:val="008920A0"/>
    <w:rsid w:val="0089616B"/>
    <w:rsid w:val="00896A79"/>
    <w:rsid w:val="00897613"/>
    <w:rsid w:val="00897AB4"/>
    <w:rsid w:val="008A0A1A"/>
    <w:rsid w:val="008A1492"/>
    <w:rsid w:val="008A4920"/>
    <w:rsid w:val="008A68F9"/>
    <w:rsid w:val="008B1F78"/>
    <w:rsid w:val="008C121C"/>
    <w:rsid w:val="008C2D92"/>
    <w:rsid w:val="008C4A5C"/>
    <w:rsid w:val="008C72AA"/>
    <w:rsid w:val="008D1507"/>
    <w:rsid w:val="008D216B"/>
    <w:rsid w:val="008D499F"/>
    <w:rsid w:val="008D6938"/>
    <w:rsid w:val="008E17A7"/>
    <w:rsid w:val="008E3499"/>
    <w:rsid w:val="008E4627"/>
    <w:rsid w:val="008E5382"/>
    <w:rsid w:val="008E6DA2"/>
    <w:rsid w:val="008E7896"/>
    <w:rsid w:val="008E7DC2"/>
    <w:rsid w:val="008F01B9"/>
    <w:rsid w:val="008F16D5"/>
    <w:rsid w:val="008F25B9"/>
    <w:rsid w:val="008F3349"/>
    <w:rsid w:val="008F5399"/>
    <w:rsid w:val="008F6CC6"/>
    <w:rsid w:val="009019F9"/>
    <w:rsid w:val="00904A1C"/>
    <w:rsid w:val="0090616C"/>
    <w:rsid w:val="00910726"/>
    <w:rsid w:val="00912CBF"/>
    <w:rsid w:val="00916D91"/>
    <w:rsid w:val="009204CC"/>
    <w:rsid w:val="00921C28"/>
    <w:rsid w:val="009231A7"/>
    <w:rsid w:val="009240EC"/>
    <w:rsid w:val="0092756F"/>
    <w:rsid w:val="00930138"/>
    <w:rsid w:val="00930281"/>
    <w:rsid w:val="009374A4"/>
    <w:rsid w:val="009407ED"/>
    <w:rsid w:val="00942048"/>
    <w:rsid w:val="009422DB"/>
    <w:rsid w:val="00951313"/>
    <w:rsid w:val="00951AD9"/>
    <w:rsid w:val="00952A4A"/>
    <w:rsid w:val="00955308"/>
    <w:rsid w:val="009555D9"/>
    <w:rsid w:val="009556AB"/>
    <w:rsid w:val="00955889"/>
    <w:rsid w:val="00957D18"/>
    <w:rsid w:val="00960E6B"/>
    <w:rsid w:val="00962241"/>
    <w:rsid w:val="009624EB"/>
    <w:rsid w:val="0096500C"/>
    <w:rsid w:val="00966D6E"/>
    <w:rsid w:val="0097636F"/>
    <w:rsid w:val="0097705D"/>
    <w:rsid w:val="00977FEF"/>
    <w:rsid w:val="009812E9"/>
    <w:rsid w:val="00984578"/>
    <w:rsid w:val="00987CE5"/>
    <w:rsid w:val="009A0F5D"/>
    <w:rsid w:val="009A3404"/>
    <w:rsid w:val="009A4078"/>
    <w:rsid w:val="009A6754"/>
    <w:rsid w:val="009B028F"/>
    <w:rsid w:val="009B0D11"/>
    <w:rsid w:val="009B2FE7"/>
    <w:rsid w:val="009B3ABF"/>
    <w:rsid w:val="009B4564"/>
    <w:rsid w:val="009B5CC8"/>
    <w:rsid w:val="009B660C"/>
    <w:rsid w:val="009B7856"/>
    <w:rsid w:val="009C4090"/>
    <w:rsid w:val="009C4916"/>
    <w:rsid w:val="009C574B"/>
    <w:rsid w:val="009C742E"/>
    <w:rsid w:val="009C7DCC"/>
    <w:rsid w:val="009D02A4"/>
    <w:rsid w:val="009D1838"/>
    <w:rsid w:val="009D37D9"/>
    <w:rsid w:val="009D3CAE"/>
    <w:rsid w:val="009D3CC1"/>
    <w:rsid w:val="009D558C"/>
    <w:rsid w:val="009D7CC4"/>
    <w:rsid w:val="009E0B7C"/>
    <w:rsid w:val="009E2A4F"/>
    <w:rsid w:val="009E2E46"/>
    <w:rsid w:val="009E4A40"/>
    <w:rsid w:val="009E4D81"/>
    <w:rsid w:val="009E5229"/>
    <w:rsid w:val="009E705A"/>
    <w:rsid w:val="009E716A"/>
    <w:rsid w:val="009F13ED"/>
    <w:rsid w:val="009F374C"/>
    <w:rsid w:val="009F5B73"/>
    <w:rsid w:val="009F751C"/>
    <w:rsid w:val="009F7C70"/>
    <w:rsid w:val="00A004F0"/>
    <w:rsid w:val="00A009E9"/>
    <w:rsid w:val="00A00B52"/>
    <w:rsid w:val="00A04225"/>
    <w:rsid w:val="00A047C7"/>
    <w:rsid w:val="00A04B8B"/>
    <w:rsid w:val="00A058A5"/>
    <w:rsid w:val="00A05EA3"/>
    <w:rsid w:val="00A06016"/>
    <w:rsid w:val="00A0628C"/>
    <w:rsid w:val="00A06817"/>
    <w:rsid w:val="00A07C2C"/>
    <w:rsid w:val="00A1257A"/>
    <w:rsid w:val="00A2011D"/>
    <w:rsid w:val="00A20141"/>
    <w:rsid w:val="00A23766"/>
    <w:rsid w:val="00A25A79"/>
    <w:rsid w:val="00A25F6E"/>
    <w:rsid w:val="00A27762"/>
    <w:rsid w:val="00A31CB8"/>
    <w:rsid w:val="00A323DD"/>
    <w:rsid w:val="00A32FBF"/>
    <w:rsid w:val="00A33DDE"/>
    <w:rsid w:val="00A35A01"/>
    <w:rsid w:val="00A35E80"/>
    <w:rsid w:val="00A4386C"/>
    <w:rsid w:val="00A44BC9"/>
    <w:rsid w:val="00A465FF"/>
    <w:rsid w:val="00A46C41"/>
    <w:rsid w:val="00A521FB"/>
    <w:rsid w:val="00A5640B"/>
    <w:rsid w:val="00A56DF1"/>
    <w:rsid w:val="00A5704A"/>
    <w:rsid w:val="00A57470"/>
    <w:rsid w:val="00A604BA"/>
    <w:rsid w:val="00A616BB"/>
    <w:rsid w:val="00A61C4C"/>
    <w:rsid w:val="00A6256B"/>
    <w:rsid w:val="00A63A51"/>
    <w:rsid w:val="00A6418C"/>
    <w:rsid w:val="00A667AD"/>
    <w:rsid w:val="00A67B89"/>
    <w:rsid w:val="00A707BD"/>
    <w:rsid w:val="00A70FEA"/>
    <w:rsid w:val="00A71ACD"/>
    <w:rsid w:val="00A73BF9"/>
    <w:rsid w:val="00A75885"/>
    <w:rsid w:val="00A76063"/>
    <w:rsid w:val="00A76679"/>
    <w:rsid w:val="00A83680"/>
    <w:rsid w:val="00A85AD2"/>
    <w:rsid w:val="00A929C6"/>
    <w:rsid w:val="00A9516A"/>
    <w:rsid w:val="00A960C7"/>
    <w:rsid w:val="00AA1447"/>
    <w:rsid w:val="00AA2383"/>
    <w:rsid w:val="00AA36DD"/>
    <w:rsid w:val="00AA3F34"/>
    <w:rsid w:val="00AA5B2E"/>
    <w:rsid w:val="00AA6518"/>
    <w:rsid w:val="00AA7397"/>
    <w:rsid w:val="00AA73F4"/>
    <w:rsid w:val="00AB47B8"/>
    <w:rsid w:val="00AB48B1"/>
    <w:rsid w:val="00AB4CFF"/>
    <w:rsid w:val="00AB5ED0"/>
    <w:rsid w:val="00AC3C81"/>
    <w:rsid w:val="00AC6970"/>
    <w:rsid w:val="00AC7A0D"/>
    <w:rsid w:val="00AD0217"/>
    <w:rsid w:val="00AD7391"/>
    <w:rsid w:val="00AD791C"/>
    <w:rsid w:val="00AE0FB0"/>
    <w:rsid w:val="00AE1C0E"/>
    <w:rsid w:val="00AE42AF"/>
    <w:rsid w:val="00AE58ED"/>
    <w:rsid w:val="00AF1EA0"/>
    <w:rsid w:val="00AF39FD"/>
    <w:rsid w:val="00AF4E58"/>
    <w:rsid w:val="00AF500E"/>
    <w:rsid w:val="00AF5545"/>
    <w:rsid w:val="00AF607D"/>
    <w:rsid w:val="00AF69AB"/>
    <w:rsid w:val="00AF6E54"/>
    <w:rsid w:val="00AF7B65"/>
    <w:rsid w:val="00B00094"/>
    <w:rsid w:val="00B01AB2"/>
    <w:rsid w:val="00B01B32"/>
    <w:rsid w:val="00B07281"/>
    <w:rsid w:val="00B10CD5"/>
    <w:rsid w:val="00B11A47"/>
    <w:rsid w:val="00B13EEA"/>
    <w:rsid w:val="00B2095E"/>
    <w:rsid w:val="00B21123"/>
    <w:rsid w:val="00B22838"/>
    <w:rsid w:val="00B25CCB"/>
    <w:rsid w:val="00B311B8"/>
    <w:rsid w:val="00B3196B"/>
    <w:rsid w:val="00B32687"/>
    <w:rsid w:val="00B32FBD"/>
    <w:rsid w:val="00B41ADD"/>
    <w:rsid w:val="00B42062"/>
    <w:rsid w:val="00B421B5"/>
    <w:rsid w:val="00B424D3"/>
    <w:rsid w:val="00B45712"/>
    <w:rsid w:val="00B45FE5"/>
    <w:rsid w:val="00B464C1"/>
    <w:rsid w:val="00B46607"/>
    <w:rsid w:val="00B51746"/>
    <w:rsid w:val="00B52507"/>
    <w:rsid w:val="00B5458C"/>
    <w:rsid w:val="00B55DB0"/>
    <w:rsid w:val="00B56686"/>
    <w:rsid w:val="00B56806"/>
    <w:rsid w:val="00B60B17"/>
    <w:rsid w:val="00B60FDC"/>
    <w:rsid w:val="00B64456"/>
    <w:rsid w:val="00B64F87"/>
    <w:rsid w:val="00B65585"/>
    <w:rsid w:val="00B66505"/>
    <w:rsid w:val="00B66A22"/>
    <w:rsid w:val="00B67155"/>
    <w:rsid w:val="00B67CEA"/>
    <w:rsid w:val="00B70C15"/>
    <w:rsid w:val="00B7253F"/>
    <w:rsid w:val="00B72B35"/>
    <w:rsid w:val="00B743BF"/>
    <w:rsid w:val="00B758C0"/>
    <w:rsid w:val="00B778BA"/>
    <w:rsid w:val="00B821CA"/>
    <w:rsid w:val="00B82702"/>
    <w:rsid w:val="00B82827"/>
    <w:rsid w:val="00B83945"/>
    <w:rsid w:val="00B847E3"/>
    <w:rsid w:val="00B853F0"/>
    <w:rsid w:val="00B94873"/>
    <w:rsid w:val="00B95260"/>
    <w:rsid w:val="00B971B6"/>
    <w:rsid w:val="00B9761D"/>
    <w:rsid w:val="00BA1F5A"/>
    <w:rsid w:val="00BA2152"/>
    <w:rsid w:val="00BA33E8"/>
    <w:rsid w:val="00BA4896"/>
    <w:rsid w:val="00BA4970"/>
    <w:rsid w:val="00BA4EE2"/>
    <w:rsid w:val="00BA53BB"/>
    <w:rsid w:val="00BB0CFB"/>
    <w:rsid w:val="00BB195E"/>
    <w:rsid w:val="00BB5391"/>
    <w:rsid w:val="00BB5680"/>
    <w:rsid w:val="00BC0701"/>
    <w:rsid w:val="00BC108D"/>
    <w:rsid w:val="00BC6030"/>
    <w:rsid w:val="00BC7007"/>
    <w:rsid w:val="00BD0FD2"/>
    <w:rsid w:val="00BD12CD"/>
    <w:rsid w:val="00BD3D5D"/>
    <w:rsid w:val="00BD5BDC"/>
    <w:rsid w:val="00BD7AC9"/>
    <w:rsid w:val="00BE02B4"/>
    <w:rsid w:val="00BE0BCE"/>
    <w:rsid w:val="00BE115E"/>
    <w:rsid w:val="00BE3E14"/>
    <w:rsid w:val="00BE6657"/>
    <w:rsid w:val="00BE77BA"/>
    <w:rsid w:val="00BF1AD6"/>
    <w:rsid w:val="00BF26B8"/>
    <w:rsid w:val="00BF65B2"/>
    <w:rsid w:val="00BF7101"/>
    <w:rsid w:val="00C00448"/>
    <w:rsid w:val="00C00E23"/>
    <w:rsid w:val="00C014A3"/>
    <w:rsid w:val="00C01B28"/>
    <w:rsid w:val="00C03C6E"/>
    <w:rsid w:val="00C05490"/>
    <w:rsid w:val="00C06541"/>
    <w:rsid w:val="00C124FF"/>
    <w:rsid w:val="00C144CA"/>
    <w:rsid w:val="00C1556C"/>
    <w:rsid w:val="00C1594C"/>
    <w:rsid w:val="00C169D1"/>
    <w:rsid w:val="00C1788C"/>
    <w:rsid w:val="00C201E7"/>
    <w:rsid w:val="00C22458"/>
    <w:rsid w:val="00C234A7"/>
    <w:rsid w:val="00C244E6"/>
    <w:rsid w:val="00C26C2C"/>
    <w:rsid w:val="00C32B5F"/>
    <w:rsid w:val="00C3487C"/>
    <w:rsid w:val="00C43064"/>
    <w:rsid w:val="00C436F2"/>
    <w:rsid w:val="00C43B68"/>
    <w:rsid w:val="00C46813"/>
    <w:rsid w:val="00C570F5"/>
    <w:rsid w:val="00C608FE"/>
    <w:rsid w:val="00C61CC3"/>
    <w:rsid w:val="00C6411E"/>
    <w:rsid w:val="00C644F0"/>
    <w:rsid w:val="00C672D7"/>
    <w:rsid w:val="00C70017"/>
    <w:rsid w:val="00C73B3D"/>
    <w:rsid w:val="00C7444C"/>
    <w:rsid w:val="00C75C93"/>
    <w:rsid w:val="00C77FCA"/>
    <w:rsid w:val="00C81BC7"/>
    <w:rsid w:val="00C83BA7"/>
    <w:rsid w:val="00C83DC7"/>
    <w:rsid w:val="00C84F56"/>
    <w:rsid w:val="00C86528"/>
    <w:rsid w:val="00C87974"/>
    <w:rsid w:val="00C9189B"/>
    <w:rsid w:val="00C96152"/>
    <w:rsid w:val="00CA11FA"/>
    <w:rsid w:val="00CA1790"/>
    <w:rsid w:val="00CA2B59"/>
    <w:rsid w:val="00CA4CB4"/>
    <w:rsid w:val="00CA6A44"/>
    <w:rsid w:val="00CA6B67"/>
    <w:rsid w:val="00CA6BA2"/>
    <w:rsid w:val="00CB13E8"/>
    <w:rsid w:val="00CB21F8"/>
    <w:rsid w:val="00CB6B70"/>
    <w:rsid w:val="00CC072F"/>
    <w:rsid w:val="00CC15EE"/>
    <w:rsid w:val="00CC3667"/>
    <w:rsid w:val="00CC3D00"/>
    <w:rsid w:val="00CC50E3"/>
    <w:rsid w:val="00CC5D12"/>
    <w:rsid w:val="00CC5D4F"/>
    <w:rsid w:val="00CC5DD4"/>
    <w:rsid w:val="00CD0814"/>
    <w:rsid w:val="00CD277B"/>
    <w:rsid w:val="00CD3BEB"/>
    <w:rsid w:val="00CD4183"/>
    <w:rsid w:val="00CD7200"/>
    <w:rsid w:val="00CD73EE"/>
    <w:rsid w:val="00CE09A7"/>
    <w:rsid w:val="00CE118B"/>
    <w:rsid w:val="00CE1A50"/>
    <w:rsid w:val="00CE2526"/>
    <w:rsid w:val="00CE3175"/>
    <w:rsid w:val="00CE3A0E"/>
    <w:rsid w:val="00CF15D5"/>
    <w:rsid w:val="00CF279A"/>
    <w:rsid w:val="00CF27AD"/>
    <w:rsid w:val="00CF2E91"/>
    <w:rsid w:val="00D00215"/>
    <w:rsid w:val="00D0029B"/>
    <w:rsid w:val="00D015A0"/>
    <w:rsid w:val="00D019BF"/>
    <w:rsid w:val="00D02994"/>
    <w:rsid w:val="00D0396A"/>
    <w:rsid w:val="00D05FF2"/>
    <w:rsid w:val="00D06BD8"/>
    <w:rsid w:val="00D117FE"/>
    <w:rsid w:val="00D11D2E"/>
    <w:rsid w:val="00D13D73"/>
    <w:rsid w:val="00D16622"/>
    <w:rsid w:val="00D21CEF"/>
    <w:rsid w:val="00D21F3F"/>
    <w:rsid w:val="00D243E7"/>
    <w:rsid w:val="00D243F4"/>
    <w:rsid w:val="00D278D2"/>
    <w:rsid w:val="00D30080"/>
    <w:rsid w:val="00D31998"/>
    <w:rsid w:val="00D3584A"/>
    <w:rsid w:val="00D4012C"/>
    <w:rsid w:val="00D41406"/>
    <w:rsid w:val="00D4148E"/>
    <w:rsid w:val="00D43DE3"/>
    <w:rsid w:val="00D442CB"/>
    <w:rsid w:val="00D46685"/>
    <w:rsid w:val="00D50772"/>
    <w:rsid w:val="00D52DEB"/>
    <w:rsid w:val="00D55008"/>
    <w:rsid w:val="00D565E6"/>
    <w:rsid w:val="00D6026F"/>
    <w:rsid w:val="00D60BF7"/>
    <w:rsid w:val="00D6345D"/>
    <w:rsid w:val="00D63738"/>
    <w:rsid w:val="00D64812"/>
    <w:rsid w:val="00D65559"/>
    <w:rsid w:val="00D66B45"/>
    <w:rsid w:val="00D718A9"/>
    <w:rsid w:val="00D72027"/>
    <w:rsid w:val="00D73326"/>
    <w:rsid w:val="00D7553C"/>
    <w:rsid w:val="00D80636"/>
    <w:rsid w:val="00D8086F"/>
    <w:rsid w:val="00D811B4"/>
    <w:rsid w:val="00D83698"/>
    <w:rsid w:val="00D86D3E"/>
    <w:rsid w:val="00D87D96"/>
    <w:rsid w:val="00D90917"/>
    <w:rsid w:val="00D91C15"/>
    <w:rsid w:val="00D92D15"/>
    <w:rsid w:val="00D951A0"/>
    <w:rsid w:val="00D969BB"/>
    <w:rsid w:val="00D97613"/>
    <w:rsid w:val="00DA02FB"/>
    <w:rsid w:val="00DA3428"/>
    <w:rsid w:val="00DA6009"/>
    <w:rsid w:val="00DA6921"/>
    <w:rsid w:val="00DA7E5B"/>
    <w:rsid w:val="00DB1BFF"/>
    <w:rsid w:val="00DB3B93"/>
    <w:rsid w:val="00DB57C8"/>
    <w:rsid w:val="00DB5A5A"/>
    <w:rsid w:val="00DB6799"/>
    <w:rsid w:val="00DB6F3E"/>
    <w:rsid w:val="00DB7059"/>
    <w:rsid w:val="00DC0116"/>
    <w:rsid w:val="00DC1397"/>
    <w:rsid w:val="00DC3D8F"/>
    <w:rsid w:val="00DC5AC4"/>
    <w:rsid w:val="00DC74CA"/>
    <w:rsid w:val="00DC75E5"/>
    <w:rsid w:val="00DD52E4"/>
    <w:rsid w:val="00DD53F8"/>
    <w:rsid w:val="00DE0DC6"/>
    <w:rsid w:val="00DE152E"/>
    <w:rsid w:val="00DE43C9"/>
    <w:rsid w:val="00DE6054"/>
    <w:rsid w:val="00DF1B5D"/>
    <w:rsid w:val="00DF7B47"/>
    <w:rsid w:val="00DF7DC5"/>
    <w:rsid w:val="00E0205D"/>
    <w:rsid w:val="00E0330B"/>
    <w:rsid w:val="00E04777"/>
    <w:rsid w:val="00E05943"/>
    <w:rsid w:val="00E06119"/>
    <w:rsid w:val="00E06B6F"/>
    <w:rsid w:val="00E112CF"/>
    <w:rsid w:val="00E11D55"/>
    <w:rsid w:val="00E137B1"/>
    <w:rsid w:val="00E15212"/>
    <w:rsid w:val="00E15542"/>
    <w:rsid w:val="00E16594"/>
    <w:rsid w:val="00E16A31"/>
    <w:rsid w:val="00E17799"/>
    <w:rsid w:val="00E212D7"/>
    <w:rsid w:val="00E21EBA"/>
    <w:rsid w:val="00E24D62"/>
    <w:rsid w:val="00E25A3C"/>
    <w:rsid w:val="00E26ADD"/>
    <w:rsid w:val="00E30BE0"/>
    <w:rsid w:val="00E31107"/>
    <w:rsid w:val="00E313CB"/>
    <w:rsid w:val="00E3187E"/>
    <w:rsid w:val="00E327B6"/>
    <w:rsid w:val="00E32F9C"/>
    <w:rsid w:val="00E358EC"/>
    <w:rsid w:val="00E35E50"/>
    <w:rsid w:val="00E40E52"/>
    <w:rsid w:val="00E40EB1"/>
    <w:rsid w:val="00E428C0"/>
    <w:rsid w:val="00E44333"/>
    <w:rsid w:val="00E44C99"/>
    <w:rsid w:val="00E472C9"/>
    <w:rsid w:val="00E4765F"/>
    <w:rsid w:val="00E503D3"/>
    <w:rsid w:val="00E51811"/>
    <w:rsid w:val="00E51F80"/>
    <w:rsid w:val="00E57823"/>
    <w:rsid w:val="00E60040"/>
    <w:rsid w:val="00E637AB"/>
    <w:rsid w:val="00E63D53"/>
    <w:rsid w:val="00E658BF"/>
    <w:rsid w:val="00E7072D"/>
    <w:rsid w:val="00E74529"/>
    <w:rsid w:val="00E8007C"/>
    <w:rsid w:val="00E80728"/>
    <w:rsid w:val="00E84EF4"/>
    <w:rsid w:val="00E8554B"/>
    <w:rsid w:val="00E96EF8"/>
    <w:rsid w:val="00EA233E"/>
    <w:rsid w:val="00EA35FB"/>
    <w:rsid w:val="00EA6220"/>
    <w:rsid w:val="00EA65F6"/>
    <w:rsid w:val="00EB02D2"/>
    <w:rsid w:val="00EB3224"/>
    <w:rsid w:val="00EB3716"/>
    <w:rsid w:val="00EB583A"/>
    <w:rsid w:val="00EB5A23"/>
    <w:rsid w:val="00EC098E"/>
    <w:rsid w:val="00EC17F9"/>
    <w:rsid w:val="00EC2495"/>
    <w:rsid w:val="00EC2EA0"/>
    <w:rsid w:val="00EC32E5"/>
    <w:rsid w:val="00EC3A88"/>
    <w:rsid w:val="00EC5E07"/>
    <w:rsid w:val="00EC6994"/>
    <w:rsid w:val="00EC7CD2"/>
    <w:rsid w:val="00ED2677"/>
    <w:rsid w:val="00ED3D1B"/>
    <w:rsid w:val="00ED6C06"/>
    <w:rsid w:val="00ED71D9"/>
    <w:rsid w:val="00ED762E"/>
    <w:rsid w:val="00EE0F0E"/>
    <w:rsid w:val="00EE2D0A"/>
    <w:rsid w:val="00EE3ABE"/>
    <w:rsid w:val="00EE4640"/>
    <w:rsid w:val="00EF2DC4"/>
    <w:rsid w:val="00EF4E2F"/>
    <w:rsid w:val="00F01D4C"/>
    <w:rsid w:val="00F02B0A"/>
    <w:rsid w:val="00F04960"/>
    <w:rsid w:val="00F07151"/>
    <w:rsid w:val="00F112EA"/>
    <w:rsid w:val="00F11DB1"/>
    <w:rsid w:val="00F12ECC"/>
    <w:rsid w:val="00F14719"/>
    <w:rsid w:val="00F14818"/>
    <w:rsid w:val="00F16D91"/>
    <w:rsid w:val="00F16EAB"/>
    <w:rsid w:val="00F231AF"/>
    <w:rsid w:val="00F24CF0"/>
    <w:rsid w:val="00F30652"/>
    <w:rsid w:val="00F31E2A"/>
    <w:rsid w:val="00F32855"/>
    <w:rsid w:val="00F33509"/>
    <w:rsid w:val="00F3649D"/>
    <w:rsid w:val="00F412B9"/>
    <w:rsid w:val="00F439F0"/>
    <w:rsid w:val="00F43C54"/>
    <w:rsid w:val="00F44BA6"/>
    <w:rsid w:val="00F4590A"/>
    <w:rsid w:val="00F46B3E"/>
    <w:rsid w:val="00F52076"/>
    <w:rsid w:val="00F5297D"/>
    <w:rsid w:val="00F5408F"/>
    <w:rsid w:val="00F60734"/>
    <w:rsid w:val="00F6174F"/>
    <w:rsid w:val="00F64D58"/>
    <w:rsid w:val="00F71359"/>
    <w:rsid w:val="00F716D3"/>
    <w:rsid w:val="00F73CED"/>
    <w:rsid w:val="00F7468E"/>
    <w:rsid w:val="00F74F6C"/>
    <w:rsid w:val="00F75ECE"/>
    <w:rsid w:val="00F85505"/>
    <w:rsid w:val="00F86B81"/>
    <w:rsid w:val="00F87C7C"/>
    <w:rsid w:val="00F91B3F"/>
    <w:rsid w:val="00F9369C"/>
    <w:rsid w:val="00F97EA3"/>
    <w:rsid w:val="00FA0333"/>
    <w:rsid w:val="00FA1038"/>
    <w:rsid w:val="00FA2615"/>
    <w:rsid w:val="00FA3D76"/>
    <w:rsid w:val="00FA5AC9"/>
    <w:rsid w:val="00FA5C23"/>
    <w:rsid w:val="00FB09DF"/>
    <w:rsid w:val="00FB4DF7"/>
    <w:rsid w:val="00FB4FC0"/>
    <w:rsid w:val="00FB6462"/>
    <w:rsid w:val="00FB6E9A"/>
    <w:rsid w:val="00FC0CA5"/>
    <w:rsid w:val="00FC177A"/>
    <w:rsid w:val="00FC2052"/>
    <w:rsid w:val="00FD0DD7"/>
    <w:rsid w:val="00FD26C2"/>
    <w:rsid w:val="00FD5190"/>
    <w:rsid w:val="00FE1E86"/>
    <w:rsid w:val="00FE2EF3"/>
    <w:rsid w:val="00FE55C9"/>
    <w:rsid w:val="00FF08AF"/>
    <w:rsid w:val="00FF09AF"/>
    <w:rsid w:val="00FF10F2"/>
    <w:rsid w:val="00FF22DD"/>
    <w:rsid w:val="00FF2844"/>
    <w:rsid w:val="00FF2B11"/>
    <w:rsid w:val="00FF4791"/>
    <w:rsid w:val="00FF68C8"/>
    <w:rsid w:val="00FF75AD"/>
    <w:rsid w:val="00FF7A37"/>
    <w:rsid w:val="0A0900AC"/>
    <w:rsid w:val="10FB5E9E"/>
    <w:rsid w:val="140B32C1"/>
    <w:rsid w:val="1761644E"/>
    <w:rsid w:val="179A7A07"/>
    <w:rsid w:val="17DEEBCF"/>
    <w:rsid w:val="1FEF9318"/>
    <w:rsid w:val="22567D4F"/>
    <w:rsid w:val="2529726D"/>
    <w:rsid w:val="2D2C5547"/>
    <w:rsid w:val="2F1F765B"/>
    <w:rsid w:val="2F7D3ECE"/>
    <w:rsid w:val="36405416"/>
    <w:rsid w:val="364F5EB9"/>
    <w:rsid w:val="373F2936"/>
    <w:rsid w:val="3BB725FB"/>
    <w:rsid w:val="3D3759A6"/>
    <w:rsid w:val="3DB42A25"/>
    <w:rsid w:val="3F7E097F"/>
    <w:rsid w:val="3F8E99FA"/>
    <w:rsid w:val="3FDF0B62"/>
    <w:rsid w:val="3FFF7AA5"/>
    <w:rsid w:val="47961BC0"/>
    <w:rsid w:val="48537D92"/>
    <w:rsid w:val="48AF1842"/>
    <w:rsid w:val="506D4624"/>
    <w:rsid w:val="51281604"/>
    <w:rsid w:val="530A0E69"/>
    <w:rsid w:val="55BB2B19"/>
    <w:rsid w:val="55ECE876"/>
    <w:rsid w:val="56F6564B"/>
    <w:rsid w:val="56FDFAF8"/>
    <w:rsid w:val="59E59F53"/>
    <w:rsid w:val="5BF0495A"/>
    <w:rsid w:val="5D7BD1A9"/>
    <w:rsid w:val="5FEEC396"/>
    <w:rsid w:val="625000BB"/>
    <w:rsid w:val="648324EA"/>
    <w:rsid w:val="65B33B8D"/>
    <w:rsid w:val="67AF9161"/>
    <w:rsid w:val="67E3B522"/>
    <w:rsid w:val="67F913AD"/>
    <w:rsid w:val="6E737DF5"/>
    <w:rsid w:val="6F7679A1"/>
    <w:rsid w:val="6FFF011D"/>
    <w:rsid w:val="6FFF9685"/>
    <w:rsid w:val="737A6D69"/>
    <w:rsid w:val="73C85EDC"/>
    <w:rsid w:val="73DF3155"/>
    <w:rsid w:val="757D7C46"/>
    <w:rsid w:val="777F5F68"/>
    <w:rsid w:val="77EF2C1D"/>
    <w:rsid w:val="77F770E1"/>
    <w:rsid w:val="79BED363"/>
    <w:rsid w:val="7B4D58E2"/>
    <w:rsid w:val="7B67DBE6"/>
    <w:rsid w:val="7B6FA098"/>
    <w:rsid w:val="7B9DBB28"/>
    <w:rsid w:val="7BBF8E44"/>
    <w:rsid w:val="7BDF7629"/>
    <w:rsid w:val="7D1F66AE"/>
    <w:rsid w:val="7DBFFB54"/>
    <w:rsid w:val="7EE90604"/>
    <w:rsid w:val="7F5E8308"/>
    <w:rsid w:val="7F7D87DA"/>
    <w:rsid w:val="7F7F1B1F"/>
    <w:rsid w:val="7F7F7BD3"/>
    <w:rsid w:val="7FABF386"/>
    <w:rsid w:val="7FAD3997"/>
    <w:rsid w:val="7FB7EAFB"/>
    <w:rsid w:val="7FF68EE9"/>
    <w:rsid w:val="7FFFBFDB"/>
    <w:rsid w:val="93E77EB1"/>
    <w:rsid w:val="9FFC0592"/>
    <w:rsid w:val="AD5D10C2"/>
    <w:rsid w:val="ADBD48C4"/>
    <w:rsid w:val="B3BBE545"/>
    <w:rsid w:val="BB676FEA"/>
    <w:rsid w:val="BCEF44E3"/>
    <w:rsid w:val="BE6F2323"/>
    <w:rsid w:val="C6F0C13D"/>
    <w:rsid w:val="D3BD8327"/>
    <w:rsid w:val="D5F7D469"/>
    <w:rsid w:val="D67C311F"/>
    <w:rsid w:val="DA77B845"/>
    <w:rsid w:val="DBBF999F"/>
    <w:rsid w:val="DBF5A96F"/>
    <w:rsid w:val="DFBB38F1"/>
    <w:rsid w:val="E3DB5CD3"/>
    <w:rsid w:val="E7A8B2C9"/>
    <w:rsid w:val="E7F9553A"/>
    <w:rsid w:val="EBF5E202"/>
    <w:rsid w:val="EEEFFF54"/>
    <w:rsid w:val="F19F60B5"/>
    <w:rsid w:val="F3C3FD38"/>
    <w:rsid w:val="F6A3F2CB"/>
    <w:rsid w:val="F6BF5633"/>
    <w:rsid w:val="F6E71396"/>
    <w:rsid w:val="F7CB803F"/>
    <w:rsid w:val="F7EE663F"/>
    <w:rsid w:val="F7F7E88C"/>
    <w:rsid w:val="F7FFAF72"/>
    <w:rsid w:val="F9EF1BC4"/>
    <w:rsid w:val="FCFFB409"/>
    <w:rsid w:val="FDFF1E2D"/>
    <w:rsid w:val="FEF192DC"/>
    <w:rsid w:val="FF1E8443"/>
    <w:rsid w:val="FFBF9193"/>
    <w:rsid w:val="FFF86D3D"/>
    <w:rsid w:val="FFFDB1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0"/>
    <w:pPr>
      <w:keepNext/>
      <w:keepLines/>
      <w:spacing w:before="100" w:beforeAutospacing="1" w:after="100" w:afterAutospacing="1" w:line="578" w:lineRule="auto"/>
      <w:jc w:val="center"/>
      <w:outlineLvl w:val="0"/>
    </w:pPr>
    <w:rPr>
      <w:b/>
      <w:bCs/>
      <w:kern w:val="44"/>
      <w:sz w:val="44"/>
      <w:szCs w:val="44"/>
    </w:rPr>
  </w:style>
  <w:style w:type="paragraph" w:styleId="3">
    <w:name w:val="heading 2"/>
    <w:basedOn w:val="1"/>
    <w:next w:val="1"/>
    <w:link w:val="29"/>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30"/>
    <w:unhideWhenUsed/>
    <w:qFormat/>
    <w:uiPriority w:val="9"/>
    <w:pPr>
      <w:keepNext/>
      <w:keepLines/>
      <w:spacing w:before="280" w:after="290" w:line="376" w:lineRule="auto"/>
      <w:outlineLvl w:val="3"/>
    </w:pPr>
    <w:rPr>
      <w:rFonts w:ascii="Cambria" w:hAnsi="Cambria"/>
      <w:b/>
      <w:bCs/>
      <w:sz w:val="28"/>
      <w:szCs w:val="28"/>
    </w:rPr>
  </w:style>
  <w:style w:type="character" w:default="1" w:styleId="22">
    <w:name w:val="Default Paragraph Font"/>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1"/>
    <w:unhideWhenUsed/>
    <w:qFormat/>
    <w:uiPriority w:val="99"/>
    <w:pPr>
      <w:jc w:val="left"/>
    </w:pPr>
  </w:style>
  <w:style w:type="paragraph" w:styleId="7">
    <w:name w:val="Body Text Indent"/>
    <w:basedOn w:val="1"/>
    <w:link w:val="32"/>
    <w:qFormat/>
    <w:uiPriority w:val="0"/>
    <w:pPr>
      <w:spacing w:line="300" w:lineRule="auto"/>
      <w:ind w:firstLine="560" w:firstLineChars="200"/>
    </w:pPr>
    <w:rPr>
      <w:sz w:val="28"/>
      <w:szCs w:val="28"/>
    </w:rPr>
  </w:style>
  <w:style w:type="paragraph" w:styleId="8">
    <w:name w:val="toc 3"/>
    <w:basedOn w:val="1"/>
    <w:next w:val="1"/>
    <w:unhideWhenUsed/>
    <w:qFormat/>
    <w:uiPriority w:val="39"/>
    <w:pPr>
      <w:ind w:left="840" w:leftChars="400"/>
    </w:pPr>
  </w:style>
  <w:style w:type="paragraph" w:styleId="9">
    <w:name w:val="Plain Text"/>
    <w:basedOn w:val="1"/>
    <w:link w:val="33"/>
    <w:qFormat/>
    <w:uiPriority w:val="0"/>
    <w:rPr>
      <w:rFonts w:ascii="宋体" w:hAnsi="Courier New"/>
      <w:szCs w:val="20"/>
    </w:rPr>
  </w:style>
  <w:style w:type="paragraph" w:styleId="10">
    <w:name w:val="Date"/>
    <w:basedOn w:val="1"/>
    <w:next w:val="1"/>
    <w:link w:val="34"/>
    <w:unhideWhenUsed/>
    <w:qFormat/>
    <w:uiPriority w:val="99"/>
    <w:pPr>
      <w:ind w:left="100" w:leftChars="2500"/>
    </w:pPr>
  </w:style>
  <w:style w:type="paragraph" w:styleId="11">
    <w:name w:val="Body Text Indent 2"/>
    <w:basedOn w:val="1"/>
    <w:link w:val="35"/>
    <w:qFormat/>
    <w:uiPriority w:val="0"/>
    <w:pPr>
      <w:spacing w:after="120" w:line="480" w:lineRule="auto"/>
      <w:ind w:left="420" w:leftChars="200"/>
    </w:pPr>
  </w:style>
  <w:style w:type="paragraph" w:styleId="12">
    <w:name w:val="Balloon Text"/>
    <w:basedOn w:val="1"/>
    <w:link w:val="36"/>
    <w:qFormat/>
    <w:uiPriority w:val="0"/>
    <w:rPr>
      <w:sz w:val="18"/>
      <w:szCs w:val="18"/>
    </w:rPr>
  </w:style>
  <w:style w:type="paragraph" w:styleId="13">
    <w:name w:val="footer"/>
    <w:basedOn w:val="1"/>
    <w:link w:val="37"/>
    <w:qFormat/>
    <w:uiPriority w:val="99"/>
    <w:pPr>
      <w:tabs>
        <w:tab w:val="center" w:pos="4153"/>
        <w:tab w:val="right" w:pos="8306"/>
      </w:tabs>
      <w:snapToGrid w:val="0"/>
      <w:jc w:val="left"/>
    </w:pPr>
    <w:rPr>
      <w:sz w:val="18"/>
      <w:szCs w:val="18"/>
    </w:rPr>
  </w:style>
  <w:style w:type="paragraph" w:styleId="14">
    <w:name w:val="header"/>
    <w:basedOn w:val="1"/>
    <w:link w:val="38"/>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toc 2"/>
    <w:basedOn w:val="1"/>
    <w:next w:val="1"/>
    <w:unhideWhenUsed/>
    <w:qFormat/>
    <w:uiPriority w:val="39"/>
    <w:pPr>
      <w:ind w:left="420" w:leftChars="200"/>
    </w:pPr>
  </w:style>
  <w:style w:type="paragraph" w:styleId="17">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8">
    <w:name w:val="annotation subject"/>
    <w:basedOn w:val="6"/>
    <w:next w:val="6"/>
    <w:link w:val="39"/>
    <w:unhideWhenUsed/>
    <w:qFormat/>
    <w:uiPriority w:val="99"/>
    <w:rPr>
      <w:b/>
      <w:bCs/>
    </w:rPr>
  </w:style>
  <w:style w:type="paragraph" w:styleId="19">
    <w:name w:val="Body Text First Indent 2"/>
    <w:basedOn w:val="1"/>
    <w:qFormat/>
    <w:uiPriority w:val="0"/>
    <w:pPr>
      <w:ind w:firstLine="200" w:firstLineChars="200"/>
    </w:p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rPr>
  </w:style>
  <w:style w:type="character" w:styleId="24">
    <w:name w:val="page number"/>
    <w:basedOn w:val="22"/>
    <w:qFormat/>
    <w:uiPriority w:val="0"/>
  </w:style>
  <w:style w:type="character" w:styleId="25">
    <w:name w:val="FollowedHyperlink"/>
    <w:basedOn w:val="22"/>
    <w:semiHidden/>
    <w:unhideWhenUsed/>
    <w:qFormat/>
    <w:uiPriority w:val="99"/>
    <w:rPr>
      <w:color w:val="800080" w:themeColor="followedHyperlink"/>
      <w:u w:val="single"/>
      <w14:textFill>
        <w14:solidFill>
          <w14:schemeClr w14:val="folHlink"/>
        </w14:solidFill>
      </w14:textFill>
    </w:rPr>
  </w:style>
  <w:style w:type="character" w:styleId="26">
    <w:name w:val="Hyperlink"/>
    <w:qFormat/>
    <w:uiPriority w:val="99"/>
    <w:rPr>
      <w:color w:val="0000FF"/>
      <w:u w:val="single"/>
    </w:rPr>
  </w:style>
  <w:style w:type="character" w:styleId="27">
    <w:name w:val="annotation reference"/>
    <w:unhideWhenUsed/>
    <w:qFormat/>
    <w:uiPriority w:val="99"/>
    <w:rPr>
      <w:sz w:val="21"/>
      <w:szCs w:val="21"/>
    </w:rPr>
  </w:style>
  <w:style w:type="character" w:customStyle="1" w:styleId="28">
    <w:name w:val="标题 1 字符"/>
    <w:link w:val="2"/>
    <w:qFormat/>
    <w:uiPriority w:val="0"/>
    <w:rPr>
      <w:b/>
      <w:bCs/>
      <w:kern w:val="44"/>
      <w:sz w:val="44"/>
      <w:szCs w:val="44"/>
    </w:rPr>
  </w:style>
  <w:style w:type="character" w:customStyle="1" w:styleId="29">
    <w:name w:val="标题 2 字符"/>
    <w:link w:val="3"/>
    <w:semiHidden/>
    <w:qFormat/>
    <w:uiPriority w:val="9"/>
    <w:rPr>
      <w:rFonts w:ascii="Cambria" w:hAnsi="Cambria" w:eastAsia="宋体" w:cs="Times New Roman"/>
      <w:b/>
      <w:bCs/>
      <w:kern w:val="2"/>
      <w:sz w:val="32"/>
      <w:szCs w:val="32"/>
    </w:rPr>
  </w:style>
  <w:style w:type="character" w:customStyle="1" w:styleId="30">
    <w:name w:val="标题 4 字符"/>
    <w:link w:val="5"/>
    <w:semiHidden/>
    <w:qFormat/>
    <w:uiPriority w:val="9"/>
    <w:rPr>
      <w:rFonts w:ascii="Cambria" w:hAnsi="Cambria" w:eastAsia="宋体" w:cs="Times New Roman"/>
      <w:b/>
      <w:bCs/>
      <w:kern w:val="2"/>
      <w:sz w:val="28"/>
      <w:szCs w:val="28"/>
    </w:rPr>
  </w:style>
  <w:style w:type="character" w:customStyle="1" w:styleId="31">
    <w:name w:val="批注文字 字符"/>
    <w:link w:val="6"/>
    <w:semiHidden/>
    <w:qFormat/>
    <w:uiPriority w:val="99"/>
    <w:rPr>
      <w:kern w:val="2"/>
      <w:sz w:val="21"/>
      <w:szCs w:val="24"/>
    </w:rPr>
  </w:style>
  <w:style w:type="character" w:customStyle="1" w:styleId="32">
    <w:name w:val="正文文本缩进 字符"/>
    <w:link w:val="7"/>
    <w:qFormat/>
    <w:uiPriority w:val="0"/>
    <w:rPr>
      <w:kern w:val="2"/>
      <w:sz w:val="28"/>
      <w:szCs w:val="28"/>
    </w:rPr>
  </w:style>
  <w:style w:type="character" w:customStyle="1" w:styleId="33">
    <w:name w:val="纯文本 字符"/>
    <w:link w:val="9"/>
    <w:qFormat/>
    <w:uiPriority w:val="0"/>
    <w:rPr>
      <w:rFonts w:ascii="宋体" w:hAnsi="Courier New"/>
      <w:kern w:val="2"/>
      <w:sz w:val="21"/>
    </w:rPr>
  </w:style>
  <w:style w:type="character" w:customStyle="1" w:styleId="34">
    <w:name w:val="日期 字符"/>
    <w:link w:val="10"/>
    <w:semiHidden/>
    <w:qFormat/>
    <w:uiPriority w:val="99"/>
    <w:rPr>
      <w:kern w:val="2"/>
      <w:sz w:val="21"/>
      <w:szCs w:val="24"/>
    </w:rPr>
  </w:style>
  <w:style w:type="character" w:customStyle="1" w:styleId="35">
    <w:name w:val="正文文本缩进 2 字符"/>
    <w:link w:val="11"/>
    <w:qFormat/>
    <w:uiPriority w:val="0"/>
    <w:rPr>
      <w:kern w:val="2"/>
      <w:sz w:val="21"/>
      <w:szCs w:val="24"/>
    </w:rPr>
  </w:style>
  <w:style w:type="character" w:customStyle="1" w:styleId="36">
    <w:name w:val="批注框文本 字符"/>
    <w:link w:val="12"/>
    <w:qFormat/>
    <w:uiPriority w:val="0"/>
    <w:rPr>
      <w:rFonts w:ascii="Times New Roman" w:hAnsi="Times New Roman"/>
      <w:kern w:val="2"/>
      <w:sz w:val="18"/>
      <w:szCs w:val="18"/>
    </w:rPr>
  </w:style>
  <w:style w:type="character" w:customStyle="1" w:styleId="37">
    <w:name w:val="页脚 字符1"/>
    <w:link w:val="13"/>
    <w:qFormat/>
    <w:uiPriority w:val="99"/>
    <w:rPr>
      <w:rFonts w:ascii="Times New Roman" w:hAnsi="Times New Roman"/>
      <w:kern w:val="2"/>
      <w:sz w:val="18"/>
      <w:szCs w:val="18"/>
    </w:rPr>
  </w:style>
  <w:style w:type="character" w:customStyle="1" w:styleId="38">
    <w:name w:val="页眉 字符"/>
    <w:link w:val="14"/>
    <w:qFormat/>
    <w:uiPriority w:val="99"/>
    <w:rPr>
      <w:rFonts w:ascii="Times New Roman" w:hAnsi="Times New Roman"/>
      <w:kern w:val="2"/>
      <w:sz w:val="18"/>
      <w:szCs w:val="18"/>
    </w:rPr>
  </w:style>
  <w:style w:type="character" w:customStyle="1" w:styleId="39">
    <w:name w:val="批注主题 字符"/>
    <w:link w:val="18"/>
    <w:semiHidden/>
    <w:qFormat/>
    <w:uiPriority w:val="99"/>
    <w:rPr>
      <w:b/>
      <w:bCs/>
      <w:kern w:val="2"/>
      <w:sz w:val="21"/>
      <w:szCs w:val="24"/>
    </w:rPr>
  </w:style>
  <w:style w:type="character" w:customStyle="1" w:styleId="40">
    <w:name w:val="文档结构图 Char"/>
    <w:link w:val="41"/>
    <w:qFormat/>
    <w:uiPriority w:val="0"/>
    <w:rPr>
      <w:rFonts w:ascii="宋体" w:hAnsi="Times New Roman"/>
      <w:kern w:val="2"/>
      <w:sz w:val="18"/>
      <w:szCs w:val="18"/>
    </w:rPr>
  </w:style>
  <w:style w:type="paragraph" w:customStyle="1" w:styleId="41">
    <w:name w:val="文档结构图1"/>
    <w:basedOn w:val="1"/>
    <w:link w:val="40"/>
    <w:qFormat/>
    <w:uiPriority w:val="0"/>
    <w:rPr>
      <w:rFonts w:ascii="宋体"/>
      <w:sz w:val="18"/>
      <w:szCs w:val="18"/>
    </w:rPr>
  </w:style>
  <w:style w:type="character" w:customStyle="1" w:styleId="42">
    <w:name w:val="title21"/>
    <w:qFormat/>
    <w:uiPriority w:val="0"/>
    <w:rPr>
      <w:rFonts w:hint="eastAsia" w:ascii="楷体_GB2312" w:eastAsia="楷体_GB2312"/>
      <w:color w:val="FF0000"/>
      <w:sz w:val="30"/>
      <w:szCs w:val="30"/>
      <w:u w:val="none"/>
    </w:rPr>
  </w:style>
  <w:style w:type="character" w:customStyle="1" w:styleId="43">
    <w:name w:val="纯文本 Char1"/>
    <w:semiHidden/>
    <w:qFormat/>
    <w:uiPriority w:val="99"/>
    <w:rPr>
      <w:rFonts w:ascii="宋体" w:hAnsi="Courier New" w:cs="Courier New"/>
      <w:kern w:val="2"/>
      <w:sz w:val="21"/>
      <w:szCs w:val="21"/>
    </w:rPr>
  </w:style>
  <w:style w:type="paragraph" w:customStyle="1" w:styleId="44">
    <w:name w:val="段落"/>
    <w:basedOn w:val="1"/>
    <w:qFormat/>
    <w:uiPriority w:val="0"/>
    <w:pPr>
      <w:widowControl/>
      <w:adjustRightInd w:val="0"/>
      <w:spacing w:line="420" w:lineRule="exact"/>
      <w:ind w:firstLine="520" w:firstLineChars="200"/>
      <w:textAlignment w:val="baseline"/>
    </w:pPr>
    <w:rPr>
      <w:spacing w:val="10"/>
      <w:kern w:val="0"/>
      <w:sz w:val="24"/>
      <w:szCs w:val="20"/>
    </w:rPr>
  </w:style>
  <w:style w:type="paragraph" w:customStyle="1" w:styleId="45">
    <w:name w:val="标题2"/>
    <w:basedOn w:val="1"/>
    <w:next w:val="1"/>
    <w:qFormat/>
    <w:uiPriority w:val="0"/>
    <w:rPr>
      <w:rFonts w:ascii="黑体" w:hAnsi="宋体" w:eastAsia="黑体"/>
      <w:sz w:val="28"/>
      <w:szCs w:val="28"/>
    </w:rPr>
  </w:style>
  <w:style w:type="paragraph" w:customStyle="1" w:styleId="46">
    <w:name w:val="标题3"/>
    <w:basedOn w:val="45"/>
    <w:qFormat/>
    <w:uiPriority w:val="0"/>
    <w:rPr>
      <w:sz w:val="24"/>
    </w:rPr>
  </w:style>
  <w:style w:type="paragraph" w:customStyle="1" w:styleId="47">
    <w:name w:val="_Style 43"/>
    <w:basedOn w:val="2"/>
    <w:next w:val="1"/>
    <w:unhideWhenUsed/>
    <w:qFormat/>
    <w:uiPriority w:val="39"/>
    <w:pPr>
      <w:widowControl/>
      <w:spacing w:before="480" w:beforeAutospacing="0" w:after="0" w:afterAutospacing="0" w:line="276" w:lineRule="auto"/>
      <w:jc w:val="left"/>
      <w:outlineLvl w:val="9"/>
    </w:pPr>
    <w:rPr>
      <w:rFonts w:ascii="Cambria" w:hAnsi="Cambria"/>
      <w:color w:val="365F91"/>
      <w:kern w:val="0"/>
      <w:sz w:val="28"/>
      <w:szCs w:val="28"/>
    </w:rPr>
  </w:style>
  <w:style w:type="paragraph" w:styleId="48">
    <w:name w:val="No Spacing"/>
    <w:link w:val="49"/>
    <w:qFormat/>
    <w:uiPriority w:val="1"/>
    <w:rPr>
      <w:rFonts w:ascii="Calibri" w:hAnsi="Calibri" w:eastAsia="宋体" w:cs="Times New Roman"/>
      <w:sz w:val="22"/>
      <w:szCs w:val="22"/>
      <w:lang w:val="en-US" w:eastAsia="zh-CN" w:bidi="ar-SA"/>
    </w:rPr>
  </w:style>
  <w:style w:type="character" w:customStyle="1" w:styleId="49">
    <w:name w:val="无间隔 字符"/>
    <w:link w:val="48"/>
    <w:qFormat/>
    <w:uiPriority w:val="1"/>
    <w:rPr>
      <w:rFonts w:ascii="Calibri" w:hAnsi="Calibri"/>
      <w:sz w:val="22"/>
      <w:szCs w:val="22"/>
      <w:lang w:bidi="ar-SA"/>
    </w:rPr>
  </w:style>
  <w:style w:type="paragraph" w:customStyle="1" w:styleId="50">
    <w:name w:val="_Style 46"/>
    <w:semiHidden/>
    <w:qFormat/>
    <w:uiPriority w:val="99"/>
    <w:rPr>
      <w:rFonts w:ascii="Times New Roman" w:hAnsi="Times New Roman" w:eastAsia="宋体" w:cs="Times New Roman"/>
      <w:kern w:val="2"/>
      <w:sz w:val="21"/>
      <w:szCs w:val="24"/>
      <w:lang w:val="en-US" w:eastAsia="zh-CN" w:bidi="ar-SA"/>
    </w:rPr>
  </w:style>
  <w:style w:type="paragraph" w:customStyle="1" w:styleId="51">
    <w:name w:val="正文 New"/>
    <w:qFormat/>
    <w:uiPriority w:val="0"/>
    <w:pPr>
      <w:widowControl w:val="0"/>
      <w:jc w:val="both"/>
    </w:pPr>
    <w:rPr>
      <w:rFonts w:ascii="Times New Roman" w:hAnsi="Times New Roman" w:eastAsia="宋体" w:cs="Times New Roman"/>
      <w:kern w:val="2"/>
      <w:sz w:val="21"/>
      <w:lang w:val="en-US" w:eastAsia="zh-CN" w:bidi="ar-SA"/>
    </w:rPr>
  </w:style>
  <w:style w:type="paragraph" w:styleId="52">
    <w:name w:val="List Paragraph"/>
    <w:basedOn w:val="1"/>
    <w:qFormat/>
    <w:uiPriority w:val="34"/>
    <w:pPr>
      <w:ind w:firstLine="420" w:firstLineChars="200"/>
    </w:pPr>
    <w:rPr>
      <w:rFonts w:ascii="Calibri" w:hAnsi="Calibri"/>
      <w:szCs w:val="22"/>
    </w:rPr>
  </w:style>
  <w:style w:type="character" w:customStyle="1" w:styleId="53">
    <w:name w:val="页脚 字符"/>
    <w:qFormat/>
    <w:uiPriority w:val="99"/>
  </w:style>
  <w:style w:type="paragraph" w:customStyle="1" w:styleId="54">
    <w:name w:val="EndNote Bibliography"/>
    <w:basedOn w:val="1"/>
    <w:link w:val="55"/>
    <w:qFormat/>
    <w:uiPriority w:val="0"/>
    <w:rPr>
      <w:sz w:val="24"/>
      <w:szCs w:val="22"/>
    </w:rPr>
  </w:style>
  <w:style w:type="character" w:customStyle="1" w:styleId="55">
    <w:name w:val="EndNote Bibliography Char"/>
    <w:link w:val="54"/>
    <w:qFormat/>
    <w:uiPriority w:val="0"/>
    <w:rPr>
      <w:kern w:val="2"/>
      <w:sz w:val="24"/>
      <w:szCs w:val="22"/>
    </w:rPr>
  </w:style>
  <w:style w:type="paragraph" w:customStyle="1" w:styleId="56">
    <w:name w:val="普通标题"/>
    <w:basedOn w:val="1"/>
    <w:next w:val="1"/>
    <w:qFormat/>
    <w:uiPriority w:val="0"/>
    <w:pPr>
      <w:spacing w:before="100" w:beforeLines="100" w:after="200" w:afterLines="200"/>
      <w:jc w:val="center"/>
    </w:pPr>
    <w:rPr>
      <w:b/>
      <w:sz w:val="36"/>
      <w:szCs w:val="36"/>
    </w:rPr>
  </w:style>
  <w:style w:type="character" w:customStyle="1" w:styleId="57">
    <w:name w:val="未处理的提及1"/>
    <w:basedOn w:val="22"/>
    <w:semiHidden/>
    <w:unhideWhenUsed/>
    <w:qFormat/>
    <w:uiPriority w:val="99"/>
    <w:rPr>
      <w:color w:val="605E5C"/>
      <w:shd w:val="clear" w:color="auto" w:fill="E1DFDD"/>
    </w:rPr>
  </w:style>
  <w:style w:type="character" w:customStyle="1" w:styleId="58">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footer" Target="footer2.xml"/><Relationship Id="rId39" Type="http://schemas.openxmlformats.org/officeDocument/2006/relationships/customXml" Target="../customXml/item1.xml"/><Relationship Id="rId38" Type="http://schemas.openxmlformats.org/officeDocument/2006/relationships/image" Target="media/image15.png"/><Relationship Id="rId37" Type="http://schemas.openxmlformats.org/officeDocument/2006/relationships/image" Target="media/image14.png"/><Relationship Id="rId36" Type="http://schemas.openxmlformats.org/officeDocument/2006/relationships/image" Target="media/image13.png"/><Relationship Id="rId35" Type="http://schemas.openxmlformats.org/officeDocument/2006/relationships/image" Target="media/image12.png"/><Relationship Id="rId34" Type="http://schemas.openxmlformats.org/officeDocument/2006/relationships/image" Target="media/image11.png"/><Relationship Id="rId33" Type="http://schemas.openxmlformats.org/officeDocument/2006/relationships/image" Target="media/image10.png"/><Relationship Id="rId32" Type="http://schemas.openxmlformats.org/officeDocument/2006/relationships/image" Target="media/image9.png"/><Relationship Id="rId31" Type="http://schemas.openxmlformats.org/officeDocument/2006/relationships/image" Target="media/image8.svg"/><Relationship Id="rId30" Type="http://schemas.openxmlformats.org/officeDocument/2006/relationships/image" Target="media/image7.png"/><Relationship Id="rId3" Type="http://schemas.openxmlformats.org/officeDocument/2006/relationships/footer" Target="footer1.xml"/><Relationship Id="rId29" Type="http://schemas.openxmlformats.org/officeDocument/2006/relationships/image" Target="media/image6.png"/><Relationship Id="rId28" Type="http://schemas.openxmlformats.org/officeDocument/2006/relationships/image" Target="media/image5.sv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image" Target="media/image1.jpeg"/><Relationship Id="rId23" Type="http://schemas.openxmlformats.org/officeDocument/2006/relationships/theme" Target="theme/theme1.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extobjs>
    <extobj name="E657119C-6982-421D-8BA7-E74DEB70A7DA-1">
      <extobjdata type="E657119C-6982-421D-8BA7-E74DEB70A7DA" data="ewoJIkxhdGV4U3RyIiA6ICJ7e1h9X3tzY2FsZX19PVxcZnJhY3tYLVxcYmFye1h9fXtcXHNpZ21hIChYKX0iCn0K"/>
    </extobj>
    <extobj name="E657119C-6982-421D-8BA7-E74DEB70A7DA-2">
      <extobjdata type="E657119C-6982-421D-8BA7-E74DEB70A7DA" data="ewoJIkxhdGV4U3RyIiA6ICJUPVxcYmlnY3VwX3trPTF9XnttfXtcXGJpZ2N1cF97aT0xfV57e3tufV97a319fXt7e1N9X3trLGl9fX19Igp9Cg=="/>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BEB42C-4F8C-4556-AC46-27685906731F}">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3120</Words>
  <Characters>5529</Characters>
  <Lines>308</Lines>
  <Paragraphs>86</Paragraphs>
  <TotalTime>15</TotalTime>
  <ScaleCrop>false</ScaleCrop>
  <LinksUpToDate>false</LinksUpToDate>
  <CharactersWithSpaces>5999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2020-05-03T00:13:00Z</dcterms:created>
  <dc:creator>邴涛</dc:creator>
  <cp:lastModifiedBy>张耀霖</cp:lastModifiedBy>
  <cp:lastPrinted>2017-07-03T05:38:00Z</cp:lastPrinted>
  <dcterms:modified xsi:type="dcterms:W3CDTF">2026-04-23T10:40:47Z</dcterms:modified>
  <dc:title>霍明虹</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1736AB9260022F6B9649E26954D22F8F_43</vt:lpwstr>
  </property>
  <property fmtid="{D5CDD505-2E9C-101B-9397-08002B2CF9AE}" pid="4" name="KSOTemplateDocerSaveRecord">
    <vt:lpwstr>eyJoZGlkIjoiNzhjZjQ1MTNmY2QxNDUwNWRkMWU5YTI0OTg2NThjNDQiLCJ1c2VySWQiOiI4NTY4ODk3NzMifQ==</vt:lpwstr>
  </property>
</Properties>
</file>