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18C999" w14:textId="63B72A3B" w:rsidR="00BF5B06" w:rsidRDefault="00BF5B06"/>
    <w:p w14:paraId="5AFABF3B" w14:textId="2A220073" w:rsidR="0033493B" w:rsidRPr="0087238E" w:rsidRDefault="003B5B01" w:rsidP="0087238E">
      <w:pPr>
        <w:pStyle w:val="Nzev"/>
      </w:pPr>
      <w:r>
        <w:t>Elektronická hra Logic</w:t>
      </w:r>
    </w:p>
    <w:p w14:paraId="608733AA" w14:textId="77777777" w:rsidR="00947418" w:rsidRDefault="00947418" w:rsidP="00947418"/>
    <w:p w14:paraId="3DD5FCEA" w14:textId="77777777" w:rsidR="00947418" w:rsidRPr="0087238E" w:rsidRDefault="00947418" w:rsidP="0087238E">
      <w:pPr>
        <w:pStyle w:val="Nadpis1"/>
      </w:pPr>
      <w:r w:rsidRPr="0087238E">
        <w:t>Teorie stručně a zábavně</w:t>
      </w:r>
    </w:p>
    <w:p w14:paraId="6522BFED" w14:textId="09C24A7C" w:rsidR="00E30DDF" w:rsidRDefault="00E30DDF" w:rsidP="00E30DDF">
      <w:r>
        <w:t xml:space="preserve">Elektronická hra Logic vychází z deskové hry Logic a má i stejná pravidla. </w:t>
      </w:r>
      <w:r w:rsidR="00F0773A">
        <w:t xml:space="preserve">Hra je vhodná pro všechny věkové kategorie a rozvíjí především logické myšlení. </w:t>
      </w:r>
    </w:p>
    <w:p w14:paraId="0129CD01" w14:textId="50A632C1" w:rsidR="00E30DDF" w:rsidRDefault="00E30DDF" w:rsidP="00E30DDF">
      <w:r>
        <w:t>Hru lze hrát ve dvou verzích, pro jednoho</w:t>
      </w:r>
      <w:r w:rsidR="00060B9F">
        <w:t>,</w:t>
      </w:r>
      <w:r>
        <w:t xml:space="preserve"> nebo pro dva hráče.</w:t>
      </w:r>
    </w:p>
    <w:p w14:paraId="244095EE" w14:textId="77777777" w:rsidR="00947418" w:rsidRPr="0087238E" w:rsidRDefault="00947418" w:rsidP="0087238E">
      <w:pPr>
        <w:pStyle w:val="Nadpis1"/>
      </w:pPr>
      <w:r w:rsidRPr="0087238E">
        <w:t>Návod na používání exponátu</w:t>
      </w:r>
    </w:p>
    <w:p w14:paraId="7DF04924" w14:textId="03B88453" w:rsidR="00FB7AC0" w:rsidRPr="0073770C" w:rsidRDefault="00FB7AC0" w:rsidP="0073770C">
      <w:pPr>
        <w:pStyle w:val="Nadpis2"/>
      </w:pPr>
      <w:r w:rsidRPr="0073770C">
        <w:t>Ovládání</w:t>
      </w:r>
    </w:p>
    <w:p w14:paraId="0D5B3F8D" w14:textId="584DEBD6" w:rsidR="00FB7AC0" w:rsidRDefault="00FB7AC0" w:rsidP="00947418">
      <w:r w:rsidRPr="00FB7AC0">
        <w:t>Tlačítko</w:t>
      </w:r>
      <w:r w:rsidRPr="00FB7AC0">
        <w:rPr>
          <w:b/>
          <w:bCs/>
        </w:rPr>
        <w:t xml:space="preserve"> Nová hra</w:t>
      </w:r>
      <w:r>
        <w:rPr>
          <w:b/>
          <w:bCs/>
        </w:rPr>
        <w:t xml:space="preserve"> </w:t>
      </w:r>
      <w:r>
        <w:t xml:space="preserve">zahájí novou hru. Při hře pro jednoho hráče také generuje zadání. </w:t>
      </w:r>
    </w:p>
    <w:p w14:paraId="7BF55424" w14:textId="175B0986" w:rsidR="00FB7AC0" w:rsidRDefault="00FB7AC0" w:rsidP="00947418">
      <w:r>
        <w:rPr>
          <w:b/>
          <w:bCs/>
        </w:rPr>
        <w:t>Šipky</w:t>
      </w:r>
      <w:r>
        <w:t xml:space="preserve"> slouží pro pohyb v herním poli. </w:t>
      </w:r>
    </w:p>
    <w:p w14:paraId="659A767D" w14:textId="78AF6DDD" w:rsidR="00FB7AC0" w:rsidRDefault="00FB7AC0" w:rsidP="00947418">
      <w:r w:rsidRPr="00FB7AC0">
        <w:rPr>
          <w:b/>
          <w:bCs/>
        </w:rPr>
        <w:t>Barevná tlačítka</w:t>
      </w:r>
      <w:r>
        <w:t xml:space="preserve"> slouží pro zadání barvy. Pokud </w:t>
      </w:r>
      <w:r w:rsidR="009D5EC4">
        <w:t>barva</w:t>
      </w:r>
      <w:r>
        <w:t xml:space="preserve"> na pozici je a chceme ji smazat, najedeme na ni kurzorem a stiskneme opět stejnou barvu.</w:t>
      </w:r>
    </w:p>
    <w:p w14:paraId="7A9DD427" w14:textId="2AA39612" w:rsidR="00FB7AC0" w:rsidRDefault="00FB7AC0" w:rsidP="00947418">
      <w:r>
        <w:t xml:space="preserve">Tlačítko </w:t>
      </w:r>
      <w:r w:rsidRPr="00FB7AC0">
        <w:rPr>
          <w:b/>
          <w:bCs/>
        </w:rPr>
        <w:t>Konec</w:t>
      </w:r>
      <w:r>
        <w:t xml:space="preserve"> slouží pro vypnutí hry.</w:t>
      </w:r>
    </w:p>
    <w:p w14:paraId="2D7F0850" w14:textId="3BDDFBB1" w:rsidR="00FB7AC0" w:rsidRDefault="00FB7AC0" w:rsidP="00947418">
      <w:r>
        <w:t xml:space="preserve">Tlačítko </w:t>
      </w:r>
      <w:r w:rsidRPr="00FB7AC0">
        <w:rPr>
          <w:b/>
          <w:bCs/>
        </w:rPr>
        <w:t>Potvrdit tah</w:t>
      </w:r>
      <w:r>
        <w:t xml:space="preserve"> ukončí tah a přesune kurzor na další řádek. Při hře pro jednoho hráče zároveň vyhodnotí. </w:t>
      </w:r>
    </w:p>
    <w:p w14:paraId="4E0D90B6" w14:textId="3C0DFBC1" w:rsidR="00483C44" w:rsidRDefault="00483C44" w:rsidP="00947418">
      <w:r>
        <w:t xml:space="preserve">Prostřední </w:t>
      </w:r>
      <w:r>
        <w:rPr>
          <w:b/>
          <w:bCs/>
        </w:rPr>
        <w:t>p</w:t>
      </w:r>
      <w:r w:rsidRPr="00483C44">
        <w:rPr>
          <w:b/>
          <w:bCs/>
        </w:rPr>
        <w:t>řepínač</w:t>
      </w:r>
      <w:r>
        <w:t xml:space="preserve"> slouží pro nastavení varianty hry pro jednoho nebo pro dva hráče. </w:t>
      </w:r>
      <w:r w:rsidRPr="008B6FB9">
        <w:rPr>
          <w:b/>
          <w:bCs/>
        </w:rPr>
        <w:t>Přepínače</w:t>
      </w:r>
      <w:r>
        <w:t xml:space="preserve"> v horní části slouží pro nastavení, zda zadání </w:t>
      </w:r>
      <w:r w:rsidR="0098237B">
        <w:t>smí</w:t>
      </w:r>
      <w:r>
        <w:t xml:space="preserve">, nebo </w:t>
      </w:r>
      <w:r w:rsidR="0098237B">
        <w:t>nesmí</w:t>
      </w:r>
      <w:r>
        <w:t xml:space="preserve"> obsahovat mezeru</w:t>
      </w:r>
      <w:r w:rsidR="0098237B">
        <w:t xml:space="preserve"> (zohledňuje se pouze u hry pro jednoho hráče)</w:t>
      </w:r>
      <w:r>
        <w:t xml:space="preserve"> a zda </w:t>
      </w:r>
      <w:r w:rsidR="00060B9F">
        <w:t xml:space="preserve">je </w:t>
      </w:r>
      <w:r>
        <w:t xml:space="preserve">zadání dlouhé na 3 nebo 4 pozice. </w:t>
      </w:r>
    </w:p>
    <w:p w14:paraId="0CD93A71" w14:textId="019672A3" w:rsidR="00FB7AC0" w:rsidRPr="0073770C" w:rsidRDefault="00FB7AC0" w:rsidP="0073770C">
      <w:pPr>
        <w:pStyle w:val="Nadpis2"/>
      </w:pPr>
      <w:r w:rsidRPr="0073770C">
        <w:t>Pravidla hry</w:t>
      </w:r>
    </w:p>
    <w:p w14:paraId="0E66D540" w14:textId="70071357" w:rsidR="00BF1922" w:rsidRDefault="00BF1922" w:rsidP="00BF1922">
      <w:r>
        <w:t>Připojte hru k USB konektoru a zapněte hru vypínačem.</w:t>
      </w:r>
    </w:p>
    <w:p w14:paraId="6B8846E8" w14:textId="11A552D1" w:rsidR="003B5B01" w:rsidRPr="0073770C" w:rsidRDefault="003B5B01" w:rsidP="0073770C">
      <w:pPr>
        <w:pStyle w:val="Nadpis3"/>
      </w:pPr>
      <w:r w:rsidRPr="0073770C">
        <w:t>Hra pro dva hráče</w:t>
      </w:r>
    </w:p>
    <w:p w14:paraId="7B10C5CC" w14:textId="3563D152" w:rsidR="003B5B01" w:rsidRDefault="00E30DDF" w:rsidP="00E30DDF">
      <w:pPr>
        <w:pStyle w:val="Odstavecseseznamem"/>
        <w:numPr>
          <w:ilvl w:val="0"/>
          <w:numId w:val="1"/>
        </w:numPr>
      </w:pPr>
      <w:r>
        <w:t xml:space="preserve">Stiskněte tlačítko </w:t>
      </w:r>
      <w:r w:rsidRPr="00FB7AC0">
        <w:rPr>
          <w:b/>
          <w:bCs/>
        </w:rPr>
        <w:t>Nová hra</w:t>
      </w:r>
      <w:r>
        <w:t>.</w:t>
      </w:r>
    </w:p>
    <w:p w14:paraId="2CD7446F" w14:textId="3A332184" w:rsidR="00E30DDF" w:rsidRDefault="00E30DDF" w:rsidP="00E30DDF">
      <w:pPr>
        <w:pStyle w:val="Odstavecseseznamem"/>
        <w:numPr>
          <w:ilvl w:val="0"/>
          <w:numId w:val="1"/>
        </w:numPr>
      </w:pPr>
      <w:r>
        <w:t xml:space="preserve">Kurzor se rozblikal v místě, kam se umisťuje zadání. Nyní první hráč zvolí, pomocí barevných tlačítek a šipek, libovolnou kombinaci, kterou bude druhý hráč hledat. Kombinaci druhému hráči neukazuje. Zadání poté zakryje stříškou a stiskne tlačítko </w:t>
      </w:r>
      <w:r w:rsidRPr="00FB7AC0">
        <w:rPr>
          <w:b/>
          <w:bCs/>
        </w:rPr>
        <w:t>Potvrdit tah</w:t>
      </w:r>
      <w:r>
        <w:t>.</w:t>
      </w:r>
    </w:p>
    <w:p w14:paraId="2BE2053E" w14:textId="5B45E7C2" w:rsidR="00E30DDF" w:rsidRDefault="00E30DDF" w:rsidP="00E30DDF">
      <w:pPr>
        <w:pStyle w:val="Odstavecseseznamem"/>
        <w:numPr>
          <w:ilvl w:val="0"/>
          <w:numId w:val="1"/>
        </w:numPr>
      </w:pPr>
      <w:r>
        <w:t xml:space="preserve">Kurzor se přesunul do herního pole. Druhý hráč zadá libovolnou kombinaci také pomocí barevných tlačítek a šipek a stiskne tlačítko </w:t>
      </w:r>
      <w:r w:rsidRPr="00FB7AC0">
        <w:rPr>
          <w:b/>
          <w:bCs/>
        </w:rPr>
        <w:t>Potvrdit tah</w:t>
      </w:r>
      <w:r>
        <w:t xml:space="preserve">. </w:t>
      </w:r>
    </w:p>
    <w:p w14:paraId="16B6BAB0" w14:textId="51C8E496" w:rsidR="00E30DDF" w:rsidRDefault="00E30DDF" w:rsidP="00E30DDF">
      <w:pPr>
        <w:pStyle w:val="Odstavecseseznamem"/>
        <w:numPr>
          <w:ilvl w:val="0"/>
          <w:numId w:val="1"/>
        </w:numPr>
      </w:pPr>
      <w:r>
        <w:t xml:space="preserve">Kurzor se přesunul do pole pro vyhodnocení tahu. První hráč porovnává své zadání se zadanou kombinací druhého hráče. Pokud je nějaká shodná barva na shodném místě, tak zadá červenou barvu. Pokud je nějaká shodná barva na jiné pozici, tak zadá žlutou barvu. Ostatní barvy nehodnotí. Hráč nejprve umisťuje červené a poté žluté barvy </w:t>
      </w:r>
      <w:r>
        <w:lastRenderedPageBreak/>
        <w:t xml:space="preserve">záměrně tak, aby se nedalo poznat, ke kterému poli vyhodnocení náleží. Po dokončení hodnocení stiskne </w:t>
      </w:r>
      <w:r w:rsidRPr="00FB7AC0">
        <w:rPr>
          <w:b/>
          <w:bCs/>
        </w:rPr>
        <w:t>Potvrdit tah</w:t>
      </w:r>
      <w:r>
        <w:t xml:space="preserve">. </w:t>
      </w:r>
    </w:p>
    <w:p w14:paraId="70203BB2" w14:textId="2E27592A" w:rsidR="00E30DDF" w:rsidRDefault="00E30DDF" w:rsidP="00E30DDF">
      <w:pPr>
        <w:pStyle w:val="Odstavecseseznamem"/>
        <w:numPr>
          <w:ilvl w:val="0"/>
          <w:numId w:val="1"/>
        </w:numPr>
      </w:pPr>
      <w:r>
        <w:t xml:space="preserve">Kurzor se opět přesunul do herního pole. Druhý hráč dle předchozího vyhodnocení pomocí logických úvah </w:t>
      </w:r>
      <w:r w:rsidR="00FB7AC0">
        <w:t xml:space="preserve">volí další kombinaci. </w:t>
      </w:r>
    </w:p>
    <w:p w14:paraId="18F9911B" w14:textId="4F5A436E" w:rsidR="003B5B01" w:rsidRDefault="00FB7AC0" w:rsidP="00947418">
      <w:pPr>
        <w:pStyle w:val="Odstavecseseznamem"/>
        <w:numPr>
          <w:ilvl w:val="0"/>
          <w:numId w:val="1"/>
        </w:numPr>
      </w:pPr>
      <w:r>
        <w:t xml:space="preserve">Tímto způsobem hra pokračuje, dokud druhý hráč nenalezne hledanou kombinaci, nebo nedojde do konce herního pole. </w:t>
      </w:r>
    </w:p>
    <w:p w14:paraId="7675EA79" w14:textId="014189FF" w:rsidR="003B5B01" w:rsidRPr="0073770C" w:rsidRDefault="003B5B01" w:rsidP="0073770C">
      <w:pPr>
        <w:pStyle w:val="Nadpis3"/>
      </w:pPr>
      <w:r w:rsidRPr="0073770C">
        <w:t>Hra pro jednoho hráče</w:t>
      </w:r>
    </w:p>
    <w:p w14:paraId="52ADBEB0" w14:textId="77777777" w:rsidR="00E564A4" w:rsidRDefault="001673A0" w:rsidP="001673A0">
      <w:pPr>
        <w:pStyle w:val="Odstavecseseznamem"/>
        <w:numPr>
          <w:ilvl w:val="0"/>
          <w:numId w:val="2"/>
        </w:numPr>
      </w:pPr>
      <w:r>
        <w:t xml:space="preserve">Po stisku tlačítka </w:t>
      </w:r>
      <w:r w:rsidRPr="001673A0">
        <w:rPr>
          <w:b/>
          <w:bCs/>
        </w:rPr>
        <w:t>Nová hra</w:t>
      </w:r>
      <w:r>
        <w:t xml:space="preserve"> je vygenerováno zadání</w:t>
      </w:r>
      <w:r w:rsidR="007604DE">
        <w:t>, které není vidět,</w:t>
      </w:r>
      <w:r>
        <w:t xml:space="preserve"> a kurzor je v herním poli. </w:t>
      </w:r>
    </w:p>
    <w:p w14:paraId="0D5AABA3" w14:textId="3F1639A2" w:rsidR="001673A0" w:rsidRDefault="001673A0" w:rsidP="001673A0">
      <w:pPr>
        <w:pStyle w:val="Odstavecseseznamem"/>
        <w:numPr>
          <w:ilvl w:val="0"/>
          <w:numId w:val="2"/>
        </w:numPr>
      </w:pPr>
      <w:r>
        <w:t xml:space="preserve">Hráč zadá barevnou kombinaci a stiskne tlačítko </w:t>
      </w:r>
      <w:r w:rsidRPr="001673A0">
        <w:rPr>
          <w:b/>
          <w:bCs/>
        </w:rPr>
        <w:t>Potvrdit tah</w:t>
      </w:r>
      <w:r>
        <w:t>.</w:t>
      </w:r>
    </w:p>
    <w:p w14:paraId="1198409E" w14:textId="18162318" w:rsidR="001673A0" w:rsidRDefault="001673A0" w:rsidP="001673A0">
      <w:pPr>
        <w:pStyle w:val="Odstavecseseznamem"/>
        <w:numPr>
          <w:ilvl w:val="0"/>
          <w:numId w:val="2"/>
        </w:numPr>
      </w:pPr>
      <w:r>
        <w:t>Automaticky došlo k vyhodnocení tahu a kurzor se přesunul na následující řádek. Platí zde stejná pravidla jako u varianty hry pro dva hráče.</w:t>
      </w:r>
    </w:p>
    <w:p w14:paraId="244D1554" w14:textId="01BBD714" w:rsidR="007205E0" w:rsidRDefault="007205E0" w:rsidP="001673A0">
      <w:pPr>
        <w:pStyle w:val="Odstavecseseznamem"/>
        <w:numPr>
          <w:ilvl w:val="0"/>
          <w:numId w:val="2"/>
        </w:numPr>
      </w:pPr>
      <w:r>
        <w:t>Po nalezení správné kombinace</w:t>
      </w:r>
      <w:r w:rsidR="00565D98">
        <w:t xml:space="preserve">, nebo po zaplnění herního pole, </w:t>
      </w:r>
      <w:r>
        <w:t xml:space="preserve">se zadání zobrazí. </w:t>
      </w:r>
    </w:p>
    <w:p w14:paraId="65DF9877" w14:textId="77777777" w:rsidR="00D43A84" w:rsidRDefault="00D43A84" w:rsidP="00D43A84">
      <w:pPr>
        <w:pStyle w:val="Nadpis1"/>
        <w:jc w:val="center"/>
      </w:pPr>
      <w:r>
        <w:rPr>
          <w:noProof/>
        </w:rPr>
        <w:drawing>
          <wp:inline distT="0" distB="0" distL="0" distR="0" wp14:anchorId="09B79078" wp14:editId="4F603476">
            <wp:extent cx="4183824" cy="4543425"/>
            <wp:effectExtent l="0" t="0" r="7620" b="0"/>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7162" cy="4547050"/>
                    </a:xfrm>
                    <a:prstGeom prst="rect">
                      <a:avLst/>
                    </a:prstGeom>
                    <a:noFill/>
                    <a:ln>
                      <a:noFill/>
                    </a:ln>
                  </pic:spPr>
                </pic:pic>
              </a:graphicData>
            </a:graphic>
          </wp:inline>
        </w:drawing>
      </w:r>
    </w:p>
    <w:p w14:paraId="7A40A39B" w14:textId="1BD56DBC" w:rsidR="00947418" w:rsidRPr="0087238E" w:rsidRDefault="00947418" w:rsidP="0087238E">
      <w:pPr>
        <w:pStyle w:val="Nadpis1"/>
      </w:pPr>
      <w:r w:rsidRPr="0087238E">
        <w:t>Důležitá upozornění a omezení</w:t>
      </w:r>
    </w:p>
    <w:p w14:paraId="1CD163CD" w14:textId="25BD41E8" w:rsidR="00947418" w:rsidRPr="00DB72F8" w:rsidRDefault="0073694C" w:rsidP="00947418">
      <w:r>
        <w:t xml:space="preserve">Žádná. </w:t>
      </w:r>
    </w:p>
    <w:sectPr w:rsidR="00947418" w:rsidRPr="00DB72F8" w:rsidSect="00947418">
      <w:headerReference w:type="default" r:id="rId8"/>
      <w:footerReference w:type="default" r:id="rId9"/>
      <w:pgSz w:w="595.30pt" w:h="841.90pt"/>
      <w:pgMar w:top="55.1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A1AC80" w14:textId="77777777" w:rsidR="00981336" w:rsidRDefault="00981336" w:rsidP="00714D23">
      <w:pPr>
        <w:spacing w:after="0pt" w:line="12pt" w:lineRule="auto"/>
      </w:pPr>
      <w:r>
        <w:separator/>
      </w:r>
    </w:p>
  </w:endnote>
  <w:endnote w:type="continuationSeparator" w:id="0">
    <w:p w14:paraId="5C978BCD" w14:textId="77777777" w:rsidR="00981336" w:rsidRDefault="00981336" w:rsidP="00714D23">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windows-1250"/>
    <w:family w:val="roman"/>
    <w:pitch w:val="variable"/>
    <w:sig w:usb0="E0002EFF" w:usb1="C000785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AA52A4" w14:textId="77777777" w:rsidR="00714D23" w:rsidRPr="00714D23" w:rsidRDefault="00714D23" w:rsidP="00714D23">
    <w:pPr>
      <w:pStyle w:val="Zpat"/>
      <w:jc w:val="center"/>
      <w:rPr>
        <w:sz w:val="20"/>
        <w:szCs w:val="20"/>
      </w:rPr>
    </w:pPr>
    <w:r w:rsidRPr="00714D23">
      <w:rPr>
        <w:sz w:val="20"/>
        <w:szCs w:val="20"/>
      </w:rPr>
      <w:t>ELEKTRIKÁRIUM</w:t>
    </w:r>
    <w:r>
      <w:rPr>
        <w:sz w:val="20"/>
        <w:szCs w:val="20"/>
      </w:rPr>
      <w:t xml:space="preserve"> - </w:t>
    </w:r>
    <w:r w:rsidRPr="00714D23">
      <w:rPr>
        <w:sz w:val="20"/>
        <w:szCs w:val="20"/>
      </w:rPr>
      <w:t>Fakulta elektrotechniky a komunikačních technologií, VUT v Brně</w:t>
    </w:r>
  </w:p>
  <w:p w14:paraId="453149B3" w14:textId="77777777" w:rsidR="00714D23" w:rsidRPr="00714D23" w:rsidRDefault="00714D23" w:rsidP="00714D23">
    <w:pPr>
      <w:pStyle w:val="Zpat"/>
      <w:jc w:val="center"/>
      <w:rPr>
        <w:sz w:val="20"/>
        <w:szCs w:val="20"/>
      </w:rPr>
    </w:pPr>
    <w:r w:rsidRPr="00714D23">
      <w:rPr>
        <w:sz w:val="20"/>
        <w:szCs w:val="20"/>
      </w:rPr>
      <w:t>Technická 3058/12</w:t>
    </w:r>
    <w:r>
      <w:rPr>
        <w:sz w:val="20"/>
        <w:szCs w:val="20"/>
      </w:rPr>
      <w:t xml:space="preserve">, </w:t>
    </w:r>
    <w:r w:rsidRPr="00714D23">
      <w:rPr>
        <w:sz w:val="20"/>
        <w:szCs w:val="20"/>
      </w:rPr>
      <w:t>616 00 Brno</w:t>
    </w:r>
    <w:r>
      <w:rPr>
        <w:sz w:val="20"/>
        <w:szCs w:val="20"/>
      </w:rPr>
      <w:t xml:space="preserve">, </w:t>
    </w:r>
    <w:r w:rsidRPr="00714D23">
      <w:rPr>
        <w:sz w:val="20"/>
        <w:szCs w:val="20"/>
      </w:rPr>
      <w:t>Česká Republika</w:t>
    </w:r>
  </w:p>
  <w:p w14:paraId="0EE53611" w14:textId="77777777" w:rsidR="00714D23" w:rsidRPr="00714D23" w:rsidRDefault="00714D23" w:rsidP="00714D23">
    <w:pPr>
      <w:pStyle w:val="Zpat"/>
      <w:jc w:val="center"/>
      <w:rPr>
        <w:sz w:val="20"/>
        <w:szCs w:val="20"/>
      </w:rPr>
    </w:pPr>
    <w:r w:rsidRPr="00714D23">
      <w:rPr>
        <w:sz w:val="20"/>
        <w:szCs w:val="20"/>
      </w:rPr>
      <w:t>Tel</w:t>
    </w:r>
    <w:r>
      <w:rPr>
        <w:sz w:val="20"/>
        <w:szCs w:val="20"/>
      </w:rPr>
      <w:t>.</w:t>
    </w:r>
    <w:r w:rsidRPr="00714D23">
      <w:rPr>
        <w:sz w:val="20"/>
        <w:szCs w:val="20"/>
      </w:rPr>
      <w:t>: +420 541 146</w:t>
    </w:r>
    <w:r>
      <w:rPr>
        <w:sz w:val="20"/>
        <w:szCs w:val="20"/>
      </w:rPr>
      <w:t> </w:t>
    </w:r>
    <w:r w:rsidRPr="00714D23">
      <w:rPr>
        <w:sz w:val="20"/>
        <w:szCs w:val="20"/>
      </w:rPr>
      <w:t>102</w:t>
    </w:r>
    <w:r>
      <w:rPr>
        <w:sz w:val="20"/>
        <w:szCs w:val="20"/>
      </w:rPr>
      <w:t xml:space="preserve">, </w:t>
    </w:r>
    <w:r w:rsidRPr="00714D23">
      <w:rPr>
        <w:sz w:val="20"/>
        <w:szCs w:val="20"/>
      </w:rPr>
      <w:t xml:space="preserve">E-mail: </w:t>
    </w:r>
    <w:hyperlink r:id="rId1" w:history="1">
      <w:r w:rsidRPr="006E0D36">
        <w:rPr>
          <w:rStyle w:val="Hypertextovodkaz"/>
          <w:sz w:val="20"/>
          <w:szCs w:val="20"/>
        </w:rPr>
        <w:t>elektrikarium@feec.vutbr.cz</w:t>
      </w:r>
    </w:hyperlink>
    <w:r>
      <w:rPr>
        <w:sz w:val="20"/>
        <w:szCs w:val="20"/>
      </w:rPr>
      <w:t xml:space="preserve">, </w:t>
    </w:r>
    <w:r w:rsidRPr="00714D23">
      <w:rPr>
        <w:sz w:val="20"/>
        <w:szCs w:val="20"/>
      </w:rPr>
      <w:t>GPS: N 49°13.61747', E 16°34.47252'</w:t>
    </w:r>
  </w:p>
  <w:p w14:paraId="0A57DC15" w14:textId="77777777" w:rsidR="00714D23" w:rsidRPr="00714D23" w:rsidRDefault="00714D23" w:rsidP="00714D23">
    <w:pPr>
      <w:pStyle w:val="Zpat"/>
      <w:jc w:val="center"/>
      <w:rPr>
        <w:sz w:val="20"/>
        <w:szCs w:val="20"/>
      </w:rPr>
    </w:pPr>
    <w:r w:rsidRPr="00714D23">
      <w:rPr>
        <w:sz w:val="20"/>
        <w:szCs w:val="20"/>
      </w:rPr>
      <w:t>Web: http://www.feec.vutbr.cz/elektrikarium/</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D47BDC" w14:textId="77777777" w:rsidR="00981336" w:rsidRDefault="00981336" w:rsidP="00714D23">
      <w:pPr>
        <w:spacing w:after="0pt" w:line="12pt" w:lineRule="auto"/>
      </w:pPr>
      <w:r>
        <w:separator/>
      </w:r>
    </w:p>
  </w:footnote>
  <w:footnote w:type="continuationSeparator" w:id="0">
    <w:p w14:paraId="54A37D10" w14:textId="77777777" w:rsidR="00981336" w:rsidRDefault="00981336" w:rsidP="00714D23">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6CA4ED" w14:textId="77777777" w:rsidR="00714D23" w:rsidRDefault="00714D23">
    <w:pPr>
      <w:pStyle w:val="Zhlav"/>
    </w:pPr>
    <w:r w:rsidRPr="0033493B">
      <w:rPr>
        <w:noProof/>
        <w:lang w:eastAsia="cs-CZ"/>
      </w:rPr>
      <w:drawing>
        <wp:inline distT="0" distB="0" distL="0" distR="0" wp14:anchorId="6E71739A" wp14:editId="116CCA4B">
          <wp:extent cx="5754664" cy="876101"/>
          <wp:effectExtent l="0" t="0" r="0" b="635"/>
          <wp:docPr id="2" name="Obráze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4504" cy="888256"/>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43D81"/>
    <w:multiLevelType w:val="hybridMultilevel"/>
    <w:tmpl w:val="4F70DED4"/>
    <w:lvl w:ilvl="0" w:tplc="0405000F">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A093B10"/>
    <w:multiLevelType w:val="hybridMultilevel"/>
    <w:tmpl w:val="82C4FE70"/>
    <w:lvl w:ilvl="0" w:tplc="0405000F">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28"/>
    <w:rsid w:val="00060B9F"/>
    <w:rsid w:val="001673A0"/>
    <w:rsid w:val="001833B0"/>
    <w:rsid w:val="0033493B"/>
    <w:rsid w:val="003B5B01"/>
    <w:rsid w:val="00483C44"/>
    <w:rsid w:val="00490FC0"/>
    <w:rsid w:val="00505F28"/>
    <w:rsid w:val="00565D98"/>
    <w:rsid w:val="006A2893"/>
    <w:rsid w:val="00714D23"/>
    <w:rsid w:val="007205E0"/>
    <w:rsid w:val="0073694C"/>
    <w:rsid w:val="0073770C"/>
    <w:rsid w:val="007604DE"/>
    <w:rsid w:val="00781ADB"/>
    <w:rsid w:val="0087238E"/>
    <w:rsid w:val="008B6FB9"/>
    <w:rsid w:val="00910CF6"/>
    <w:rsid w:val="009407EF"/>
    <w:rsid w:val="00947418"/>
    <w:rsid w:val="00981336"/>
    <w:rsid w:val="0098237B"/>
    <w:rsid w:val="009D5EC4"/>
    <w:rsid w:val="00A930D9"/>
    <w:rsid w:val="00B1228A"/>
    <w:rsid w:val="00B37503"/>
    <w:rsid w:val="00BF1922"/>
    <w:rsid w:val="00BF5B06"/>
    <w:rsid w:val="00CC24F3"/>
    <w:rsid w:val="00D15174"/>
    <w:rsid w:val="00D43A84"/>
    <w:rsid w:val="00DB72F8"/>
    <w:rsid w:val="00E301F2"/>
    <w:rsid w:val="00E30DDF"/>
    <w:rsid w:val="00E564A4"/>
    <w:rsid w:val="00EA2587"/>
    <w:rsid w:val="00F0773A"/>
    <w:rsid w:val="00FB7AC0"/>
    <w:rsid w:val="00FC68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35945A0E"/>
  <w15:chartTrackingRefBased/>
  <w15:docId w15:val="{1DD60CED-18A4-4F28-A521-05361BEB9DE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7238E"/>
    <w:pPr>
      <w:jc w:val="both"/>
    </w:pPr>
    <w:rPr>
      <w:sz w:val="24"/>
    </w:rPr>
  </w:style>
  <w:style w:type="paragraph" w:styleId="Nadpis1">
    <w:name w:val="heading 1"/>
    <w:basedOn w:val="Normln"/>
    <w:next w:val="Normln"/>
    <w:link w:val="Nadpis1Char"/>
    <w:uiPriority w:val="9"/>
    <w:qFormat/>
    <w:rsid w:val="0087238E"/>
    <w:pPr>
      <w:keepNext/>
      <w:keepLines/>
      <w:spacing w:before="12pt" w:after="0pt"/>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73770C"/>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73770C"/>
    <w:pPr>
      <w:keepNext/>
      <w:keepLines/>
      <w:spacing w:before="2pt" w:after="0pt"/>
      <w:outlineLvl w:val="2"/>
    </w:pPr>
    <w:rPr>
      <w:rFonts w:asciiTheme="majorHAnsi" w:eastAsiaTheme="majorEastAsia" w:hAnsiTheme="majorHAnsi" w:cstheme="majorBidi"/>
      <w:color w:val="1F4D78"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7238E"/>
    <w:rPr>
      <w:rFonts w:asciiTheme="majorHAnsi" w:eastAsiaTheme="majorEastAsia" w:hAnsiTheme="majorHAnsi" w:cstheme="majorBidi"/>
      <w:b/>
      <w:color w:val="2E74B5" w:themeColor="accent1" w:themeShade="BF"/>
      <w:sz w:val="32"/>
      <w:szCs w:val="32"/>
    </w:rPr>
  </w:style>
  <w:style w:type="paragraph" w:styleId="Nzev">
    <w:name w:val="Title"/>
    <w:basedOn w:val="Normln"/>
    <w:next w:val="Normln"/>
    <w:link w:val="NzevChar"/>
    <w:uiPriority w:val="10"/>
    <w:qFormat/>
    <w:rsid w:val="0087238E"/>
    <w:pPr>
      <w:spacing w:after="0pt" w:line="12pt" w:lineRule="auto"/>
      <w:contextualSpacing/>
      <w:jc w:val="center"/>
    </w:pPr>
    <w:rPr>
      <w:rFonts w:asciiTheme="majorHAnsi" w:eastAsiaTheme="majorEastAsia" w:hAnsiTheme="majorHAnsi" w:cstheme="majorBidi"/>
      <w:b/>
      <w:spacing w:val="-10"/>
      <w:kern w:val="28"/>
      <w:sz w:val="56"/>
      <w:szCs w:val="56"/>
    </w:rPr>
  </w:style>
  <w:style w:type="character" w:customStyle="1" w:styleId="NzevChar">
    <w:name w:val="Název Char"/>
    <w:basedOn w:val="Standardnpsmoodstavce"/>
    <w:link w:val="Nzev"/>
    <w:uiPriority w:val="10"/>
    <w:rsid w:val="0087238E"/>
    <w:rPr>
      <w:rFonts w:asciiTheme="majorHAnsi" w:eastAsiaTheme="majorEastAsia" w:hAnsiTheme="majorHAnsi" w:cstheme="majorBidi"/>
      <w:b/>
      <w:spacing w:val="-10"/>
      <w:kern w:val="28"/>
      <w:sz w:val="56"/>
      <w:szCs w:val="56"/>
    </w:rPr>
  </w:style>
  <w:style w:type="paragraph" w:styleId="Zhlav">
    <w:name w:val="header"/>
    <w:basedOn w:val="Normln"/>
    <w:link w:val="ZhlavChar"/>
    <w:uiPriority w:val="99"/>
    <w:unhideWhenUsed/>
    <w:rsid w:val="00714D23"/>
    <w:pPr>
      <w:tabs>
        <w:tab w:val="center" w:pos="226.80pt"/>
        <w:tab w:val="end" w:pos="453.60pt"/>
      </w:tabs>
      <w:spacing w:after="0pt" w:line="12pt" w:lineRule="auto"/>
    </w:pPr>
  </w:style>
  <w:style w:type="character" w:customStyle="1" w:styleId="ZhlavChar">
    <w:name w:val="Záhlaví Char"/>
    <w:basedOn w:val="Standardnpsmoodstavce"/>
    <w:link w:val="Zhlav"/>
    <w:uiPriority w:val="99"/>
    <w:rsid w:val="00714D23"/>
  </w:style>
  <w:style w:type="paragraph" w:styleId="Zpat">
    <w:name w:val="footer"/>
    <w:basedOn w:val="Normln"/>
    <w:link w:val="ZpatChar"/>
    <w:uiPriority w:val="99"/>
    <w:unhideWhenUsed/>
    <w:rsid w:val="00714D23"/>
    <w:pPr>
      <w:tabs>
        <w:tab w:val="center" w:pos="226.80pt"/>
        <w:tab w:val="end" w:pos="453.60pt"/>
      </w:tabs>
      <w:spacing w:after="0pt" w:line="12pt" w:lineRule="auto"/>
    </w:pPr>
  </w:style>
  <w:style w:type="character" w:customStyle="1" w:styleId="ZpatChar">
    <w:name w:val="Zápatí Char"/>
    <w:basedOn w:val="Standardnpsmoodstavce"/>
    <w:link w:val="Zpat"/>
    <w:uiPriority w:val="99"/>
    <w:rsid w:val="00714D23"/>
  </w:style>
  <w:style w:type="character" w:styleId="Hypertextovodkaz">
    <w:name w:val="Hyperlink"/>
    <w:basedOn w:val="Standardnpsmoodstavce"/>
    <w:uiPriority w:val="99"/>
    <w:unhideWhenUsed/>
    <w:rsid w:val="00714D23"/>
    <w:rPr>
      <w:color w:val="0563C1" w:themeColor="hyperlink"/>
      <w:u w:val="single"/>
    </w:rPr>
  </w:style>
  <w:style w:type="paragraph" w:styleId="Odstavecseseznamem">
    <w:name w:val="List Paragraph"/>
    <w:basedOn w:val="Normln"/>
    <w:uiPriority w:val="34"/>
    <w:qFormat/>
    <w:rsid w:val="00E30DDF"/>
    <w:pPr>
      <w:ind w:start="36pt"/>
      <w:contextualSpacing/>
    </w:pPr>
  </w:style>
  <w:style w:type="character" w:customStyle="1" w:styleId="Nadpis2Char">
    <w:name w:val="Nadpis 2 Char"/>
    <w:basedOn w:val="Standardnpsmoodstavce"/>
    <w:link w:val="Nadpis2"/>
    <w:uiPriority w:val="9"/>
    <w:rsid w:val="0073770C"/>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7377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1991">
      <w:bodyDiv w:val="1"/>
      <w:marLeft w:val="0pt"/>
      <w:marRight w:val="0pt"/>
      <w:marTop w:val="0pt"/>
      <w:marBottom w:val="0pt"/>
      <w:divBdr>
        <w:top w:val="none" w:sz="0" w:space="0" w:color="auto"/>
        <w:left w:val="none" w:sz="0" w:space="0" w:color="auto"/>
        <w:bottom w:val="none" w:sz="0" w:space="0" w:color="auto"/>
        <w:right w:val="none" w:sz="0" w:space="0" w:color="auto"/>
      </w:divBdr>
    </w:div>
    <w:div w:id="3041635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ettings" Target="settings.xml"/><Relationship Id="rId7" Type="http://purl.oclc.org/ooxml/officeDocument/relationships/image" Target="media/image1.jpe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footer" Target="footer1.xml"/></Relationships>
</file>

<file path=word/_rels/footer1.xml.rels><?xml version="1.0" encoding="UTF-8" standalone="yes"?>
<Relationships xmlns="http://schemas.openxmlformats.org/package/2006/relationships"><Relationship Id="rId1" Type="http://purl.oclc.org/ooxml/officeDocument/relationships/hyperlink" Target="mailto:elektrikarium@feec.vutbr.cz" TargetMode="External"/></Relationships>
</file>

<file path=word/_rels/header1.xml.rels><?xml version="1.0" encoding="UTF-8" standalone="yes"?>
<Relationships xmlns="http://schemas.openxmlformats.org/package/2006/relationships"><Relationship Id="rId1" Type="http://purl.oclc.org/ooxml/officeDocument/relationships/image" Target="media/image2.emf"/></Relationships>
</file>

<file path=word/_rels/settings.xml.rels><?xml version="1.0" encoding="UTF-8" standalone="yes"?>
<Relationships xmlns="http://schemas.openxmlformats.org/package/2006/relationships"><Relationship Id="rId1" Type="http://purl.oclc.org/ooxml/officeDocument/relationships/attachedTemplate" Target="file:///C:\Users\Renata\Desktop\sablona_navod.dotx" TargetMode="External"/></Relationships>
</file>

<file path=word/theme/theme1.xml><?xml version="1.0" encoding="utf-8"?>
<a:theme xmlns:a="http://purl.oclc.org/ooxml/drawingml/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sablona_navod.dotx</Template>
  <TotalTime>2063</TotalTime>
  <Pages>2</Pages>
  <Words>383</Words>
  <Characters>2260</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Zemanová</dc:creator>
  <cp:keywords/>
  <dc:description/>
  <cp:lastModifiedBy>Renata Zemanová</cp:lastModifiedBy>
  <cp:revision>28</cp:revision>
  <cp:lastPrinted>2021-05-29T08:58:00Z</cp:lastPrinted>
  <dcterms:created xsi:type="dcterms:W3CDTF">2021-05-17T14:09:00Z</dcterms:created>
  <dcterms:modified xsi:type="dcterms:W3CDTF">2021-05-30T13:43:00Z</dcterms:modified>
</cp:coreProperties>
</file>