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23/08/2026. I paragrafi 4.1.1–4.1.6 restano il dettaglio per area; in caso di conflitto prevale questo quadro.</w:t>
      </w:r>
    </w:p>
    <w:p>
      <w:pPr>
        <w:pStyle w:val="Titolo2"/>
      </w:pPr>
      <w:r>
        <w:t xml:space="preserve">ROADMAP DEL PROGETTO AL 23/08/2026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Dark e contrasto UI CONVALIDATI 23/08/2026 (Allegato 4.16). Motore B: F7, CATEGORY Query, F8, LOCATION Query, F6/F9 CONVALIDATI 23/08/2026 (Allegato 4.17). PATTERN_010 resta SOSPESO.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PATTERN_010 resta SOSPESO.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swipe navigazione</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Verifica architettura navigazione; uniformazione context card; AppShell globale; formalizzazione aree consolidate e sensibili; freeze aree mature; regression scope; matrice impatti.</w:t>
      </w:r>
    </w:p>
    <w:p>
      <w:r>
        <w:rPr>
          <w:sz w:val="20"/>
          <w:szCs w:val="20"/>
        </w:rPr>
        <w:t xml:space="preserve">Elenco card dei Backup nella pagina Backup (ex M4.B) non è in B1: resta eventuale evoluzione, non core V1.</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contenitore, box, boxes, scatola, scatolone, cassetta, confezione, baule, busta, bustone, cassetto, barattolo, vaso, bacinella, recipiente, cassa, cassone, bidone, cassonetto, cassaforte, portafoglio, portaoggetti, portagioie, portadocumenti, container, involucro, custodia, cover, imballaggio</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 CATEGORY Query, F8, LOCATION Query, F6/F9 CONVALIDATI 23/08/2026 (Allegato 4.17).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resta NON core; non si estende.</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 F8, CATEGORY, LOCATION, F6/F9 CONVALIDATI 23/08/2026 (Allegato 4.17). PATTERN_010 resta SOSPESO.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parcheggiata; nessun layout nuovo.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