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30336ce99f84ed86ae32cdbeb358fb2e6bab5b"/>
    <w:p>
      <w:pPr>
        <w:pStyle w:val="Heading1"/>
      </w:pPr>
      <w:r>
        <w:t xml:space="preserve">📌 Lições Aprendidas – Qualidade de Dados na Camada Bronze</w:t>
      </w:r>
    </w:p>
    <w:bookmarkStart w:id="20" w:name="contexto-do-projeto"/>
    <w:p>
      <w:pPr>
        <w:pStyle w:val="Heading2"/>
      </w:pPr>
      <w:r>
        <w:t xml:space="preserve">Contexto do Projeto</w:t>
      </w:r>
    </w:p>
    <w:p>
      <w:pPr>
        <w:pStyle w:val="FirstParagraph"/>
      </w:pPr>
      <w:r>
        <w:t xml:space="preserve">Este projeto implementa uma arquitetura</w:t>
      </w:r>
      <w:r>
        <w:t xml:space="preserve"> </w:t>
      </w:r>
      <w:r>
        <w:rPr>
          <w:b/>
          <w:bCs/>
        </w:rPr>
        <w:t xml:space="preserve">Medallion (Bronze / Silver / Gold)</w:t>
      </w:r>
      <w:r>
        <w:t xml:space="preserve"> </w:t>
      </w:r>
      <w:r>
        <w:t xml:space="preserve">para análise de fluxo de caixa, utilizando</w:t>
      </w:r>
      <w:r>
        <w:t xml:space="preserve"> </w:t>
      </w:r>
      <w:r>
        <w:rPr>
          <w:b/>
          <w:bCs/>
        </w:rPr>
        <w:t xml:space="preserve">Supabase (PostgreSQL)</w:t>
      </w:r>
      <w:r>
        <w:t xml:space="preserve"> </w:t>
      </w:r>
      <w:r>
        <w:t xml:space="preserve">como banco de dados e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para visualização.</w:t>
      </w:r>
    </w:p>
    <w:p>
      <w:pPr>
        <w:pStyle w:val="BodyText"/>
      </w:pPr>
      <w:r>
        <w:t xml:space="preserve">Durante a validação do indicador</w:t>
      </w:r>
      <w:r>
        <w:t xml:space="preserve"> </w:t>
      </w:r>
      <w:r>
        <w:rPr>
          <w:b/>
          <w:bCs/>
        </w:rPr>
        <w:t xml:space="preserve">Saldo Operacional</w:t>
      </w:r>
      <w:r>
        <w:t xml:space="preserve">, foi identificada uma divergência relevante entre:</w:t>
      </w:r>
      <w:r>
        <w:t xml:space="preserve"> </w:t>
      </w:r>
      <w:r>
        <w:t xml:space="preserve">- 📊 Resultado esperado (fonte Excel):</w:t>
      </w:r>
      <w:r>
        <w:t xml:space="preserve"> </w:t>
      </w:r>
      <w:r>
        <w:rPr>
          <w:b/>
          <w:bCs/>
        </w:rPr>
        <w:t xml:space="preserve">-5,88 milhões</w:t>
      </w:r>
      <w:r>
        <w:t xml:space="preserve"> </w:t>
      </w:r>
      <w:r>
        <w:t xml:space="preserve">- 📉 Resultado calculado no Data Warehouse:</w:t>
      </w:r>
      <w:r>
        <w:t xml:space="preserve"> </w:t>
      </w:r>
      <w:r>
        <w:rPr>
          <w:b/>
          <w:bCs/>
        </w:rPr>
        <w:t xml:space="preserve">-4,03 milhões</w:t>
      </w:r>
    </w:p>
    <w:p>
      <w:pPr>
        <w:pStyle w:val="BodyText"/>
      </w:pPr>
      <w:r>
        <w:t xml:space="preserve">Essa diferença motivou uma análise detalhada de qualidade de dados ao longo das camadas.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identificado"/>
    <w:p>
      <w:pPr>
        <w:pStyle w:val="Heading2"/>
      </w:pPr>
      <w:r>
        <w:t xml:space="preserve">Problema Identificado</w:t>
      </w:r>
    </w:p>
    <w:p>
      <w:pPr>
        <w:pStyle w:val="FirstParagraph"/>
      </w:pPr>
      <w:r>
        <w:t xml:space="preserve">Após diversos checks por camada (Bronze → Silver → Gold), foi constatado que: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tabela bronze.movimentos_raw</w:t>
      </w:r>
      <w:r>
        <w:t xml:space="preserve"> </w:t>
      </w:r>
      <w:r>
        <w:t xml:space="preserve">foi populada a partir de um</w:t>
      </w:r>
      <w:r>
        <w:t xml:space="preserve"> </w:t>
      </w:r>
      <w:r>
        <w:rPr>
          <w:b/>
          <w:bCs/>
        </w:rPr>
        <w:t xml:space="preserve">upload manual de Excel</w:t>
      </w:r>
      <w:r>
        <w:t xml:space="preserve"> </w:t>
      </w:r>
      <w:r>
        <w:t xml:space="preserve">no Supabase.</w:t>
      </w:r>
    </w:p>
    <w:p>
      <w:pPr>
        <w:pStyle w:val="Compact"/>
        <w:numPr>
          <w:ilvl w:val="0"/>
          <w:numId w:val="1001"/>
        </w:numPr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, originalmente monetária, foi carregada como</w:t>
      </w:r>
      <w:r>
        <w:t xml:space="preserve"> </w:t>
      </w:r>
      <w:r>
        <w:rPr>
          <w:b/>
          <w:bCs/>
        </w:rPr>
        <w:t xml:space="preserve">TEXT</w:t>
      </w:r>
      <w:r>
        <w:t xml:space="preserve">, contendo:</w:t>
      </w:r>
    </w:p>
    <w:p>
      <w:pPr>
        <w:pStyle w:val="Compact"/>
        <w:numPr>
          <w:ilvl w:val="1"/>
          <w:numId w:val="1002"/>
        </w:numPr>
      </w:pPr>
      <w:r>
        <w:t xml:space="preserve">separador de milhar (</w:t>
      </w:r>
      <w:r>
        <w:rPr>
          <w:rStyle w:val="VerbatimChar"/>
        </w:rPr>
        <w:t xml:space="preserve">.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separador decimal brasileiro (</w:t>
      </w:r>
      <w:r>
        <w:rPr>
          <w:rStyle w:val="VerbatimChar"/>
        </w:rPr>
        <w:t xml:space="preserve">,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símbolos e formatações visuais do Excel</w:t>
      </w:r>
    </w:p>
    <w:p>
      <w:pPr>
        <w:pStyle w:val="FirstParagraph"/>
      </w:pPr>
      <w:r>
        <w:t xml:space="preserve">Durante o upload, parte dos valores</w:t>
      </w:r>
      <w:r>
        <w:t xml:space="preserve"> </w:t>
      </w:r>
      <w:r>
        <w:rPr>
          <w:b/>
          <w:bCs/>
        </w:rPr>
        <w:t xml:space="preserve">foi interpretada incorretamente</w:t>
      </w:r>
      <w:r>
        <w:t xml:space="preserve">, resultando em:</w:t>
      </w:r>
      <w:r>
        <w:t xml:space="preserve"> </w:t>
      </w:r>
      <w:r>
        <w:t xml:space="preserve">- perda silenciosa de dados numéricos</w:t>
      </w:r>
      <w:r>
        <w:t xml:space="preserve"> </w:t>
      </w:r>
      <w:r>
        <w:t xml:space="preserve">- soma incorreta já na camada Bronze</w:t>
      </w:r>
    </w:p>
    <w:p>
      <w:pPr>
        <w:pStyle w:val="BodyText"/>
      </w:pPr>
      <w:r>
        <w:t xml:space="preserve">📌 Evidência crítica: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(valor,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bronze.movimentos_raw;</w:t>
      </w:r>
    </w:p>
    <w:p>
      <w:pPr>
        <w:pStyle w:val="FirstParagraph"/>
      </w:pPr>
      <w:r>
        <w:t xml:space="preserve">Resultado divergente em relação ao Excel original.</w:t>
      </w:r>
    </w:p>
    <w:p>
      <w:r>
        <w:pict>
          <v:rect style="width:0;height:1.5pt" o:hralign="center" o:hrstd="t" o:hr="t"/>
        </w:pict>
      </w:r>
    </w:p>
    <w:bookmarkEnd w:id="21"/>
    <w:bookmarkStart w:id="22" w:name="impacto-no-pipeline"/>
    <w:p>
      <w:pPr>
        <w:pStyle w:val="Heading2"/>
      </w:pPr>
      <w:r>
        <w:t xml:space="preserve">Impacto no Pipeline</w:t>
      </w:r>
    </w:p>
    <w:p>
      <w:pPr>
        <w:pStyle w:val="FirstParagraph"/>
      </w:pPr>
      <w:r>
        <w:t xml:space="preserve">Como a arquitetura Medallion é</w:t>
      </w:r>
      <w:r>
        <w:t xml:space="preserve"> </w:t>
      </w:r>
      <w:r>
        <w:rPr>
          <w:b/>
          <w:bCs/>
        </w:rPr>
        <w:t xml:space="preserve">cumulativa</w:t>
      </w:r>
      <w:r>
        <w:t xml:space="preserve">, o erro na Bronze propagou-se para:</w:t>
      </w:r>
    </w:p>
    <w:p>
      <w:pPr>
        <w:pStyle w:val="Compact"/>
        <w:numPr>
          <w:ilvl w:val="0"/>
          <w:numId w:val="1003"/>
        </w:numPr>
      </w:pPr>
      <w:r>
        <w:t xml:space="preserve">Silver (transformações corretas, porém baseadas em dado incorreto)</w:t>
      </w:r>
    </w:p>
    <w:p>
      <w:pPr>
        <w:pStyle w:val="Compact"/>
        <w:numPr>
          <w:ilvl w:val="0"/>
          <w:numId w:val="1003"/>
        </w:numPr>
      </w:pPr>
      <w:r>
        <w:t xml:space="preserve">Gold (fatos e métricas inconsistentes)</w:t>
      </w:r>
    </w:p>
    <w:p>
      <w:pPr>
        <w:pStyle w:val="Compact"/>
        <w:numPr>
          <w:ilvl w:val="0"/>
          <w:numId w:val="1003"/>
        </w:numPr>
      </w:pPr>
      <w:r>
        <w:t xml:space="preserve">Power BI (indicador financeiro errado)</w:t>
      </w:r>
    </w:p>
    <w:p>
      <w:pPr>
        <w:pStyle w:val="FirstParagraph"/>
      </w:pPr>
      <w:r>
        <w:t xml:space="preserve">🔴 Importante:</w:t>
      </w:r>
      <w:r>
        <w:t xml:space="preserve"> </w:t>
      </w:r>
      <w:r>
        <w:rPr>
          <w:b/>
          <w:bCs/>
        </w:rPr>
        <w:t xml:space="preserve">nenhuma transformação posterior conseguiu recuperar valores perdidos na ingestão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decisão-técnica"/>
    <w:p>
      <w:pPr>
        <w:pStyle w:val="Heading2"/>
      </w:pPr>
      <w:r>
        <w:t xml:space="preserve">Decisão Técnica</w:t>
      </w:r>
    </w:p>
    <w:p>
      <w:pPr>
        <w:pStyle w:val="FirstParagraph"/>
      </w:pPr>
      <w:r>
        <w:t xml:space="preserve">Foi adotada a decisão correta do ponto de vista de engenharia de dados:</w:t>
      </w:r>
    </w:p>
    <w:p>
      <w:pPr>
        <w:pStyle w:val="Compact"/>
        <w:numPr>
          <w:ilvl w:val="0"/>
          <w:numId w:val="1004"/>
        </w:numPr>
      </w:pPr>
      <w:r>
        <w:t xml:space="preserve">❌ Não corrigir valores manualmente nas camadas Silver ou Gold</w:t>
      </w:r>
    </w:p>
    <w:p>
      <w:pPr>
        <w:pStyle w:val="Compact"/>
        <w:numPr>
          <w:ilvl w:val="0"/>
          <w:numId w:val="1004"/>
        </w:numPr>
      </w:pPr>
      <w:r>
        <w:t xml:space="preserve">❌ Não</w:t>
      </w:r>
      <w:r>
        <w:t xml:space="preserve"> </w:t>
      </w:r>
      <w:r>
        <w:t xml:space="preserve">“ajustar”</w:t>
      </w:r>
      <w:r>
        <w:t xml:space="preserve"> </w:t>
      </w:r>
      <w:r>
        <w:t xml:space="preserve">métricas no Power BI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Reprocessar a ingestão desde a origem</w:t>
      </w:r>
    </w:p>
    <w:p>
      <w:pPr>
        <w:pStyle w:val="FirstParagraph"/>
      </w:pPr>
      <w:r>
        <w:t xml:space="preserve">A tabela Bronze foi descartada e o arquivo foi reingerido corretamente.</w:t>
      </w:r>
    </w:p>
    <w:p>
      <w:r>
        <w:pict>
          <v:rect style="width:0;height:1.5pt" o:hralign="center" o:hrstd="t" o:hr="t"/>
        </w:pict>
      </w:r>
    </w:p>
    <w:bookmarkEnd w:id="23"/>
    <w:bookmarkStart w:id="24" w:name="solução-aplicada"/>
    <w:p>
      <w:pPr>
        <w:pStyle w:val="Heading2"/>
      </w:pPr>
      <w:r>
        <w:t xml:space="preserve">Solução Aplicada</w:t>
      </w:r>
    </w:p>
    <w:p>
      <w:pPr>
        <w:pStyle w:val="Compact"/>
        <w:numPr>
          <w:ilvl w:val="0"/>
          <w:numId w:val="1005"/>
        </w:numPr>
      </w:pPr>
      <w:r>
        <w:t xml:space="preserve">Exclusão da tabela Bronze: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bronze.movimentos_raw;</w:t>
      </w:r>
    </w:p>
    <w:p>
      <w:pPr>
        <w:pStyle w:val="Compact"/>
        <w:numPr>
          <w:ilvl w:val="0"/>
          <w:numId w:val="1006"/>
        </w:numPr>
      </w:pPr>
      <w:r>
        <w:t xml:space="preserve">Preparação correta do arquivo fonte:</w:t>
      </w:r>
    </w:p>
    <w:p>
      <w:pPr>
        <w:pStyle w:val="Compact"/>
        <w:numPr>
          <w:ilvl w:val="0"/>
          <w:numId w:val="1007"/>
        </w:numPr>
      </w:pPr>
      <w:r>
        <w:t xml:space="preserve">Conversão para</w:t>
      </w:r>
      <w:r>
        <w:t xml:space="preserve"> </w:t>
      </w:r>
      <w:r>
        <w:rPr>
          <w:b/>
          <w:bCs/>
        </w:rPr>
        <w:t xml:space="preserve">CSV UTF-8</w:t>
      </w:r>
    </w:p>
    <w:p>
      <w:pPr>
        <w:pStyle w:val="Compact"/>
        <w:numPr>
          <w:ilvl w:val="0"/>
          <w:numId w:val="1007"/>
        </w:numPr>
      </w:pPr>
      <w:r>
        <w:t xml:space="preserve">Remoção de:</w:t>
      </w:r>
    </w:p>
    <w:p>
      <w:pPr>
        <w:pStyle w:val="Compact"/>
        <w:numPr>
          <w:ilvl w:val="1"/>
          <w:numId w:val="1008"/>
        </w:numPr>
      </w:pPr>
      <w:r>
        <w:t xml:space="preserve">separador de milhar</w:t>
      </w:r>
    </w:p>
    <w:p>
      <w:pPr>
        <w:pStyle w:val="Compact"/>
        <w:numPr>
          <w:ilvl w:val="1"/>
          <w:numId w:val="1008"/>
        </w:numPr>
      </w:pPr>
      <w:r>
        <w:t xml:space="preserve">símbolos monetários</w:t>
      </w:r>
    </w:p>
    <w:p>
      <w:pPr>
        <w:pStyle w:val="Compact"/>
        <w:numPr>
          <w:ilvl w:val="0"/>
          <w:numId w:val="1007"/>
        </w:numPr>
      </w:pPr>
      <w:r>
        <w:t xml:space="preserve">Padronização do decimal para</w:t>
      </w:r>
      <w:r>
        <w:t xml:space="preserve"> </w:t>
      </w:r>
      <w:r>
        <w:rPr>
          <w:rStyle w:val="VerbatimChar"/>
        </w:rPr>
        <w:t xml:space="preserve">.</w:t>
      </w:r>
    </w:p>
    <w:p>
      <w:pPr>
        <w:numPr>
          <w:ilvl w:val="0"/>
          <w:numId w:val="1009"/>
        </w:numPr>
      </w:pPr>
      <w:r>
        <w:t xml:space="preserve">Novo upload no Supabase</w:t>
      </w:r>
    </w:p>
    <w:p>
      <w:pPr>
        <w:numPr>
          <w:ilvl w:val="0"/>
          <w:numId w:val="1009"/>
        </w:numPr>
      </w:pPr>
      <w:r>
        <w:t xml:space="preserve">Validação imediata pós-ingestão: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bronze.movimentos_raw;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(valor: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bronze.movimentos_raw;</w:t>
      </w:r>
    </w:p>
    <w:p>
      <w:pPr>
        <w:pStyle w:val="Compact"/>
        <w:numPr>
          <w:ilvl w:val="0"/>
          <w:numId w:val="1010"/>
        </w:numPr>
      </w:pPr>
      <w:r>
        <w:t xml:space="preserve">Continuidade do pipeline somente após validação positiva</w:t>
      </w:r>
    </w:p>
    <w:p>
      <w:r>
        <w:pict>
          <v:rect style="width:0;height:1.5pt" o:hralign="center" o:hrstd="t" o:hr="t"/>
        </w:pict>
      </w:r>
    </w:p>
    <w:bookmarkEnd w:id="24"/>
    <w:bookmarkStart w:id="25" w:name="lição-aprendida-principal"/>
    <w:p>
      <w:pPr>
        <w:pStyle w:val="Heading2"/>
      </w:pPr>
      <w:r>
        <w:t xml:space="preserve">Lição Aprendida (Principal)</w:t>
      </w:r>
    </w:p>
    <w:p>
      <w:pPr>
        <w:pStyle w:val="BlockText"/>
      </w:pPr>
      <w:r>
        <w:rPr>
          <w:b/>
          <w:bCs/>
        </w:rPr>
        <w:t xml:space="preserve">A camada Bronze é sagrada. Se o dado entra errado nela, todo o pipeline estará errado.</w:t>
      </w:r>
    </w:p>
    <w:p>
      <w:pPr>
        <w:pStyle w:val="FirstParagraph"/>
      </w:pPr>
      <w:r>
        <w:t xml:space="preserve">Especialmente quando a fonte é:</w:t>
      </w:r>
      <w:r>
        <w:t xml:space="preserve"> </w:t>
      </w:r>
      <w:r>
        <w:t xml:space="preserve">- Excel</w:t>
      </w:r>
      <w:r>
        <w:t xml:space="preserve"> </w:t>
      </w:r>
      <w:r>
        <w:t xml:space="preserve">- upload manual</w:t>
      </w:r>
      <w:r>
        <w:t xml:space="preserve"> </w:t>
      </w:r>
      <w:r>
        <w:t xml:space="preserve">- dados financeiros</w:t>
      </w:r>
      <w:r>
        <w:t xml:space="preserve"> </w:t>
      </w:r>
      <w:r>
        <w:t xml:space="preserve">- localidade PT-BR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Nunca confiar em dados ingeridos sem validação numérica imediata.</w:t>
      </w:r>
    </w:p>
    <w:p>
      <w:r>
        <w:pict>
          <v:rect style="width:0;height:1.5pt" o:hralign="center" o:hrstd="t" o:hr="t"/>
        </w:pict>
      </w:r>
    </w:p>
    <w:bookmarkEnd w:id="25"/>
    <w:bookmarkStart w:id="26" w:name="boas-práticas-consolidadas"/>
    <w:p>
      <w:pPr>
        <w:pStyle w:val="Heading2"/>
      </w:pPr>
      <w:r>
        <w:t xml:space="preserve">Boas Práticas Consolidadas</w:t>
      </w:r>
    </w:p>
    <w:p>
      <w:pPr>
        <w:pStyle w:val="Compact"/>
        <w:numPr>
          <w:ilvl w:val="0"/>
          <w:numId w:val="1011"/>
        </w:numPr>
      </w:pPr>
      <w:r>
        <w:t xml:space="preserve">Bronze deve ser tratada como</w:t>
      </w:r>
      <w:r>
        <w:t xml:space="preserve"> </w:t>
      </w:r>
      <w:r>
        <w:rPr>
          <w:b/>
          <w:bCs/>
        </w:rPr>
        <w:t xml:space="preserve">imutável</w:t>
      </w:r>
    </w:p>
    <w:p>
      <w:pPr>
        <w:pStyle w:val="Compact"/>
        <w:numPr>
          <w:ilvl w:val="0"/>
          <w:numId w:val="1011"/>
        </w:numPr>
      </w:pPr>
      <w:r>
        <w:t xml:space="preserve">Qualquer erro →</w:t>
      </w:r>
      <w:r>
        <w:t xml:space="preserve"> </w:t>
      </w:r>
      <w:r>
        <w:rPr>
          <w:b/>
          <w:bCs/>
        </w:rPr>
        <w:t xml:space="preserve">reingestão</w:t>
      </w:r>
      <w:r>
        <w:t xml:space="preserve">, não correção</w:t>
      </w:r>
    </w:p>
    <w:p>
      <w:pPr>
        <w:pStyle w:val="Compact"/>
        <w:numPr>
          <w:ilvl w:val="0"/>
          <w:numId w:val="1011"/>
        </w:numPr>
      </w:pPr>
      <w:r>
        <w:t xml:space="preserve">Sempre executar checks mínimos:</w:t>
      </w:r>
    </w:p>
    <w:p>
      <w:pPr>
        <w:pStyle w:val="Compact"/>
        <w:numPr>
          <w:ilvl w:val="1"/>
          <w:numId w:val="1012"/>
        </w:numPr>
      </w:pPr>
      <w:r>
        <w:t xml:space="preserve">contagem de linhas</w:t>
      </w:r>
    </w:p>
    <w:p>
      <w:pPr>
        <w:pStyle w:val="Compact"/>
        <w:numPr>
          <w:ilvl w:val="1"/>
          <w:numId w:val="1012"/>
        </w:numPr>
      </w:pPr>
      <w:r>
        <w:t xml:space="preserve">soma de valores</w:t>
      </w:r>
    </w:p>
    <w:p>
      <w:pPr>
        <w:pStyle w:val="Compact"/>
        <w:numPr>
          <w:ilvl w:val="1"/>
          <w:numId w:val="1012"/>
        </w:numPr>
      </w:pPr>
      <w:r>
        <w:t xml:space="preserve">validação de nulos</w:t>
      </w:r>
    </w:p>
    <w:p>
      <w:pPr>
        <w:pStyle w:val="Compact"/>
        <w:numPr>
          <w:ilvl w:val="0"/>
          <w:numId w:val="1011"/>
        </w:numPr>
      </w:pPr>
      <w:r>
        <w:t xml:space="preserve">Excel deve ser considerado</w:t>
      </w:r>
      <w:r>
        <w:t xml:space="preserve"> </w:t>
      </w:r>
      <w:r>
        <w:rPr>
          <w:b/>
          <w:bCs/>
        </w:rPr>
        <w:t xml:space="preserve">fonte não confiável para números</w:t>
      </w:r>
      <w:r>
        <w:t xml:space="preserve"> </w:t>
      </w:r>
      <w:r>
        <w:t xml:space="preserve">sem pré-processamento</w:t>
      </w:r>
    </w:p>
    <w:p>
      <w:r>
        <w:pict>
          <v:rect style="width:0;height:1.5pt" o:hralign="center" o:hrstd="t" o:hr="t"/>
        </w:pict>
      </w:r>
    </w:p>
    <w:bookmarkEnd w:id="26"/>
    <w:bookmarkStart w:id="27" w:name="valor-profissional-do-caso"/>
    <w:p>
      <w:pPr>
        <w:pStyle w:val="Heading2"/>
      </w:pPr>
      <w:r>
        <w:t xml:space="preserve">Valor Profissional do Caso</w:t>
      </w:r>
    </w:p>
    <w:p>
      <w:pPr>
        <w:pStyle w:val="FirstParagraph"/>
      </w:pPr>
      <w:r>
        <w:t xml:space="preserve">Este episódio demonstrou competências fundamentais de Engenharia de Dados:</w:t>
      </w:r>
    </w:p>
    <w:p>
      <w:pPr>
        <w:pStyle w:val="Compact"/>
        <w:numPr>
          <w:ilvl w:val="0"/>
          <w:numId w:val="1013"/>
        </w:numPr>
      </w:pPr>
      <w:r>
        <w:t xml:space="preserve">investigação por camadas</w:t>
      </w:r>
    </w:p>
    <w:p>
      <w:pPr>
        <w:pStyle w:val="Compact"/>
        <w:numPr>
          <w:ilvl w:val="0"/>
          <w:numId w:val="1013"/>
        </w:numPr>
      </w:pPr>
      <w:r>
        <w:t xml:space="preserve">validação quantitativa</w:t>
      </w:r>
    </w:p>
    <w:p>
      <w:pPr>
        <w:pStyle w:val="Compact"/>
        <w:numPr>
          <w:ilvl w:val="0"/>
          <w:numId w:val="1013"/>
        </w:numPr>
      </w:pPr>
      <w:r>
        <w:t xml:space="preserve">rastreabilidade de erros</w:t>
      </w:r>
    </w:p>
    <w:p>
      <w:pPr>
        <w:pStyle w:val="Compact"/>
        <w:numPr>
          <w:ilvl w:val="0"/>
          <w:numId w:val="1013"/>
        </w:numPr>
      </w:pPr>
      <w:r>
        <w:t xml:space="preserve">tomada de decisão técnica correta</w:t>
      </w:r>
    </w:p>
    <w:p>
      <w:pPr>
        <w:pStyle w:val="Compact"/>
        <w:numPr>
          <w:ilvl w:val="0"/>
          <w:numId w:val="1013"/>
        </w:numPr>
      </w:pPr>
      <w:r>
        <w:t xml:space="preserve">alinhamento com boas práticas de mercado</w:t>
      </w:r>
    </w:p>
    <w:p>
      <w:pPr>
        <w:pStyle w:val="FirstParagraph"/>
      </w:pPr>
      <w:r>
        <w:t xml:space="preserve">📌 Este aprendizado foi documentado como parte do portfólio para evidenciar maturidade técnica e pensamento crítico em projetos de dados.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2026-02-08T04:35:14Z</dcterms:created>
  <dcterms:modified xsi:type="dcterms:W3CDTF">2026-02-08T04:35:14Z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