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pesquisa investigou a relação entre o conservadorismo contábil e a agressividade tributária em empresas não financeiras brasileiras durante o período de 2010 a 2019. Os dados contábeis foram coletados de fontes confiáveis, como Economática® e o Laboratório de Finanças e Risco – RiskFinLab®, e várias proxies foram utilizadas para medir as variáveis-chave, incluindo o conservadorismo contábil, o gerenciamento de resultados e a agressividade tributária.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sugerem uma associação estatisticamente significativa entre o conservadorismo contábil e a agressividade tributária. Especificamente, empresas que adotam práticas mais conservadoras na divulgação e reconhecimento de informações financeiras tendem a ser menos agressivas em termos de planejamento tributário. Isso implica que a postura conservadora em relação às práticas contábeis pode influenciar as estratégias de gestão fiscal das empresas.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mesmo após controlar os efeitos do gerenciamento de resultados, a relação entre o conservadorismo contábil e a agressividade tributária permaneceu significativa. Isso sugere que o conservadorismo contábil pode ser um indicador independente da propensão de uma empresa a adotar estratégias agressivas de minimização fiscal.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Outro achado interessante é que as empresas mais conservadoras tendem a ter uma menor disparidade na carga tributária, tanto em termos de impostos federais quanto estaduais. Isso sugere que o conservadorismo contábil pode promover uma maior consistência e transparência na gestão fiscal das empresas.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resumo, os resultados deste estudo destacam a importância do conservadorismo contábil na determinação das práticas de gestão tributária das empresas brasileiras não financeiras. Essas descobertas têm implicações significativas para a compreensão do comportamento financeiro e fiscal das empresas e podem informar políticas e práticas regulatórias no contexto brasileiro.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