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B9C8F" w14:textId="60788F34" w:rsidR="00DF2F96" w:rsidRPr="006E7C35" w:rsidRDefault="00981C2C" w:rsidP="00981C2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81C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DE AVALIAÇÃO DE DESEMPENHO PARA CONTEXTOS REMOTO E HÍBRIDO</w:t>
      </w:r>
    </w:p>
    <w:p w14:paraId="1BCE8E65" w14:textId="77777777" w:rsidR="006E7C35" w:rsidRPr="006E7C35" w:rsidRDefault="006E7C35" w:rsidP="006E7C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A677B8" w14:textId="0EC807F7" w:rsidR="00AE7226" w:rsidRPr="00AE7226" w:rsidRDefault="00AE7226" w:rsidP="006E7C3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7226">
        <w:rPr>
          <w:rFonts w:ascii="Times New Roman" w:hAnsi="Times New Roman" w:cs="Times New Roman"/>
          <w:b/>
          <w:bCs/>
          <w:sz w:val="24"/>
          <w:szCs w:val="24"/>
        </w:rPr>
        <w:t>Resumo:</w:t>
      </w:r>
    </w:p>
    <w:p w14:paraId="33E756AF" w14:textId="1AB654C8" w:rsidR="00DF2F96" w:rsidRPr="006D402B" w:rsidRDefault="002310E6" w:rsidP="004C3D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10E6">
        <w:rPr>
          <w:rFonts w:ascii="Times New Roman" w:hAnsi="Times New Roman" w:cs="Times New Roman"/>
          <w:sz w:val="24"/>
          <w:szCs w:val="24"/>
        </w:rPr>
        <w:t>O avanço das tecnologias de comunicação e a ampliação do trabalho remoto e híbrido transformaram as práticas de avaliação de desempenho, ao mesmo tempo em que revelaram lacunas nos modelos utilizados por gestores para mensurar resultados em contextos não presenciais. Em muitos casos, a ausência de instrumentos avaliativos adaptados reforçou percepções de perda de controle, contribuindo para o movimento de retorno ao trabalho presencial observado em diversas organizações. Este estudo teve como objetivo analisar a aplicabilidade e o nível de aceitação de indicadores concebidos para o trabalho remoto e híbrido, considerando a percepção de especialistas com experiência em gestão de pessoas e avaliação de desempenho nessas modalidades. A pesquisa foi conduzida no âmbito de um programa de pós-graduação em contabilidade e utilizou abordagem mista, com aplicação de uma rodada única da Técnica Delphi para validação das dimensões propostas. Nove critérios de análise nortearam a avaliação dos indicadores, incluindo mensurabilidade, relevância estratégica, comparabilidade e utilidade percebida. Os resultados mostraram maior consenso nas dimensões baseadas em métricas objetivas e maior variabilidade nas que dependem de percepções subjetivas, o que reforça a necessidade de metodologias complementares. O conjunto validado de indicadores pode servir como referência para organizações que desejam aprimorar seus sistemas avaliativos, reduzindo interpretações subjetivas, alinhando expectativas e fortalecendo a confiança nas práticas de gestão, contribuindo para a manutenção de políticas flexíveis alinhadas às características do trabalho não presencial.</w:t>
      </w:r>
    </w:p>
    <w:p w14:paraId="5EFF2997" w14:textId="77777777" w:rsidR="006D402B" w:rsidRDefault="006D402B" w:rsidP="00786D6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719257" w14:textId="44467B90" w:rsidR="006E7C35" w:rsidRDefault="006E7C35" w:rsidP="00786D6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7226">
        <w:rPr>
          <w:rFonts w:ascii="Times New Roman" w:hAnsi="Times New Roman" w:cs="Times New Roman"/>
          <w:b/>
          <w:bCs/>
          <w:sz w:val="24"/>
          <w:szCs w:val="24"/>
        </w:rPr>
        <w:t>Palavras-chave: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E7C35">
        <w:rPr>
          <w:rFonts w:ascii="Times New Roman" w:hAnsi="Times New Roman" w:cs="Times New Roman"/>
          <w:sz w:val="24"/>
          <w:szCs w:val="24"/>
        </w:rPr>
        <w:t>Trabalho remoto, Indicadores de desempenho, Avaliação de desempenho, Gestão, Produtividade</w:t>
      </w:r>
    </w:p>
    <w:p w14:paraId="617ABAE9" w14:textId="77777777" w:rsidR="00AE7226" w:rsidRDefault="00AE7226" w:rsidP="00786D6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898475" w14:textId="77777777" w:rsidR="00AE7226" w:rsidRDefault="00AE7226" w:rsidP="00786D6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DF3A10" w14:textId="707B10B0" w:rsidR="00DF2F96" w:rsidRPr="00A321F2" w:rsidRDefault="00AE7226" w:rsidP="00A321F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7226">
        <w:rPr>
          <w:rFonts w:ascii="Times New Roman" w:hAnsi="Times New Roman" w:cs="Times New Roman"/>
          <w:b/>
          <w:bCs/>
          <w:sz w:val="24"/>
          <w:szCs w:val="24"/>
        </w:rPr>
        <w:t>1. Introdução</w:t>
      </w:r>
    </w:p>
    <w:p w14:paraId="34E38508" w14:textId="31AFEAEC" w:rsidR="00BD1799" w:rsidRPr="00BD1799" w:rsidRDefault="00BD1799" w:rsidP="00BD17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D1799">
        <w:rPr>
          <w:rFonts w:ascii="Times New Roman" w:hAnsi="Times New Roman" w:cs="Times New Roman"/>
          <w:sz w:val="24"/>
          <w:szCs w:val="24"/>
        </w:rPr>
        <w:t>O avanço das tecnologias de informação e comunicação, aliado às mudanças estruturais nas relações de trabalho, impulsionou a expansão dos modelos remoto e híbrido. A pandemia da COVID-19 acelerou investimentos em infraestrutura digital, reorganização de espaços e adoção de ferramentas de colaboração a distância, como observado em empresas que passaram a incorporar soluções baseadas em inteligência artificial para sustentar produtividade e interação em ambientes com menor contato físico (Microsoft, 2023). Paralelamente, experiências organizacionais indicaram que o modelo híbrido tem proporcionado melhorias percebidas na qualidade de vida, favorecendo maior integração entre demandas pessoais e profissionais.</w:t>
      </w:r>
    </w:p>
    <w:p w14:paraId="3C06466B" w14:textId="01D05DEC" w:rsidR="00BD1799" w:rsidRPr="00BD1799" w:rsidRDefault="00BD1799" w:rsidP="00BD17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D1799">
        <w:rPr>
          <w:rFonts w:ascii="Times New Roman" w:hAnsi="Times New Roman" w:cs="Times New Roman"/>
          <w:sz w:val="24"/>
          <w:szCs w:val="24"/>
        </w:rPr>
        <w:t>Apesar dessas transformações, observa-se um movimento crescente de retorno ao trabalho presencial. No Reino Unido, levantamento apontou que quase metade das empresas passou a exigir presença total nos escritórios, frente a percentuais significativamente menores no ano anterior (</w:t>
      </w:r>
      <w:proofErr w:type="spellStart"/>
      <w:r w:rsidRPr="00BD1799">
        <w:rPr>
          <w:rFonts w:ascii="Times New Roman" w:hAnsi="Times New Roman" w:cs="Times New Roman"/>
          <w:sz w:val="24"/>
          <w:szCs w:val="24"/>
        </w:rPr>
        <w:t>Pickard</w:t>
      </w:r>
      <w:proofErr w:type="spellEnd"/>
      <w:r w:rsidRPr="00BD1799">
        <w:rPr>
          <w:rFonts w:ascii="Times New Roman" w:hAnsi="Times New Roman" w:cs="Times New Roman"/>
          <w:sz w:val="24"/>
          <w:szCs w:val="24"/>
        </w:rPr>
        <w:t xml:space="preserve">, 2024). Nos Estados Unidos, organizações como a Starbucks e a Ford adotaram políticas que aumentam a frequência obrigatória no local de trabalho, vinculando parte dessa decisão à busca por maior colaboração e desempenho organizacional (News.com.au, 2025; </w:t>
      </w:r>
      <w:proofErr w:type="spellStart"/>
      <w:r w:rsidRPr="00BD1799">
        <w:rPr>
          <w:rFonts w:ascii="Times New Roman" w:hAnsi="Times New Roman" w:cs="Times New Roman"/>
          <w:sz w:val="24"/>
          <w:szCs w:val="24"/>
        </w:rPr>
        <w:t>Investopedia</w:t>
      </w:r>
      <w:proofErr w:type="spellEnd"/>
      <w:r w:rsidRPr="00BD1799">
        <w:rPr>
          <w:rFonts w:ascii="Times New Roman" w:hAnsi="Times New Roman" w:cs="Times New Roman"/>
          <w:sz w:val="24"/>
          <w:szCs w:val="24"/>
        </w:rPr>
        <w:t>, 2025). Esse fenômeno está associado, em muitos casos, à percepção de líderes e gestores de que não dispõem de instrumentos avaliativos adequados para mensurar desempenho de forma consistente em contextos de trabalho não presencial.</w:t>
      </w:r>
    </w:p>
    <w:p w14:paraId="4E1B2111" w14:textId="77777777" w:rsidR="00BD1799" w:rsidRDefault="00BD1799" w:rsidP="00BD17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D1799">
        <w:rPr>
          <w:rFonts w:ascii="Times New Roman" w:hAnsi="Times New Roman" w:cs="Times New Roman"/>
          <w:sz w:val="24"/>
          <w:szCs w:val="24"/>
        </w:rPr>
        <w:t xml:space="preserve">Estudos indicam que, embora seja possível alcançar altos níveis de engajamento e performance em modelos híbridos e remotos, muitos gestores mantêm dificuldade em avaliar essas entregas com base em métricas adaptadas ao contexto, o que gera a sensação de perda de controle </w:t>
      </w:r>
      <w:r w:rsidRPr="00BD1799">
        <w:rPr>
          <w:rFonts w:ascii="Times New Roman" w:hAnsi="Times New Roman" w:cs="Times New Roman"/>
          <w:sz w:val="24"/>
          <w:szCs w:val="24"/>
        </w:rPr>
        <w:lastRenderedPageBreak/>
        <w:t>(Forbes, 2025). Essa lacuna leva parte da liderança a associar proximidade física a maior produtividade, reforçando políticas de retorno. Exemplos recentes incluem a AT&amp;T, cujo CEO condicionou a permanência na empresa à adaptação ao trabalho presencial, justificando que a colaboração física seria indispensável para projetos estratégicos (Business Insider, 2025), e o HSBC, que passou a vincular benefícios e remuneração variável à frequência mínima no escritório (The Times, 2025). Essas práticas evidenciam uma preferência por mecanismos baseados em controle da presença, em detrimento da adoção de indicadores orientados a resultados.</w:t>
      </w:r>
    </w:p>
    <w:p w14:paraId="56B6080D" w14:textId="39D8D2C8" w:rsidR="004C3D4D" w:rsidRPr="004C3D4D" w:rsidRDefault="004C3D4D" w:rsidP="00BD17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3D4D">
        <w:rPr>
          <w:rFonts w:ascii="Times New Roman" w:hAnsi="Times New Roman" w:cs="Times New Roman"/>
          <w:sz w:val="24"/>
          <w:szCs w:val="24"/>
        </w:rPr>
        <w:t>Com base nesse cenário, Bloom et al. (2015) e Wang et al. (2020) apontam que a definição estruturada de métricas e a adaptação dos sistemas avaliativos são determinantes para manter alinhamento entre expectativas e resultados. Além disso, Kaplan e Norton (1996, 2001) e Neely et al. (2002) destacam que a mensuração precisa estar conectada à estratégia, de modo que aquilo que é medido mantenha relação direta com os objetivos organizacionais.</w:t>
      </w:r>
    </w:p>
    <w:p w14:paraId="1595B34F" w14:textId="5934CFC5" w:rsidR="004C3D4D" w:rsidRPr="004C3D4D" w:rsidRDefault="004C3D4D" w:rsidP="004C3D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3D4D">
        <w:rPr>
          <w:rFonts w:ascii="Times New Roman" w:hAnsi="Times New Roman" w:cs="Times New Roman"/>
          <w:sz w:val="24"/>
          <w:szCs w:val="24"/>
        </w:rPr>
        <w:t>A partir dessa perspectiva, esta pesquisa foi concebida diante da constatação de que, mesmo com a ampliação do trabalho remoto, ainda há poucas evidências empíricas que indiquem quais dimensões e indicadores de desempenho se ajustam melhor a esse contexto. Nesse sentido, estudos como os de Bélanger e Crossler (2011) mostram que infraestrutura tecnológica, condições de trabalho e segurança da informação afetam de forma direta o desempenho, enquanto Cardoso et al. (2025) evidenciam que equilíbrio entre vida pessoal e profissional e saúde mental influenciam a entrega de resultados.</w:t>
      </w:r>
    </w:p>
    <w:p w14:paraId="1E944138" w14:textId="08059514" w:rsidR="004C3D4D" w:rsidRPr="004C3D4D" w:rsidRDefault="004C3D4D" w:rsidP="004C3D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3D4D">
        <w:rPr>
          <w:rFonts w:ascii="Times New Roman" w:hAnsi="Times New Roman" w:cs="Times New Roman"/>
          <w:sz w:val="24"/>
          <w:szCs w:val="24"/>
        </w:rPr>
        <w:t>Dessa forma, a escolha do tema buscou oferecer parâmetros que auxiliem gestores na construção de práticas avaliativas consistentes, capazes de reduzir interpretações subjetivas e apoiar decisões baseadas em dados. Em continuidade, o objetivo geral do estudo foi analisar a aplicabilidade e o nível de aceitação de indicadores no trabalho remoto e híbrido, tendo como foco a discussão e análise das dimensões que compuseram o modelo proposto.</w:t>
      </w:r>
    </w:p>
    <w:p w14:paraId="627719FC" w14:textId="3896B0B3" w:rsidR="00AE7226" w:rsidRDefault="004C3D4D" w:rsidP="004C3D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3D4D">
        <w:rPr>
          <w:rFonts w:ascii="Times New Roman" w:hAnsi="Times New Roman" w:cs="Times New Roman"/>
          <w:sz w:val="24"/>
          <w:szCs w:val="24"/>
        </w:rPr>
        <w:t>Quanto ao direcionamento da investigação, as questões centrais envolveram a identificação das dimensões com maior potencial de aplicação prática, das que apresentam maior consenso entre avaliadores e das que requerem ajustes metodológicos para ampliar sua utilidade. Por fim, a análise dessas dimensões permitiu identificar aquelas viáveis para adoção imediata e as que demandam refinamentos para atender às características do trabalho não presencial, contribuindo para sistemas avaliativos mais ajustados e eficazes.</w:t>
      </w:r>
    </w:p>
    <w:p w14:paraId="5E6C7F0D" w14:textId="77777777" w:rsidR="00940450" w:rsidRDefault="00940450" w:rsidP="0094045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2533B0" w14:textId="42895782" w:rsidR="00AE7226" w:rsidRPr="00AE7226" w:rsidRDefault="00AE7226" w:rsidP="00AE722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7226">
        <w:rPr>
          <w:rFonts w:ascii="Times New Roman" w:hAnsi="Times New Roman" w:cs="Times New Roman"/>
          <w:b/>
          <w:bCs/>
          <w:sz w:val="24"/>
          <w:szCs w:val="24"/>
        </w:rPr>
        <w:t>2. Referencial teórico</w:t>
      </w:r>
    </w:p>
    <w:p w14:paraId="4C37E7F9" w14:textId="4BEBF2A8" w:rsidR="00AE7226" w:rsidRPr="00D47BCD" w:rsidRDefault="00AE7226" w:rsidP="00AE722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7BCD">
        <w:rPr>
          <w:rFonts w:ascii="Times New Roman" w:hAnsi="Times New Roman" w:cs="Times New Roman"/>
          <w:b/>
          <w:bCs/>
          <w:sz w:val="24"/>
          <w:szCs w:val="24"/>
        </w:rPr>
        <w:t xml:space="preserve">2.1 </w:t>
      </w:r>
      <w:r w:rsidR="00D47BCD" w:rsidRPr="00D47BCD">
        <w:rPr>
          <w:rFonts w:ascii="Times New Roman" w:hAnsi="Times New Roman" w:cs="Times New Roman"/>
          <w:b/>
          <w:bCs/>
          <w:sz w:val="24"/>
          <w:szCs w:val="24"/>
        </w:rPr>
        <w:t>Avaliação de desempenho no contexto organizacional</w:t>
      </w:r>
    </w:p>
    <w:p w14:paraId="6BCD32AB" w14:textId="35CBC772" w:rsidR="00D47BCD" w:rsidRPr="00D47BCD" w:rsidRDefault="00D47BCD" w:rsidP="00D47B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7BCD">
        <w:rPr>
          <w:rFonts w:ascii="Times New Roman" w:hAnsi="Times New Roman" w:cs="Times New Roman"/>
          <w:sz w:val="24"/>
          <w:szCs w:val="24"/>
        </w:rPr>
        <w:t>A avaliação de desempenho é um componente central dos sistemas de gestão e serve como instrumento para alinhar o comportamento dos indivíduos e das equipes aos objetivos estratégicos da organização. Kaplan e Norton (1996, 2001) argumentam que o desempenho precisa ser medido de forma integrada, combinando indicadores financeiros e não financeiros para fornecer uma visão abrangente sobre a capacidade da organização em gerar valor no curto e no longo prazo. Essa perspectiva amplia a função tradicional da avaliação, que antes estava restrita a medir resultados de forma isolada, para um papel mais amplo de suporte à execução da estratégia. Neely et al. (2002) reforçam que um sistema de mensuração de desempenho eficaz deve atender a critérios como clareza, comparabilidade e capacidade de orientar ações, de modo que os resultados obtidos possam ser traduzidos em melhorias concretas nos processos e na tomada de decisão.</w:t>
      </w:r>
    </w:p>
    <w:p w14:paraId="1F4D18ED" w14:textId="65AF27D2" w:rsidR="00D47BCD" w:rsidRPr="00D47BCD" w:rsidRDefault="00D47BCD" w:rsidP="00D47B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7BCD">
        <w:rPr>
          <w:rFonts w:ascii="Times New Roman" w:hAnsi="Times New Roman" w:cs="Times New Roman"/>
          <w:sz w:val="24"/>
          <w:szCs w:val="24"/>
        </w:rPr>
        <w:t xml:space="preserve">Ao longo do tempo, o conceito de avaliação de desempenho evoluiu acompanhando as mudanças no ambiente empresarial e nas estruturas organizacionais. Inicialmente, prevaleceram métodos voltados para medir a produção individual com base em parâmetros quantitativos e diretamente observáveis, prática compatível com modelos de trabalho mais centralizados e presenciais. Com a crescente complexidade das operações e o aumento da interdependência entre </w:t>
      </w:r>
      <w:r w:rsidRPr="00D47BCD">
        <w:rPr>
          <w:rFonts w:ascii="Times New Roman" w:hAnsi="Times New Roman" w:cs="Times New Roman"/>
          <w:sz w:val="24"/>
          <w:szCs w:val="24"/>
        </w:rPr>
        <w:lastRenderedPageBreak/>
        <w:t>áreas, surgiram abordagens que passaram a valorizar também fatores relacionados a processos, competências e comportamentos. DeNisi e Pritchard (2006) apontam que essa mudança reflete a compreensão de que o desempenho é resultado de um conjunto de variáveis que ultrapassa o cumprimento de metas numéricas e envolve a motivação, a clareza das expectativas e a adequação dos recursos disponíveis.</w:t>
      </w:r>
    </w:p>
    <w:p w14:paraId="0B49FDFB" w14:textId="0B97811A" w:rsidR="00D47BCD" w:rsidRPr="00D47BCD" w:rsidRDefault="00D47BCD" w:rsidP="00D47B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7BCD">
        <w:rPr>
          <w:rFonts w:ascii="Times New Roman" w:hAnsi="Times New Roman" w:cs="Times New Roman"/>
          <w:sz w:val="24"/>
          <w:szCs w:val="24"/>
        </w:rPr>
        <w:t>A conexão entre avaliação e estratégia exige que os indicadores escolhidos sejam diretamente derivados das prioridades organizacionais. Kaplan e Norton (1996) enfatizam que a mensuração deve ser utilizada não apenas para monitorar resultados, mas para direcionar esforços e alinhar as ações de todos os níveis hierárquicos. Esse alinhamento é sustentado por um processo contínuo de feedback, que permite ajustes na execução e no planejamento. Neely et al. (2002) observam que, para cumprir essa função, os sistemas de avaliação precisam ser dinâmicos, capazes de se adaptar às mudanças no ambiente interno e externo.</w:t>
      </w:r>
    </w:p>
    <w:p w14:paraId="6330EAF9" w14:textId="30A14473" w:rsidR="00AE7226" w:rsidRDefault="00D47BCD" w:rsidP="00D47B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7BCD">
        <w:rPr>
          <w:rFonts w:ascii="Times New Roman" w:hAnsi="Times New Roman" w:cs="Times New Roman"/>
          <w:sz w:val="24"/>
          <w:szCs w:val="24"/>
        </w:rPr>
        <w:t>Essa necessidade de adaptação se intensifica à medida que o contexto de trabalho se transforma. O avanço das tecnologias de comunicação e a expansão de modalidades de trabalho remoto e híbrido têm alterado a forma como os resultados são produzidos e como a contribuição de cada profissional é percebida. Nesse cenário, o conceito de avaliação de desempenho deixa de ser apenas um mecanismo de controle e passa a desempenhar também um papel de integração, conectando objetivos estratégicos, práticas de gestão e condições reais de execução das atividades. Essa transição estabelece a base para a discussão sobre como os métodos tradicionais se ajustam às novas formas de trabalho e como dimensões específicas podem ser incorporadas para garantir que a mensuração continue refletindo com precisão a realidade organizacional.</w:t>
      </w:r>
    </w:p>
    <w:p w14:paraId="2FECC250" w14:textId="77777777" w:rsidR="00AE7226" w:rsidRDefault="00AE7226" w:rsidP="00AE722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CA3A1A" w14:textId="0AB55D49" w:rsidR="00AE7226" w:rsidRDefault="00AE7226" w:rsidP="00AE722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7226">
        <w:rPr>
          <w:rFonts w:ascii="Times New Roman" w:hAnsi="Times New Roman" w:cs="Times New Roman"/>
          <w:b/>
          <w:bCs/>
          <w:sz w:val="24"/>
          <w:szCs w:val="24"/>
        </w:rPr>
        <w:t xml:space="preserve">2.2 </w:t>
      </w:r>
      <w:r w:rsidR="00D47BCD" w:rsidRPr="00D47BCD">
        <w:rPr>
          <w:rFonts w:ascii="Times New Roman" w:hAnsi="Times New Roman" w:cs="Times New Roman"/>
          <w:b/>
          <w:bCs/>
          <w:sz w:val="24"/>
          <w:szCs w:val="24"/>
        </w:rPr>
        <w:t>Desafios e adaptações da avaliação de desempenho no trabalho remoto e híbrido</w:t>
      </w:r>
    </w:p>
    <w:p w14:paraId="5389C46A" w14:textId="77777777" w:rsidR="005C0EF0" w:rsidRDefault="005C0EF0" w:rsidP="005C0E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0EF0">
        <w:rPr>
          <w:rFonts w:ascii="Times New Roman" w:hAnsi="Times New Roman" w:cs="Times New Roman"/>
          <w:sz w:val="24"/>
          <w:szCs w:val="24"/>
        </w:rPr>
        <w:t>A adoção do trabalho remoto e híbrido alterou de forma significativa as práticas de avaliação de desempenho, criando um conjunto de desafios que decorrem da redução do contato presencial e da dependência de tecnologias de comunicação. Bloom et al. (2015) identificam que a ausência de supervisão física contínua pode dificultar a observação direta de comportamentos e a identificação imediata de problemas, o que exige o uso de métricas objetivas e procedimentos claros para reduzir ambiguidades. Ao mesmo tempo, Wang et al. (2020) ressaltam que o desenho do trabalho deve considerar as características do ambiente remoto para que a avaliação de desempenho seja coerente com a forma como as atividades são realizadas e monitoradas.</w:t>
      </w:r>
    </w:p>
    <w:p w14:paraId="2D6B31EA" w14:textId="77777777" w:rsidR="005C0EF0" w:rsidRDefault="005C0EF0" w:rsidP="005C0E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0EF0">
        <w:rPr>
          <w:rFonts w:ascii="Times New Roman" w:hAnsi="Times New Roman" w:cs="Times New Roman"/>
          <w:sz w:val="24"/>
          <w:szCs w:val="24"/>
        </w:rPr>
        <w:t>A transição para modelos não presenciais demanda a incorporação de recursos tecnológicos que permitam registrar, acompanhar e mensurar resultados de forma confiável. Bélanger e Crossler (2011) apontam que a infraestrutura tecnológica desempenha papel determinante não apenas na execução das tarefas, mas também na qualidade dos dados disponíveis para avaliação. Sem sistemas adequados de coleta e processamento de informações, torna-se mais difícil garantir a comparabilidade entre períodos e entre diferentes equipes. Essa limitação pode comprometer a percepção de justiça e a utilidade dos resultados obtidos.</w:t>
      </w:r>
    </w:p>
    <w:p w14:paraId="0E6D58FB" w14:textId="77777777" w:rsidR="005C0EF0" w:rsidRDefault="005C0EF0" w:rsidP="005C0E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0EF0">
        <w:rPr>
          <w:rFonts w:ascii="Times New Roman" w:hAnsi="Times New Roman" w:cs="Times New Roman"/>
          <w:sz w:val="24"/>
          <w:szCs w:val="24"/>
        </w:rPr>
        <w:t>Além da dimensão tecnológica, o trabalho remoto e híbrido impõe desafios ligados a fatores humanos e organizacionais. Cardoso et al. (2025) mostram que variáveis como equilíbrio entre vida pessoal e profissional, condições de trabalho domésticas e níveis de estresse influenciam diretamente a produtividade e a qualidade das entregas. Esses elementos nem sempre são captados por métricas tradicionais, o que reforça a necessidade de incluir indicadores qualitativos que representem a realidade dos trabalhadores em ambientes dispersos geograficamente. Maslach e Leiter (2016) acrescentam que aspectos relacionados à saúde mental e ao engajamento têm peso considerável no desempenho, especialmente quando as interações presenciais são substituídas por comunicações mediadas por tecnologia.</w:t>
      </w:r>
    </w:p>
    <w:p w14:paraId="0F46CE34" w14:textId="77777777" w:rsidR="005C0EF0" w:rsidRDefault="005C0EF0" w:rsidP="005C0E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0EF0">
        <w:rPr>
          <w:rFonts w:ascii="Times New Roman" w:hAnsi="Times New Roman" w:cs="Times New Roman"/>
          <w:sz w:val="24"/>
          <w:szCs w:val="24"/>
        </w:rPr>
        <w:lastRenderedPageBreak/>
        <w:t>A adaptação dos sistemas de avaliação a esse cenário envolve não apenas a escolha de novos indicadores, mas também a revisão dos processos de coleta, análise e uso das informações. Wang et al. (2020) defendem que a definição de métricas deve estar alinhada ao redesenho das funções e responsabilidades, de forma a refletir o que realmente pode ser observado e medido no ambiente remoto. Isso implica considerar tanto resultados objetivos quanto variáveis que influenciam a capacidade de entrega, integrando dimensões relacionadas a desempenho técnico, colaboração, autonomia e bem-estar.</w:t>
      </w:r>
    </w:p>
    <w:p w14:paraId="6D76818F" w14:textId="2D7226CA" w:rsidR="00E803E6" w:rsidRDefault="005C0EF0" w:rsidP="005C0E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0EF0">
        <w:rPr>
          <w:rFonts w:ascii="Times New Roman" w:hAnsi="Times New Roman" w:cs="Times New Roman"/>
          <w:sz w:val="24"/>
          <w:szCs w:val="24"/>
        </w:rPr>
        <w:t>Essa combinação de fatores evidencia que os desafios da avaliação no trabalho remoto e híbrido não se limitam à substituição de instrumentos presenciais por ferramentas digitais. Eles envolvem uma reconfiguração da própria lógica de mensuração, em que o equilíbrio entre objetividade e sensibilidade às condições reais do trabalho se torna decisivo. Essa perspectiva cria o ponto de partida para discutir as dimensões específicas que podem compor um modelo de avaliação ajustado a essa nova realidade.</w:t>
      </w:r>
    </w:p>
    <w:p w14:paraId="764FA4E4" w14:textId="77777777" w:rsidR="005C0EF0" w:rsidRDefault="005C0EF0" w:rsidP="005C0EF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8190E1" w14:textId="35D57E18" w:rsidR="00E803E6" w:rsidRPr="00E803E6" w:rsidRDefault="00E803E6" w:rsidP="00E803E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03E6">
        <w:rPr>
          <w:rFonts w:ascii="Times New Roman" w:hAnsi="Times New Roman" w:cs="Times New Roman"/>
          <w:b/>
          <w:bCs/>
          <w:sz w:val="24"/>
          <w:szCs w:val="24"/>
        </w:rPr>
        <w:t>2.3 Definição das dimensões</w:t>
      </w:r>
    </w:p>
    <w:p w14:paraId="5294DF3A" w14:textId="17D4AEEC" w:rsidR="004E35FB" w:rsidRDefault="005C0EF0" w:rsidP="00E803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0EF0">
        <w:rPr>
          <w:rFonts w:ascii="Times New Roman" w:hAnsi="Times New Roman" w:cs="Times New Roman"/>
          <w:sz w:val="24"/>
          <w:szCs w:val="24"/>
        </w:rPr>
        <w:t>A definição das dimensões utilizadas neste estudo baseou-se em um levantamento teórico que permitiu identificar categorias de análise compatíveis com a mensuração de desempenho em contextos de trabalho remoto e híbrido. A escolha das dimensões considerou a frequência com que são abordadas na literatura especializada, a relação direta com os objetivos da pesquisa e a possibilidade de mensuração a partir de parâmetros observáveis. Para cada dimensão, foi estabelecida uma definição constitutiva, que descreve seu significado conceitual, e uma definição operacional, que indica como seria mensurada. Os indicadores associados foram extraídos de estudos prévios, adaptados para o contexto não presencial e validados por especialistas ao longo das etapas metodológicas, buscando garantir coerência entre fundamentação teórica e aplicação prática.</w:t>
      </w:r>
    </w:p>
    <w:p w14:paraId="4340B38E" w14:textId="77777777" w:rsidR="00E803E6" w:rsidRDefault="00E803E6" w:rsidP="004E35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8026BE" w14:textId="37875CB7" w:rsidR="00E803E6" w:rsidRPr="00E803E6" w:rsidRDefault="00E803E6" w:rsidP="004E35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803E6">
        <w:rPr>
          <w:rFonts w:ascii="Times New Roman" w:hAnsi="Times New Roman" w:cs="Times New Roman"/>
          <w:b/>
          <w:bCs/>
          <w:sz w:val="20"/>
          <w:szCs w:val="20"/>
        </w:rPr>
        <w:t>Tabela 1 –</w:t>
      </w:r>
      <w:r w:rsidRPr="00E803E6">
        <w:rPr>
          <w:rFonts w:ascii="Times New Roman" w:hAnsi="Times New Roman" w:cs="Times New Roman"/>
          <w:sz w:val="20"/>
          <w:szCs w:val="20"/>
        </w:rPr>
        <w:t xml:space="preserve"> Dimensões, definições e indicadores para avaliação de desempenho em trabalho remoto e híbrido</w:t>
      </w:r>
    </w:p>
    <w:tbl>
      <w:tblPr>
        <w:tblStyle w:val="SimplesTabela2"/>
        <w:tblW w:w="5000" w:type="pct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2789"/>
        <w:gridCol w:w="2512"/>
        <w:gridCol w:w="2778"/>
      </w:tblGrid>
      <w:tr w:rsidR="00E803E6" w:rsidRPr="00E803E6" w14:paraId="090698DA" w14:textId="77777777" w:rsidTr="00E803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" w:type="pct"/>
            <w:vAlign w:val="center"/>
            <w:hideMark/>
          </w:tcPr>
          <w:p w14:paraId="1C809E65" w14:textId="77777777" w:rsidR="00E803E6" w:rsidRPr="00E803E6" w:rsidRDefault="00E803E6" w:rsidP="00E803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Dimensão</w:t>
            </w:r>
          </w:p>
        </w:tc>
        <w:tc>
          <w:tcPr>
            <w:tcW w:w="1447" w:type="pct"/>
            <w:vAlign w:val="center"/>
            <w:hideMark/>
          </w:tcPr>
          <w:p w14:paraId="0D495CD7" w14:textId="77777777" w:rsidR="00E803E6" w:rsidRPr="00E803E6" w:rsidRDefault="00E803E6" w:rsidP="00E803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Definição Constitutiva</w:t>
            </w:r>
          </w:p>
        </w:tc>
        <w:tc>
          <w:tcPr>
            <w:tcW w:w="1303" w:type="pct"/>
            <w:vAlign w:val="center"/>
            <w:hideMark/>
          </w:tcPr>
          <w:p w14:paraId="527B56E8" w14:textId="77777777" w:rsidR="00E803E6" w:rsidRPr="00E803E6" w:rsidRDefault="00E803E6" w:rsidP="00E803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Definição Operacional</w:t>
            </w:r>
          </w:p>
        </w:tc>
        <w:tc>
          <w:tcPr>
            <w:tcW w:w="1441" w:type="pct"/>
            <w:vAlign w:val="center"/>
            <w:hideMark/>
          </w:tcPr>
          <w:p w14:paraId="60C1E1F7" w14:textId="77777777" w:rsidR="00E803E6" w:rsidRPr="00E803E6" w:rsidRDefault="00E803E6" w:rsidP="00E803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Indicadores</w:t>
            </w:r>
          </w:p>
        </w:tc>
      </w:tr>
      <w:tr w:rsidR="00E803E6" w:rsidRPr="00E803E6" w14:paraId="32084352" w14:textId="77777777" w:rsidTr="00E803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" w:type="pct"/>
            <w:vAlign w:val="center"/>
            <w:hideMark/>
          </w:tcPr>
          <w:p w14:paraId="5D2287AF" w14:textId="77777777" w:rsidR="00E803E6" w:rsidRPr="00E803E6" w:rsidRDefault="00E803E6" w:rsidP="00E803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Desempenho individual</w:t>
            </w:r>
          </w:p>
        </w:tc>
        <w:tc>
          <w:tcPr>
            <w:tcW w:w="1447" w:type="pct"/>
            <w:vAlign w:val="center"/>
            <w:hideMark/>
          </w:tcPr>
          <w:p w14:paraId="10BC3006" w14:textId="77777777" w:rsidR="00E803E6" w:rsidRPr="00E803E6" w:rsidRDefault="00E803E6" w:rsidP="00E80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Envolve a medição do desempenho em termos de output, considerando a ausência de supervisão direta e a dependência de ferramentas tecnológicas (Bloom et al., 2015).</w:t>
            </w:r>
          </w:p>
        </w:tc>
        <w:tc>
          <w:tcPr>
            <w:tcW w:w="1303" w:type="pct"/>
            <w:vAlign w:val="center"/>
            <w:hideMark/>
          </w:tcPr>
          <w:p w14:paraId="1E8B1BCA" w14:textId="77777777" w:rsidR="00E803E6" w:rsidRPr="00E803E6" w:rsidRDefault="00E803E6" w:rsidP="00E80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Medida pela quantidade de tarefas concluídas, qualidade das entregas e eficiência no cumprimento de prazos, via questionários estruturados (Bloom et al., 2015; Wang et al., 2020).</w:t>
            </w:r>
          </w:p>
        </w:tc>
        <w:tc>
          <w:tcPr>
            <w:tcW w:w="1441" w:type="pct"/>
            <w:vAlign w:val="center"/>
            <w:hideMark/>
          </w:tcPr>
          <w:p w14:paraId="59B5E468" w14:textId="77777777" w:rsidR="00E803E6" w:rsidRPr="00E803E6" w:rsidRDefault="00E803E6" w:rsidP="00E80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1 Cumprimento de prazos, 2 Tempo de execução, 3 Índice de retrabalho, 4 Ritmo de entrega, 5 Autonomia na execução, 6 Cumprimento de metas, 7 Uso de ferramentas institucionais, 8 Comunicação para execução, 9 Planejamento pessoal, 10 Autoavaliação de desempenho</w:t>
            </w:r>
          </w:p>
        </w:tc>
      </w:tr>
      <w:tr w:rsidR="00E803E6" w:rsidRPr="00E803E6" w14:paraId="7796BFDF" w14:textId="77777777" w:rsidTr="00E803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" w:type="pct"/>
            <w:vAlign w:val="center"/>
            <w:hideMark/>
          </w:tcPr>
          <w:p w14:paraId="020B7CF4" w14:textId="77777777" w:rsidR="00E803E6" w:rsidRPr="00E803E6" w:rsidRDefault="00E803E6" w:rsidP="00E803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Comprometimento/Engajamento</w:t>
            </w:r>
          </w:p>
        </w:tc>
        <w:tc>
          <w:tcPr>
            <w:tcW w:w="1447" w:type="pct"/>
            <w:vAlign w:val="center"/>
            <w:hideMark/>
          </w:tcPr>
          <w:p w14:paraId="0DC56028" w14:textId="77777777" w:rsidR="00E803E6" w:rsidRPr="00E803E6" w:rsidRDefault="00E803E6" w:rsidP="00E80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Refere-se ao nível de comprometimento e entusiasmo presente nas atividades diárias dos colaboradores, mesmo fora do ambiente físico (Maslach e Leiter, 2016).</w:t>
            </w:r>
          </w:p>
        </w:tc>
        <w:tc>
          <w:tcPr>
            <w:tcW w:w="1303" w:type="pct"/>
            <w:vAlign w:val="center"/>
            <w:hideMark/>
          </w:tcPr>
          <w:p w14:paraId="680684E5" w14:textId="77777777" w:rsidR="00E803E6" w:rsidRPr="00E803E6" w:rsidRDefault="00E803E6" w:rsidP="00E80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Mensurado por pesquisas de clima organizacional e feedback dos funcionários (Maslach e Leiter, 2016; Hartner-Tiefenthaler et al., 2022; Deschênes et al., 2024; Yang et al., 2022).</w:t>
            </w:r>
          </w:p>
        </w:tc>
        <w:tc>
          <w:tcPr>
            <w:tcW w:w="1441" w:type="pct"/>
            <w:vAlign w:val="center"/>
            <w:hideMark/>
          </w:tcPr>
          <w:p w14:paraId="5D253608" w14:textId="77777777" w:rsidR="00E803E6" w:rsidRPr="00E803E6" w:rsidRDefault="00E803E6" w:rsidP="00E80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1 Iniciativa voluntária, 2 Energia percebida, 3 Foco e concentração, 4 Participação em reuniões e discussões, 5 Geração de ideias, 6 Desenvolvimento profissional, 7 Entusiasmo inicial, 8 Dispersão digital, 9 Proatividade em mudanças, 10 Alinhamento de valores</w:t>
            </w:r>
          </w:p>
        </w:tc>
      </w:tr>
      <w:tr w:rsidR="00E803E6" w:rsidRPr="00E803E6" w14:paraId="74FA6955" w14:textId="77777777" w:rsidTr="00E803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" w:type="pct"/>
            <w:vAlign w:val="center"/>
            <w:hideMark/>
          </w:tcPr>
          <w:p w14:paraId="6D4BCE96" w14:textId="77777777" w:rsidR="00E803E6" w:rsidRPr="00E803E6" w:rsidRDefault="00E803E6" w:rsidP="00E803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Retenção e permanência</w:t>
            </w:r>
          </w:p>
        </w:tc>
        <w:tc>
          <w:tcPr>
            <w:tcW w:w="1447" w:type="pct"/>
            <w:vAlign w:val="center"/>
            <w:hideMark/>
          </w:tcPr>
          <w:p w14:paraId="10414502" w14:textId="77777777" w:rsidR="00E803E6" w:rsidRPr="00E803E6" w:rsidRDefault="00E803E6" w:rsidP="00E80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Refere-se à intenção de permanência e percepção de estabilidade na organização (Olson e Olson, 2003).</w:t>
            </w:r>
          </w:p>
        </w:tc>
        <w:tc>
          <w:tcPr>
            <w:tcW w:w="1303" w:type="pct"/>
            <w:vAlign w:val="center"/>
            <w:hideMark/>
          </w:tcPr>
          <w:p w14:paraId="33012296" w14:textId="77777777" w:rsidR="00E803E6" w:rsidRPr="00E803E6" w:rsidRDefault="00E803E6" w:rsidP="00E80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Avaliado por meio de indicadores de rotatividade e intenção de permanência, via entrevistas e questionários (Bermúdez-González et al., 2024).</w:t>
            </w:r>
          </w:p>
        </w:tc>
        <w:tc>
          <w:tcPr>
            <w:tcW w:w="1441" w:type="pct"/>
            <w:vAlign w:val="center"/>
            <w:hideMark/>
          </w:tcPr>
          <w:p w14:paraId="4D98AB8F" w14:textId="77777777" w:rsidR="00E803E6" w:rsidRPr="00E803E6" w:rsidRDefault="00E803E6" w:rsidP="00E80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 xml:space="preserve">1 Intenção de permanência, 2 Percepção de alternativas externas, 3 Histórico de rotatividade por função/setor, 4 Satisfação com o modelo de trabalho, 5 Percepção de </w:t>
            </w:r>
            <w:r w:rsidRPr="00E803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estabilidade funcional, 6 Comprometimento normativo, 7 Clareza nos planos de carreira, 8 Satisfação com reconhecimento recebido, 9 Qualidade da relação com gestor imediato, 10 Registro de desligamentos voluntários</w:t>
            </w:r>
          </w:p>
        </w:tc>
      </w:tr>
      <w:tr w:rsidR="00E803E6" w:rsidRPr="00E803E6" w14:paraId="518A58D5" w14:textId="77777777" w:rsidTr="00E803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" w:type="pct"/>
            <w:vAlign w:val="center"/>
            <w:hideMark/>
          </w:tcPr>
          <w:p w14:paraId="45A7E0A8" w14:textId="77777777" w:rsidR="00E803E6" w:rsidRPr="00E803E6" w:rsidRDefault="00E803E6" w:rsidP="00E803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Saúde e bem-estar</w:t>
            </w:r>
          </w:p>
        </w:tc>
        <w:tc>
          <w:tcPr>
            <w:tcW w:w="1447" w:type="pct"/>
            <w:vAlign w:val="center"/>
            <w:hideMark/>
          </w:tcPr>
          <w:p w14:paraId="546273C2" w14:textId="77777777" w:rsidR="00E803E6" w:rsidRPr="00E803E6" w:rsidRDefault="00E803E6" w:rsidP="00E80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Refere-se às condições que influenciam o equilíbrio físico e mental no trabalho remoto (Cardoso et al., 2025).</w:t>
            </w:r>
          </w:p>
        </w:tc>
        <w:tc>
          <w:tcPr>
            <w:tcW w:w="1303" w:type="pct"/>
            <w:vAlign w:val="center"/>
            <w:hideMark/>
          </w:tcPr>
          <w:p w14:paraId="5FFFB470" w14:textId="77777777" w:rsidR="00E803E6" w:rsidRPr="00E803E6" w:rsidRDefault="00E803E6" w:rsidP="00E80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Avaliado por percepções de apoio institucional, sintomas relacionados ao estresse e qualidade do ambiente de trabalho remoto (Oliveira &amp; Souza, 2023; Kokt e Seqhobane, 2024; Rocha, 2023; Bermúdez-González et al., 2024).</w:t>
            </w:r>
          </w:p>
        </w:tc>
        <w:tc>
          <w:tcPr>
            <w:tcW w:w="1441" w:type="pct"/>
            <w:vAlign w:val="center"/>
            <w:hideMark/>
          </w:tcPr>
          <w:p w14:paraId="6FBA1A28" w14:textId="77777777" w:rsidR="00E803E6" w:rsidRPr="00E803E6" w:rsidRDefault="00E803E6" w:rsidP="00E80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1 Estresse ocupacional percebido, 2 Equilíbrio vida pessoal e profissional, 3 Exaustão mental, 4 Fadiga de segurança, 5 Satisfação com as condições de trabalho, 6 Apoio institucional ao bem-estar, 7 Tempo dedicado à atividade física, 8 Sentimento de isolamento social, 9 Espaço físico para trabalho remoto, 10 Interrupções externas no expediente</w:t>
            </w:r>
          </w:p>
        </w:tc>
      </w:tr>
      <w:tr w:rsidR="00E803E6" w:rsidRPr="00E803E6" w14:paraId="29ADE3C5" w14:textId="77777777" w:rsidTr="00E803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" w:type="pct"/>
            <w:vAlign w:val="center"/>
            <w:hideMark/>
          </w:tcPr>
          <w:p w14:paraId="437EB739" w14:textId="77777777" w:rsidR="00E803E6" w:rsidRPr="00E803E6" w:rsidRDefault="00E803E6" w:rsidP="00E803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Comunicação e colaboração</w:t>
            </w:r>
          </w:p>
        </w:tc>
        <w:tc>
          <w:tcPr>
            <w:tcW w:w="1447" w:type="pct"/>
            <w:vAlign w:val="center"/>
            <w:hideMark/>
          </w:tcPr>
          <w:p w14:paraId="6F47E95C" w14:textId="77777777" w:rsidR="00E803E6" w:rsidRPr="00E803E6" w:rsidRDefault="00E803E6" w:rsidP="00E80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Refere-se à clareza, rapidez e eficácia na troca de informações entre membros da equipe e à efetividade do trabalho conjunto em ambiente virtual (Olson e Olson, 2003).</w:t>
            </w:r>
          </w:p>
        </w:tc>
        <w:tc>
          <w:tcPr>
            <w:tcW w:w="1303" w:type="pct"/>
            <w:vAlign w:val="center"/>
            <w:hideMark/>
          </w:tcPr>
          <w:p w14:paraId="34D05E97" w14:textId="77777777" w:rsidR="00E803E6" w:rsidRPr="00E803E6" w:rsidRDefault="00E803E6" w:rsidP="00E80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Avaliada com base na regularidade e qualidade das reuniões, exatidão das informações transmitidas e impressão dos colaboradores quanto aos canais utilizados (Olson e Olson, 2003; Hartner-Tiefenthaler et al., 2022).</w:t>
            </w:r>
          </w:p>
        </w:tc>
        <w:tc>
          <w:tcPr>
            <w:tcW w:w="1441" w:type="pct"/>
            <w:vAlign w:val="center"/>
            <w:hideMark/>
          </w:tcPr>
          <w:p w14:paraId="38C99D8C" w14:textId="77777777" w:rsidR="00E803E6" w:rsidRPr="00E803E6" w:rsidRDefault="00E803E6" w:rsidP="00E80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1 Clareza das mensagens, 2 Frequência de comunicações formais, 3 Trocas informais não programadas, 4 Adequação da linguagem, 5 Tempo de resposta, 6 Teor colaborativo das mensagens, 7 Participação em reuniões, 8 Assertividade, 9 Ocorrência de falhas comunicacionais, 10 Uso das ferramentas digitais de comunicação</w:t>
            </w:r>
          </w:p>
        </w:tc>
      </w:tr>
      <w:tr w:rsidR="00E803E6" w:rsidRPr="00E803E6" w14:paraId="2D26D325" w14:textId="77777777" w:rsidTr="00E803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" w:type="pct"/>
            <w:vAlign w:val="center"/>
            <w:hideMark/>
          </w:tcPr>
          <w:p w14:paraId="0F07C33A" w14:textId="77777777" w:rsidR="00E803E6" w:rsidRPr="00E803E6" w:rsidRDefault="00E803E6" w:rsidP="00E803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Tecnologia</w:t>
            </w:r>
          </w:p>
        </w:tc>
        <w:tc>
          <w:tcPr>
            <w:tcW w:w="1447" w:type="pct"/>
            <w:vAlign w:val="center"/>
            <w:hideMark/>
          </w:tcPr>
          <w:p w14:paraId="37D94690" w14:textId="77777777" w:rsidR="00E803E6" w:rsidRPr="00E803E6" w:rsidRDefault="00E803E6" w:rsidP="00E80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Envolve a aptidão dos funcionários para operar em ambientes virtuais com eficácia e seguir práticas seguras para prevenir riscos cibernéticos (Bélanger e Crossler, 2011).</w:t>
            </w:r>
          </w:p>
        </w:tc>
        <w:tc>
          <w:tcPr>
            <w:tcW w:w="1303" w:type="pct"/>
            <w:vAlign w:val="center"/>
            <w:hideMark/>
          </w:tcPr>
          <w:p w14:paraId="2574C886" w14:textId="77777777" w:rsidR="00E803E6" w:rsidRPr="00E803E6" w:rsidRDefault="00E803E6" w:rsidP="00E80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 xml:space="preserve">Medida pela facilidade no uso das tecnologias, número de falhas técnicas reportadas, frequência de incidentes, relatórios de segurança e respostas em auditorias internas (Bélanger e Crossler, 2011; </w:t>
            </w:r>
            <w:proofErr w:type="spellStart"/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Su</w:t>
            </w:r>
            <w:proofErr w:type="spellEnd"/>
            <w:r w:rsidRPr="00E803E6">
              <w:rPr>
                <w:rFonts w:ascii="Times New Roman" w:hAnsi="Times New Roman" w:cs="Times New Roman"/>
                <w:sz w:val="20"/>
                <w:szCs w:val="20"/>
              </w:rPr>
              <w:t xml:space="preserve"> e Reeve, 2011).</w:t>
            </w:r>
          </w:p>
        </w:tc>
        <w:tc>
          <w:tcPr>
            <w:tcW w:w="1441" w:type="pct"/>
            <w:vAlign w:val="center"/>
            <w:hideMark/>
          </w:tcPr>
          <w:p w14:paraId="0C3D77BA" w14:textId="77777777" w:rsidR="00E803E6" w:rsidRPr="00E803E6" w:rsidRDefault="00E803E6" w:rsidP="00E80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1 Familiaridade com ferramentas básicas, 2 Frequência de uso das plataformas, 3 Autonomia para resolver problemas técnicos, 4 Participação em treinamentos tecnológicos, 5 Integração entre plataformas, 6 Eficiência percebida com ferramentas, 7 Sugestões de melhoria tecnológica, 8 Participação em comunidades digitais, 9 Segurança percebida nos sistemas, 10 Flexibilidade tecnológica</w:t>
            </w:r>
          </w:p>
        </w:tc>
      </w:tr>
      <w:tr w:rsidR="00E803E6" w:rsidRPr="00E803E6" w14:paraId="7CEB4BC0" w14:textId="77777777" w:rsidTr="00E803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" w:type="pct"/>
            <w:vAlign w:val="center"/>
            <w:hideMark/>
          </w:tcPr>
          <w:p w14:paraId="457EEB3D" w14:textId="77777777" w:rsidR="00E803E6" w:rsidRPr="00E803E6" w:rsidRDefault="00E803E6" w:rsidP="00E803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Liderança no ambiente remoto</w:t>
            </w:r>
          </w:p>
        </w:tc>
        <w:tc>
          <w:tcPr>
            <w:tcW w:w="1447" w:type="pct"/>
            <w:vAlign w:val="center"/>
            <w:hideMark/>
          </w:tcPr>
          <w:p w14:paraId="311350DD" w14:textId="77777777" w:rsidR="00E803E6" w:rsidRPr="00E803E6" w:rsidRDefault="00E803E6" w:rsidP="00E80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Refere-se às práticas do gestor para orientar, apoiar e desenvolver a equipe em contexto remoto, incluindo a comunicação de metas, o fornecimento de feedbacks, o estímulo ao desenvolvimento e o reforço da segurança psicológica (Olson e Olson, 2003).</w:t>
            </w:r>
          </w:p>
        </w:tc>
        <w:tc>
          <w:tcPr>
            <w:tcW w:w="1303" w:type="pct"/>
            <w:vAlign w:val="center"/>
            <w:hideMark/>
          </w:tcPr>
          <w:p w14:paraId="4D11EF9F" w14:textId="77777777" w:rsidR="00E803E6" w:rsidRPr="00E803E6" w:rsidRDefault="00E803E6" w:rsidP="00E80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 xml:space="preserve">Avaliado com base na percepção dos colaboradores quanto ao apoio recebido, à comunicação de metas, à regularidade e utilidade dos feedbacks e ao estímulo ao desenvolvimento, por meio de questionários e </w:t>
            </w:r>
            <w:r w:rsidRPr="00E803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entrevistas (Olson e Olson, 2003).</w:t>
            </w:r>
          </w:p>
        </w:tc>
        <w:tc>
          <w:tcPr>
            <w:tcW w:w="1441" w:type="pct"/>
            <w:vAlign w:val="center"/>
            <w:hideMark/>
          </w:tcPr>
          <w:p w14:paraId="44228F96" w14:textId="77777777" w:rsidR="00E803E6" w:rsidRPr="00E803E6" w:rsidRDefault="00E803E6" w:rsidP="00E80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1 Clareza na comunicação de metas, 2 Disponibilidade do gestor, 3 Coerência entre discurso e prática, 4 Frequência e utilidade dos feedbacks, 5 Segurança psicológica, 6 Confiança demonstrada nas competências, 7 Suporte ao uso de tecnologias, 8 Promoção do desenvolvimento profissional, 9 </w:t>
            </w:r>
            <w:r w:rsidRPr="00E803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Clima emocional da equipe, 10 Reconhecimento das contribuições</w:t>
            </w:r>
          </w:p>
        </w:tc>
      </w:tr>
      <w:tr w:rsidR="00E803E6" w:rsidRPr="00E803E6" w14:paraId="0F332662" w14:textId="77777777" w:rsidTr="00E803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" w:type="pct"/>
            <w:vAlign w:val="center"/>
            <w:hideMark/>
          </w:tcPr>
          <w:p w14:paraId="69C5F1EB" w14:textId="77777777" w:rsidR="00E803E6" w:rsidRPr="00E803E6" w:rsidRDefault="00E803E6" w:rsidP="00E803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Desempenho percebido</w:t>
            </w:r>
          </w:p>
        </w:tc>
        <w:tc>
          <w:tcPr>
            <w:tcW w:w="1447" w:type="pct"/>
            <w:vAlign w:val="center"/>
            <w:hideMark/>
          </w:tcPr>
          <w:p w14:paraId="69DEB73C" w14:textId="77777777" w:rsidR="00E803E6" w:rsidRPr="00E803E6" w:rsidRDefault="00E803E6" w:rsidP="00E80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Refere-se ao impacto do trabalho do colaborador nas entregas, metas e reconhecimento institucional (Bélanger e Crossler, 2011).</w:t>
            </w:r>
          </w:p>
        </w:tc>
        <w:tc>
          <w:tcPr>
            <w:tcW w:w="1303" w:type="pct"/>
            <w:vAlign w:val="center"/>
            <w:hideMark/>
          </w:tcPr>
          <w:p w14:paraId="20286419" w14:textId="77777777" w:rsidR="00E803E6" w:rsidRPr="00E803E6" w:rsidRDefault="00E803E6" w:rsidP="00E80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Avaliado por percepção individual, metas alcançadas e retorno institucional (Deschênes et al., 2024).</w:t>
            </w:r>
          </w:p>
        </w:tc>
        <w:tc>
          <w:tcPr>
            <w:tcW w:w="1441" w:type="pct"/>
            <w:vAlign w:val="center"/>
            <w:hideMark/>
          </w:tcPr>
          <w:p w14:paraId="4894CAC1" w14:textId="77777777" w:rsidR="00E803E6" w:rsidRPr="00E803E6" w:rsidRDefault="00E803E6" w:rsidP="00E80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803E6">
              <w:rPr>
                <w:rFonts w:ascii="Times New Roman" w:hAnsi="Times New Roman" w:cs="Times New Roman"/>
                <w:sz w:val="20"/>
                <w:szCs w:val="20"/>
              </w:rPr>
              <w:t>1 Proporção de metas atingidas, 2 Qualidade das entregas, 3 Percepção de impacto nos resultados, 4 Evolução do desempenho ao longo do tempo, 5 Regularidade das entregas, 6 Superação do escopo mínimo, 7 Visibilidade institucional, 8 Soluções práticas implementadas, 9 Autoavaliação do desempenho, 10 Retornos positivos recebidos</w:t>
            </w:r>
          </w:p>
        </w:tc>
      </w:tr>
    </w:tbl>
    <w:p w14:paraId="27766299" w14:textId="0BCAB2E6" w:rsidR="00E803E6" w:rsidRPr="00E803E6" w:rsidRDefault="00E803E6" w:rsidP="004E35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803E6">
        <w:rPr>
          <w:rFonts w:ascii="Times New Roman" w:hAnsi="Times New Roman" w:cs="Times New Roman"/>
          <w:sz w:val="20"/>
          <w:szCs w:val="20"/>
        </w:rPr>
        <w:t>Fonte: Elaborado pelo autor (2025).</w:t>
      </w:r>
    </w:p>
    <w:p w14:paraId="43D9E19A" w14:textId="77777777" w:rsidR="00E803E6" w:rsidRDefault="00E803E6" w:rsidP="004E35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ACB664" w14:textId="4F8E39FE" w:rsidR="00E803E6" w:rsidRDefault="005C0EF0" w:rsidP="005C0E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0EF0">
        <w:rPr>
          <w:rFonts w:ascii="Times New Roman" w:hAnsi="Times New Roman" w:cs="Times New Roman"/>
          <w:sz w:val="24"/>
          <w:szCs w:val="24"/>
        </w:rPr>
        <w:t>As dimensões apresentadas abrangem desde aspectos objetivos, como produtividade e cumprimento de metas, até fatores subjetivos relacionados a motivação, vínculo organizacional e condições de trabalho. O desempenho individual, segundo Bloom et al. (2015) e Wang et al. (2020), evidencia a necessidade de avaliar a entrega de resultados em contextos com menor supervisão presencial. O comprometimento e engajamento, assim como a retenção e permanência, fundamentados em Maslach e Leiter (2016), Olson e Olson (2003) e Bermúdez-González et al. (2024), tratam do envolvimento do colaborador e de sua intenção de permanência. Saúde e bem-estar, comunicação e colaboração, tecnologia e liderança no ambiente remoto, conforme Bélanger e Crossler (2011), Olson e Olson (2003) e Hartner-Tiefenthaler et al. (2022), reforçam a importância das condições estruturais, do relacionamento interpessoal e do papel gerencial para sustentar o desempenho. O desempenho percebido, de acordo com Deschênes et al. (2024), sintetiza as entregas objetivas e o reconhecimento institucional. Essa estrutura fornece um arcabouço teórico-metodológico consistente para apoiar análises e orientar a construção de instrumentos de avaliação adaptados às especificidades do trabalho remoto e híbrido.</w:t>
      </w:r>
    </w:p>
    <w:p w14:paraId="50A7EA65" w14:textId="77777777" w:rsidR="00E803E6" w:rsidRDefault="00E803E6" w:rsidP="004E35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5DBA4A" w14:textId="44B5F316" w:rsidR="004E35FB" w:rsidRPr="004E35FB" w:rsidRDefault="004E35FB" w:rsidP="004E35F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35FB">
        <w:rPr>
          <w:rFonts w:ascii="Times New Roman" w:hAnsi="Times New Roman" w:cs="Times New Roman"/>
          <w:b/>
          <w:bCs/>
          <w:sz w:val="24"/>
          <w:szCs w:val="24"/>
        </w:rPr>
        <w:t>3. Metodologia</w:t>
      </w:r>
    </w:p>
    <w:p w14:paraId="0A3AE9A8" w14:textId="77777777" w:rsidR="004E35FB" w:rsidRPr="004E35FB" w:rsidRDefault="004E35FB" w:rsidP="004E35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35FB">
        <w:rPr>
          <w:rFonts w:ascii="Times New Roman" w:hAnsi="Times New Roman" w:cs="Times New Roman"/>
          <w:sz w:val="24"/>
          <w:szCs w:val="24"/>
        </w:rPr>
        <w:t>3.1 Desenho da Pesquisa e Participantes</w:t>
      </w:r>
    </w:p>
    <w:p w14:paraId="4D80F917" w14:textId="178FB6DD" w:rsidR="004E35FB" w:rsidRDefault="005C0EF0" w:rsidP="008523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0EF0">
        <w:rPr>
          <w:rFonts w:ascii="Times New Roman" w:hAnsi="Times New Roman" w:cs="Times New Roman"/>
          <w:sz w:val="24"/>
          <w:szCs w:val="24"/>
        </w:rPr>
        <w:t>Conforme discutido na introdução, a avaliação de desempenho no trabalho remoto e híbrido apresenta desafios específicos relacionados à ausência de supervisão direta e à mediação tecnológica. Para responder a essa realidade, o estudo buscou identificar indicadores de desempenho que se mostrem aplicáveis e consistentes nesses formatos, considerando as dimensões e conceitos discutidos no referencial teórico. Partiu-se do entendimento de que, sem critérios adaptados às particularidades do trabalho não presencial, os processos avaliativos tendem a apresentar inconsistências que comprometem a tomada de decisão, a percepção de justiça e o vínculo entre colaborador e organização. A pesquisa foi desenvolvida no âmbito do Programa de Pós-Graduação em Contabilidade da Universidade Federal do Paraná, no contexto de uma dissertação de mestrado, e contou com a participação de especialistas com experiência em avaliação de desempenho, gestão de pessoas ou liderança em ambientes remoto e híbrido. A seleção dos participantes foi intencional, priorizando profissionais com experiência comprovada, atuação em organizações que adotam essas modalidades e conhecimento técnico para análise crítica das dimensões propostas. Os especialistas ocupavam cargos de liderança com poder decisório sobre sistemas de avaliação e representavam diferentes setores, incluindo tecnologia, serviços, indústria, saúde e educação, garantindo diversidade setorial e contextual para a análise.</w:t>
      </w:r>
    </w:p>
    <w:p w14:paraId="3191380E" w14:textId="77777777" w:rsidR="004E35FB" w:rsidRPr="004E35FB" w:rsidRDefault="004E35FB" w:rsidP="004E35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E0C217" w14:textId="77777777" w:rsidR="004E35FB" w:rsidRPr="004E35FB" w:rsidRDefault="004E35FB" w:rsidP="004E35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35FB">
        <w:rPr>
          <w:rFonts w:ascii="Times New Roman" w:hAnsi="Times New Roman" w:cs="Times New Roman"/>
          <w:sz w:val="24"/>
          <w:szCs w:val="24"/>
        </w:rPr>
        <w:lastRenderedPageBreak/>
        <w:t>3.2 Procedimentos de Coleta e Validação</w:t>
      </w:r>
    </w:p>
    <w:p w14:paraId="5BEE6A15" w14:textId="50E13EAF" w:rsidR="005C0EF0" w:rsidRPr="005C0EF0" w:rsidRDefault="005C0EF0" w:rsidP="005C0E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0EF0">
        <w:rPr>
          <w:rFonts w:ascii="Times New Roman" w:hAnsi="Times New Roman" w:cs="Times New Roman"/>
          <w:sz w:val="24"/>
          <w:szCs w:val="24"/>
        </w:rPr>
        <w:t>A pesquisa adotou abordagem mista que integrou etapas qualitativas e quantitativas de forma sequencial. O delineamento contemplou seis etapas interligadas, sendo a primeira o levantamento teórico das dimensões analíticas associadas à avaliação de desempenho no trabalho remoto e híbrido. Esse levantamento foi fundamentado nos conceitos apresentados no referencial teórico e permitiu a organização preliminar das dimensões em eixos como produtividade, comunicação, entrega de resultados, engajamento, liderança, tecnologia, saúde e bem-estar e retenção. Em seguida, foi definido o grupo de especialistas considerando experiência comprovada na gestão ou avaliação de desempenho em contextos remoto e híbrido, diversidade institucional e atuação em organizações públicas, privadas ou do terceiro setor, o que garantiu representatividade de diferentes realidades organizacionais.</w:t>
      </w:r>
    </w:p>
    <w:p w14:paraId="1BB3E24E" w14:textId="42625199" w:rsidR="005C0EF0" w:rsidRPr="005C0EF0" w:rsidRDefault="005C0EF0" w:rsidP="005C0E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0EF0">
        <w:rPr>
          <w:rFonts w:ascii="Times New Roman" w:hAnsi="Times New Roman" w:cs="Times New Roman"/>
          <w:sz w:val="24"/>
          <w:szCs w:val="24"/>
        </w:rPr>
        <w:t>A terceira etapa consistiu na aplicação de uma rodada única da Técnica Delphi voltada à validação das dimensões, em que os especialistas avaliaram a clareza, a aplicabilidade e a aderência das categorias às modalidades estudadas. Essa avaliação foi realizada por meio de questionário estruturado que continha escala de classificação e espaço para comentários e sugestões, o que possibilitou a coleta de percepções qualitativas complementares. As respostas obtidas foram consolidadas e utilizadas para promover ajustes nas dimensões, incluindo a reescrita de descrições pouco precisas, a eliminação de sobreposições e a integração de contribuições consideradas consistentes.</w:t>
      </w:r>
    </w:p>
    <w:p w14:paraId="7D16AB2B" w14:textId="5EFD9C4E" w:rsidR="004E35FB" w:rsidRDefault="005C0EF0" w:rsidP="005C0E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0EF0">
        <w:rPr>
          <w:rFonts w:ascii="Times New Roman" w:hAnsi="Times New Roman" w:cs="Times New Roman"/>
          <w:sz w:val="24"/>
          <w:szCs w:val="24"/>
        </w:rPr>
        <w:t>Na sequência, estruturou-se a escala de avaliação vinculando as dimensões validadas a parâmetros operacionais de mensuração adaptados ao contexto remoto e híbrido, o que permitiu transformar definições conceituais em critérios de análise observáveis. Por fim, elaboraram-se recomendações de aplicação e adaptação organizacional a partir dos resultados consolidados. Após essa etapa qualitativa, foi aplicado o questionário de validação no qual cada item foi classificado em três níveis, abaixo do aceitável, aceitável ou ideal, e acompanhado de campo para comentários adicionais. Essa validação, realizada em rodada única da Técnica Delphi, teve como objetivo confirmar a pertinência das dimensões propostas e manter coerência com os fundamentos teóricos e critérios previamente definidos. Assim, o processo resultou em ajustes pontuais de redação, exclusões de itens e reformulação de indicadores ambíguos, fortalecendo a consistência entre a base conceitual e a aplicabilidade prática.</w:t>
      </w:r>
    </w:p>
    <w:p w14:paraId="62C1ABFA" w14:textId="77777777" w:rsidR="004E35FB" w:rsidRPr="004E35FB" w:rsidRDefault="004E35FB" w:rsidP="004E35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B187FB" w14:textId="77777777" w:rsidR="004E35FB" w:rsidRPr="004E35FB" w:rsidRDefault="004E35FB" w:rsidP="004E35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35FB">
        <w:rPr>
          <w:rFonts w:ascii="Times New Roman" w:hAnsi="Times New Roman" w:cs="Times New Roman"/>
          <w:sz w:val="24"/>
          <w:szCs w:val="24"/>
        </w:rPr>
        <w:t>3.3 Instrumentos e Definições Operacionais</w:t>
      </w:r>
    </w:p>
    <w:p w14:paraId="0EC841EF" w14:textId="5AD4BE49" w:rsidR="005C0EF0" w:rsidRPr="005C0EF0" w:rsidRDefault="005C0EF0" w:rsidP="005C0E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0EF0">
        <w:rPr>
          <w:rFonts w:ascii="Times New Roman" w:hAnsi="Times New Roman" w:cs="Times New Roman"/>
          <w:sz w:val="24"/>
          <w:szCs w:val="24"/>
        </w:rPr>
        <w:t xml:space="preserve">Os indicadores foram organizados em dimensões temáticas acompanhadas de parâmetros observáveis e faixas de avaliação que possibilitaram comparações consistentes entre diferentes contextos. Para conduzir a análise, foram utilizados nove critérios inter-relacionados. A relevância estratégica considerou o alinhamento do indicador aos objetivos organizacionais, conforme proposto por Kaplan e Norton e reforçado por Neely et al., que argumentam que as medidas de desempenho devem derivar diretamente da estratégia. Em continuidade, a mensurabilidade referiu-se à possibilidade de obtenção de dados precisos e verificáveis, conforme discutido por Anthony e </w:t>
      </w:r>
      <w:proofErr w:type="spellStart"/>
      <w:r w:rsidRPr="005C0EF0">
        <w:rPr>
          <w:rFonts w:ascii="Times New Roman" w:hAnsi="Times New Roman" w:cs="Times New Roman"/>
          <w:sz w:val="24"/>
          <w:szCs w:val="24"/>
        </w:rPr>
        <w:t>Govindarajan</w:t>
      </w:r>
      <w:proofErr w:type="spellEnd"/>
      <w:r w:rsidRPr="005C0EF0">
        <w:rPr>
          <w:rFonts w:ascii="Times New Roman" w:hAnsi="Times New Roman" w:cs="Times New Roman"/>
          <w:sz w:val="24"/>
          <w:szCs w:val="24"/>
        </w:rPr>
        <w:t>, garantindo que os resultados pudessem ser medidos de forma objetiva.</w:t>
      </w:r>
    </w:p>
    <w:p w14:paraId="1FD64C2D" w14:textId="2E94EB56" w:rsidR="005C0EF0" w:rsidRPr="005C0EF0" w:rsidRDefault="005C0EF0" w:rsidP="005C0E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0EF0">
        <w:rPr>
          <w:rFonts w:ascii="Times New Roman" w:hAnsi="Times New Roman" w:cs="Times New Roman"/>
          <w:sz w:val="24"/>
          <w:szCs w:val="24"/>
        </w:rPr>
        <w:t xml:space="preserve">A periodicidade viável avaliou se o indicador poderia ser acompanhado em intervalos compatíveis com a gestão, como orientam Kaplan e Norton, enquanto a responsabilidade clara tratou da definição objetiva de responsáveis pelo monitoramento, alinhada às recomendações de Parmenter e de Kaplan e Norton. O critério ação possível examinou o potencial dos resultados do indicador para subsidiar decisões e medidas práticas, conforme proposto por Kaplan e Norton e por Bourne, Neely e Platts. Já o custo-benefício analisou a adequação entre os recursos necessários e os benefícios gerados, em consonância com Neely et al. e Anthony e </w:t>
      </w:r>
      <w:proofErr w:type="spellStart"/>
      <w:r w:rsidRPr="005C0EF0">
        <w:rPr>
          <w:rFonts w:ascii="Times New Roman" w:hAnsi="Times New Roman" w:cs="Times New Roman"/>
          <w:sz w:val="24"/>
          <w:szCs w:val="24"/>
        </w:rPr>
        <w:t>Govindarajan</w:t>
      </w:r>
      <w:proofErr w:type="spellEnd"/>
      <w:r w:rsidRPr="005C0EF0">
        <w:rPr>
          <w:rFonts w:ascii="Times New Roman" w:hAnsi="Times New Roman" w:cs="Times New Roman"/>
          <w:sz w:val="24"/>
          <w:szCs w:val="24"/>
        </w:rPr>
        <w:t>.</w:t>
      </w:r>
    </w:p>
    <w:p w14:paraId="3E93BB7D" w14:textId="2214FC8A" w:rsidR="005C0EF0" w:rsidRPr="005C0EF0" w:rsidRDefault="005C0EF0" w:rsidP="005C0E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0EF0">
        <w:rPr>
          <w:rFonts w:ascii="Times New Roman" w:hAnsi="Times New Roman" w:cs="Times New Roman"/>
          <w:sz w:val="24"/>
          <w:szCs w:val="24"/>
        </w:rPr>
        <w:lastRenderedPageBreak/>
        <w:t xml:space="preserve">A comparabilidade considerou a possibilidade de comparação dos resultados entre diferentes períodos ou contextos, conforme orientam </w:t>
      </w:r>
      <w:proofErr w:type="spellStart"/>
      <w:r w:rsidRPr="005C0EF0">
        <w:rPr>
          <w:rFonts w:ascii="Times New Roman" w:hAnsi="Times New Roman" w:cs="Times New Roman"/>
          <w:sz w:val="24"/>
          <w:szCs w:val="24"/>
        </w:rPr>
        <w:t>Güdemann</w:t>
      </w:r>
      <w:proofErr w:type="spellEnd"/>
      <w:r w:rsidRPr="005C0EF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C0EF0">
        <w:rPr>
          <w:rFonts w:ascii="Times New Roman" w:hAnsi="Times New Roman" w:cs="Times New Roman"/>
          <w:sz w:val="24"/>
          <w:szCs w:val="24"/>
        </w:rPr>
        <w:t>Münnich</w:t>
      </w:r>
      <w:proofErr w:type="spellEnd"/>
      <w:r w:rsidRPr="005C0EF0">
        <w:rPr>
          <w:rFonts w:ascii="Times New Roman" w:hAnsi="Times New Roman" w:cs="Times New Roman"/>
          <w:sz w:val="24"/>
          <w:szCs w:val="24"/>
        </w:rPr>
        <w:t xml:space="preserve">, e a sensibilidade avaliou a capacidade do indicador refletir variações nas condições observadas, como defende </w:t>
      </w:r>
      <w:proofErr w:type="spellStart"/>
      <w:r w:rsidRPr="005C0EF0">
        <w:rPr>
          <w:rFonts w:ascii="Times New Roman" w:hAnsi="Times New Roman" w:cs="Times New Roman"/>
          <w:sz w:val="24"/>
          <w:szCs w:val="24"/>
        </w:rPr>
        <w:t>Hatry</w:t>
      </w:r>
      <w:proofErr w:type="spellEnd"/>
      <w:r w:rsidRPr="005C0EF0">
        <w:rPr>
          <w:rFonts w:ascii="Times New Roman" w:hAnsi="Times New Roman" w:cs="Times New Roman"/>
          <w:sz w:val="24"/>
          <w:szCs w:val="24"/>
        </w:rPr>
        <w:t xml:space="preserve">. Por último, a utilidade percebida examinou o grau de aplicabilidade prática do indicador nos contextos analisados, conforme sugerem Neely et al. e Hansen e </w:t>
      </w:r>
      <w:proofErr w:type="spellStart"/>
      <w:r w:rsidRPr="005C0EF0">
        <w:rPr>
          <w:rFonts w:ascii="Times New Roman" w:hAnsi="Times New Roman" w:cs="Times New Roman"/>
          <w:sz w:val="24"/>
          <w:szCs w:val="24"/>
        </w:rPr>
        <w:t>Mowen</w:t>
      </w:r>
      <w:proofErr w:type="spellEnd"/>
      <w:r w:rsidRPr="005C0EF0">
        <w:rPr>
          <w:rFonts w:ascii="Times New Roman" w:hAnsi="Times New Roman" w:cs="Times New Roman"/>
          <w:sz w:val="24"/>
          <w:szCs w:val="24"/>
        </w:rPr>
        <w:t>. Assim, atribuiu-se pontuação de dois pontos para atendimento integral, um ponto para atendimento parcial e zero para ausência de atendimento, de forma que a soma resultou no índice final de adequação.</w:t>
      </w:r>
    </w:p>
    <w:p w14:paraId="42261A50" w14:textId="448C70EB" w:rsidR="004E35FB" w:rsidRDefault="005C0EF0" w:rsidP="005C0E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0EF0">
        <w:rPr>
          <w:rFonts w:ascii="Times New Roman" w:hAnsi="Times New Roman" w:cs="Times New Roman"/>
          <w:sz w:val="24"/>
          <w:szCs w:val="24"/>
        </w:rPr>
        <w:t>Os indicadores localizados no terço superior da pontuação foram classificados como de nível alto, o que indicou elevado grau de aceitação e aplicabilidade. Os que ficaram no terço intermediário foram classificados como de nível médio, o que sugeriu aplicabilidade com restrições, enquanto os situados no terço inferior foram classificados como de nível baixo, o que apontou baixa aplicabilidade ou necessidade de ajustes. Dessa maneira, essa estrutura permitiu que a avaliação técnica fosse integrada à análise de aplicabilidade prática, fortalecendo a consistência dos resultados e possibilitando seu uso em contextos de trabalho remoto e híbrido.</w:t>
      </w:r>
    </w:p>
    <w:p w14:paraId="053FD582" w14:textId="77777777" w:rsidR="00A321F2" w:rsidRDefault="00A321F2" w:rsidP="00A321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FD8A38" w14:textId="62D47903" w:rsidR="00A321F2" w:rsidRDefault="00A321F2" w:rsidP="00A321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1F2">
        <w:rPr>
          <w:rFonts w:ascii="Times New Roman" w:hAnsi="Times New Roman" w:cs="Times New Roman"/>
          <w:sz w:val="24"/>
          <w:szCs w:val="24"/>
        </w:rPr>
        <w:t>3.4 Processo de Análise de Dados</w:t>
      </w:r>
    </w:p>
    <w:p w14:paraId="6C881171" w14:textId="3D0A0705" w:rsidR="005C0EF0" w:rsidRPr="005C0EF0" w:rsidRDefault="005C0EF0" w:rsidP="005C0E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0EF0">
        <w:rPr>
          <w:rFonts w:ascii="Times New Roman" w:hAnsi="Times New Roman" w:cs="Times New Roman"/>
          <w:sz w:val="24"/>
          <w:szCs w:val="24"/>
        </w:rPr>
        <w:t>A análise combinou abordagens quantitativas e qualitativas de forma complementar. No componente quantitativo, cada indicador foi avaliado com base nos nove critérios definidos, recebendo pontuação de dois pontos para atendimento integral, um ponto para atendimento parcial e zero para ausência de atendimento. Em seguida, as médias obtidas compuseram o escore final de cada indicador e, quando somadas, resultaram na pontuação de cada dimensão, que poderia alcançar o valor máximo de vinte pontos. Dessa forma, os resultados foram classificados em nível alto, para pontuações entre dezesseis e vinte, em nível médio, para pontuações entre onze e quinze, e em nível baixo, para pontuações de até dez, o que possibilitou comparações diretas e a identificação de padrões entre dimensões e indicadores.</w:t>
      </w:r>
    </w:p>
    <w:p w14:paraId="26FEE76B" w14:textId="3B120301" w:rsidR="00A321F2" w:rsidRPr="004E35FB" w:rsidRDefault="005C0EF0" w:rsidP="005C0E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0EF0">
        <w:rPr>
          <w:rFonts w:ascii="Times New Roman" w:hAnsi="Times New Roman" w:cs="Times New Roman"/>
          <w:sz w:val="24"/>
          <w:szCs w:val="24"/>
        </w:rPr>
        <w:t>No componente qualitativo, os comentários registrados pelos participantes foram organizados por similaridade e analisados por meio de técnica de análise de conteúdo, o que permitiu identificar percepções sobre aplicabilidade, limitações e ajustes necessários para o aprimoramento dos indicadores. Assim, a integração dos dois métodos orientou a manutenção dos indicadores que obtiveram melhor desempenho e sustentou o aperfeiçoamento ou exclusão daqueles que apresentaram resultados inferiores. Como consequência, chegou-se a um conjunto final de indicadores adaptado às especificidades do trabalho remoto e híbrido, mantendo a possibilidade de comparação com contextos presenciais.</w:t>
      </w:r>
    </w:p>
    <w:p w14:paraId="69F0575E" w14:textId="77777777" w:rsidR="004E35FB" w:rsidRDefault="004E35FB" w:rsidP="004E35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081A40" w14:textId="421A0936" w:rsidR="004E35FB" w:rsidRDefault="004E35FB" w:rsidP="004E35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35FB">
        <w:rPr>
          <w:rFonts w:ascii="Times New Roman" w:hAnsi="Times New Roman" w:cs="Times New Roman"/>
          <w:b/>
          <w:bCs/>
          <w:sz w:val="24"/>
          <w:szCs w:val="24"/>
        </w:rPr>
        <w:t>4. Análise e Discussão dos Resultados</w:t>
      </w:r>
    </w:p>
    <w:p w14:paraId="3D5396A9" w14:textId="342C2F04" w:rsidR="004E35FB" w:rsidRDefault="00167F4C" w:rsidP="004E35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7F4C">
        <w:rPr>
          <w:rFonts w:ascii="Times New Roman" w:hAnsi="Times New Roman" w:cs="Times New Roman"/>
          <w:sz w:val="24"/>
          <w:szCs w:val="24"/>
        </w:rPr>
        <w:t xml:space="preserve">A análise dos dados iniciou-se com o cálculo do score médio de cada dimensão, o qual foi obtido pela soma das médias dos indicadores que a compõem dividida pelo número total de indicadores correspondentes. Assim, esses scores resultaram da aplicação dos nove critérios definidos na metodologia, que foram mensurabilidade, sensibilidade, comparabilidade, utilidade, custo-benefício, periodicidade, responsabilidade, </w:t>
      </w:r>
      <w:proofErr w:type="spellStart"/>
      <w:r w:rsidRPr="00167F4C">
        <w:rPr>
          <w:rFonts w:ascii="Times New Roman" w:hAnsi="Times New Roman" w:cs="Times New Roman"/>
          <w:sz w:val="24"/>
          <w:szCs w:val="24"/>
        </w:rPr>
        <w:t>contextualidade</w:t>
      </w:r>
      <w:proofErr w:type="spellEnd"/>
      <w:r w:rsidRPr="00167F4C">
        <w:rPr>
          <w:rFonts w:ascii="Times New Roman" w:hAnsi="Times New Roman" w:cs="Times New Roman"/>
          <w:sz w:val="24"/>
          <w:szCs w:val="24"/>
        </w:rPr>
        <w:t xml:space="preserve"> e subjetividade. Dessa forma, esses critérios foram construídos a partir da base teórica apresentada no referencial e fundamentados em autores que discutem a avaliação de desempenho em diferentes contextos. Cada critério recebeu pontuação de acordo com o grau de atendimento identificado nas respostas dos especialistas, e as médias individuais formaram o score médio de cada dimensão, o que permitiu realizar comparações entre os diferentes eixos analisados.</w:t>
      </w:r>
    </w:p>
    <w:p w14:paraId="315AAFCB" w14:textId="77777777" w:rsidR="004E35FB" w:rsidRDefault="004E35FB" w:rsidP="004E35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D0BF79" w14:textId="4FBC590D" w:rsidR="004E35FB" w:rsidRPr="004E35FB" w:rsidRDefault="004E35FB" w:rsidP="004E35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803E6">
        <w:rPr>
          <w:rFonts w:ascii="Times New Roman" w:hAnsi="Times New Roman" w:cs="Times New Roman"/>
          <w:b/>
          <w:bCs/>
          <w:sz w:val="20"/>
          <w:szCs w:val="20"/>
        </w:rPr>
        <w:t xml:space="preserve">Tabela </w:t>
      </w:r>
      <w:r w:rsidR="00E803E6" w:rsidRPr="00E803E6">
        <w:rPr>
          <w:rFonts w:ascii="Times New Roman" w:hAnsi="Times New Roman" w:cs="Times New Roman"/>
          <w:b/>
          <w:bCs/>
          <w:sz w:val="20"/>
          <w:szCs w:val="20"/>
        </w:rPr>
        <w:t xml:space="preserve">2 </w:t>
      </w:r>
      <w:r w:rsidRPr="00E803E6">
        <w:rPr>
          <w:rFonts w:ascii="Times New Roman" w:hAnsi="Times New Roman" w:cs="Times New Roman"/>
          <w:b/>
          <w:bCs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E35FB">
        <w:rPr>
          <w:rFonts w:ascii="Times New Roman" w:hAnsi="Times New Roman" w:cs="Times New Roman"/>
          <w:sz w:val="20"/>
          <w:szCs w:val="20"/>
        </w:rPr>
        <w:t>Score médio e classificação das dimensões avaliadas</w:t>
      </w:r>
    </w:p>
    <w:tbl>
      <w:tblPr>
        <w:tblStyle w:val="SimplesTabela2"/>
        <w:tblW w:w="5000" w:type="pct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32"/>
        <w:gridCol w:w="2072"/>
        <w:gridCol w:w="2134"/>
      </w:tblGrid>
      <w:tr w:rsidR="004E35FB" w:rsidRPr="004E35FB" w14:paraId="4D854ABA" w14:textId="77777777" w:rsidTr="004E35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pct"/>
            <w:tcBorders>
              <w:bottom w:val="none" w:sz="0" w:space="0" w:color="auto"/>
            </w:tcBorders>
            <w:hideMark/>
          </w:tcPr>
          <w:p w14:paraId="7D6989E6" w14:textId="77777777" w:rsidR="004E35FB" w:rsidRPr="004E35FB" w:rsidRDefault="004E35FB" w:rsidP="004E35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E35FB">
              <w:rPr>
                <w:rFonts w:ascii="Times New Roman" w:hAnsi="Times New Roman" w:cs="Times New Roman"/>
                <w:sz w:val="20"/>
                <w:szCs w:val="20"/>
              </w:rPr>
              <w:t>Dimensão</w:t>
            </w:r>
          </w:p>
        </w:tc>
        <w:tc>
          <w:tcPr>
            <w:tcW w:w="1075" w:type="pct"/>
            <w:tcBorders>
              <w:bottom w:val="none" w:sz="0" w:space="0" w:color="auto"/>
            </w:tcBorders>
            <w:hideMark/>
          </w:tcPr>
          <w:p w14:paraId="54DC4AB1" w14:textId="77777777" w:rsidR="004E35FB" w:rsidRPr="004E35FB" w:rsidRDefault="004E35FB" w:rsidP="004E35F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35FB">
              <w:rPr>
                <w:rFonts w:ascii="Times New Roman" w:hAnsi="Times New Roman" w:cs="Times New Roman"/>
                <w:sz w:val="20"/>
                <w:szCs w:val="20"/>
              </w:rPr>
              <w:t>Score Médio</w:t>
            </w:r>
          </w:p>
        </w:tc>
        <w:tc>
          <w:tcPr>
            <w:tcW w:w="1107" w:type="pct"/>
            <w:tcBorders>
              <w:bottom w:val="none" w:sz="0" w:space="0" w:color="auto"/>
            </w:tcBorders>
            <w:hideMark/>
          </w:tcPr>
          <w:p w14:paraId="222A582C" w14:textId="77777777" w:rsidR="004E35FB" w:rsidRPr="004E35FB" w:rsidRDefault="004E35FB" w:rsidP="004E35F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35FB">
              <w:rPr>
                <w:rFonts w:ascii="Times New Roman" w:hAnsi="Times New Roman" w:cs="Times New Roman"/>
                <w:sz w:val="20"/>
                <w:szCs w:val="20"/>
              </w:rPr>
              <w:t>Classificação</w:t>
            </w:r>
          </w:p>
        </w:tc>
      </w:tr>
      <w:tr w:rsidR="004E35FB" w:rsidRPr="004E35FB" w14:paraId="44F676D4" w14:textId="77777777" w:rsidTr="004E35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0D90AAFF" w14:textId="77777777" w:rsidR="004E35FB" w:rsidRPr="004E35FB" w:rsidRDefault="004E35FB" w:rsidP="004E35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E35FB">
              <w:rPr>
                <w:rFonts w:ascii="Times New Roman" w:hAnsi="Times New Roman" w:cs="Times New Roman"/>
                <w:sz w:val="20"/>
                <w:szCs w:val="20"/>
              </w:rPr>
              <w:t>Desempenho Individual</w:t>
            </w:r>
          </w:p>
        </w:tc>
        <w:tc>
          <w:tcPr>
            <w:tcW w:w="1075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01FCC1EC" w14:textId="77777777" w:rsidR="004E35FB" w:rsidRPr="004E35FB" w:rsidRDefault="004E35FB" w:rsidP="004E35F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35FB">
              <w:rPr>
                <w:rFonts w:ascii="Times New Roman" w:hAnsi="Times New Roman" w:cs="Times New Roman"/>
                <w:sz w:val="20"/>
                <w:szCs w:val="20"/>
              </w:rPr>
              <w:t>16,79</w:t>
            </w:r>
          </w:p>
        </w:tc>
        <w:tc>
          <w:tcPr>
            <w:tcW w:w="1107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58A82092" w14:textId="77777777" w:rsidR="004E35FB" w:rsidRPr="004E35FB" w:rsidRDefault="004E35FB" w:rsidP="004E35F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35FB">
              <w:rPr>
                <w:rFonts w:ascii="Times New Roman" w:hAnsi="Times New Roman" w:cs="Times New Roman"/>
                <w:sz w:val="20"/>
                <w:szCs w:val="20"/>
              </w:rPr>
              <w:t>Alto</w:t>
            </w:r>
          </w:p>
        </w:tc>
      </w:tr>
      <w:tr w:rsidR="004E35FB" w:rsidRPr="004E35FB" w14:paraId="0D830247" w14:textId="77777777" w:rsidTr="004E35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pct"/>
            <w:hideMark/>
          </w:tcPr>
          <w:p w14:paraId="3E39822D" w14:textId="77777777" w:rsidR="004E35FB" w:rsidRPr="004E35FB" w:rsidRDefault="004E35FB" w:rsidP="004E35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E35F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Resultado Organizacional</w:t>
            </w:r>
          </w:p>
        </w:tc>
        <w:tc>
          <w:tcPr>
            <w:tcW w:w="1075" w:type="pct"/>
            <w:hideMark/>
          </w:tcPr>
          <w:p w14:paraId="3F43C60C" w14:textId="77777777" w:rsidR="004E35FB" w:rsidRPr="004E35FB" w:rsidRDefault="004E35FB" w:rsidP="004E35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35FB">
              <w:rPr>
                <w:rFonts w:ascii="Times New Roman" w:hAnsi="Times New Roman" w:cs="Times New Roman"/>
                <w:sz w:val="20"/>
                <w:szCs w:val="20"/>
              </w:rPr>
              <w:t>16,60</w:t>
            </w:r>
          </w:p>
        </w:tc>
        <w:tc>
          <w:tcPr>
            <w:tcW w:w="1107" w:type="pct"/>
            <w:hideMark/>
          </w:tcPr>
          <w:p w14:paraId="2611A210" w14:textId="77777777" w:rsidR="004E35FB" w:rsidRPr="004E35FB" w:rsidRDefault="004E35FB" w:rsidP="004E35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35FB">
              <w:rPr>
                <w:rFonts w:ascii="Times New Roman" w:hAnsi="Times New Roman" w:cs="Times New Roman"/>
                <w:sz w:val="20"/>
                <w:szCs w:val="20"/>
              </w:rPr>
              <w:t>Alto</w:t>
            </w:r>
          </w:p>
        </w:tc>
      </w:tr>
      <w:tr w:rsidR="004E35FB" w:rsidRPr="004E35FB" w14:paraId="040AD5C9" w14:textId="77777777" w:rsidTr="004E35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75FB15B0" w14:textId="77777777" w:rsidR="004E35FB" w:rsidRPr="004E35FB" w:rsidRDefault="004E35FB" w:rsidP="004E35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E35FB">
              <w:rPr>
                <w:rFonts w:ascii="Times New Roman" w:hAnsi="Times New Roman" w:cs="Times New Roman"/>
                <w:sz w:val="20"/>
                <w:szCs w:val="20"/>
              </w:rPr>
              <w:t>Gestão e Liderança</w:t>
            </w:r>
          </w:p>
        </w:tc>
        <w:tc>
          <w:tcPr>
            <w:tcW w:w="1075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3C7BEE1C" w14:textId="77777777" w:rsidR="004E35FB" w:rsidRPr="004E35FB" w:rsidRDefault="004E35FB" w:rsidP="004E35F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35FB">
              <w:rPr>
                <w:rFonts w:ascii="Times New Roman" w:hAnsi="Times New Roman" w:cs="Times New Roman"/>
                <w:sz w:val="20"/>
                <w:szCs w:val="20"/>
              </w:rPr>
              <w:t>15,95</w:t>
            </w:r>
          </w:p>
        </w:tc>
        <w:tc>
          <w:tcPr>
            <w:tcW w:w="1107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796A74AC" w14:textId="77777777" w:rsidR="004E35FB" w:rsidRPr="004E35FB" w:rsidRDefault="004E35FB" w:rsidP="004E35F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35FB">
              <w:rPr>
                <w:rFonts w:ascii="Times New Roman" w:hAnsi="Times New Roman" w:cs="Times New Roman"/>
                <w:sz w:val="20"/>
                <w:szCs w:val="20"/>
              </w:rPr>
              <w:t>Médio</w:t>
            </w:r>
          </w:p>
        </w:tc>
      </w:tr>
      <w:tr w:rsidR="004E35FB" w:rsidRPr="004E35FB" w14:paraId="46600083" w14:textId="77777777" w:rsidTr="004E35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pct"/>
            <w:hideMark/>
          </w:tcPr>
          <w:p w14:paraId="2EB837B1" w14:textId="77777777" w:rsidR="004E35FB" w:rsidRPr="004E35FB" w:rsidRDefault="004E35FB" w:rsidP="004E35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E35FB">
              <w:rPr>
                <w:rFonts w:ascii="Times New Roman" w:hAnsi="Times New Roman" w:cs="Times New Roman"/>
                <w:sz w:val="20"/>
                <w:szCs w:val="20"/>
              </w:rPr>
              <w:t>Retenção e Permanência</w:t>
            </w:r>
          </w:p>
        </w:tc>
        <w:tc>
          <w:tcPr>
            <w:tcW w:w="1075" w:type="pct"/>
            <w:hideMark/>
          </w:tcPr>
          <w:p w14:paraId="6C3D5990" w14:textId="77777777" w:rsidR="004E35FB" w:rsidRPr="004E35FB" w:rsidRDefault="004E35FB" w:rsidP="004E35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35FB">
              <w:rPr>
                <w:rFonts w:ascii="Times New Roman" w:hAnsi="Times New Roman" w:cs="Times New Roman"/>
                <w:sz w:val="20"/>
                <w:szCs w:val="20"/>
              </w:rPr>
              <w:t>15,60</w:t>
            </w:r>
          </w:p>
        </w:tc>
        <w:tc>
          <w:tcPr>
            <w:tcW w:w="1107" w:type="pct"/>
            <w:hideMark/>
          </w:tcPr>
          <w:p w14:paraId="08A1E878" w14:textId="77777777" w:rsidR="004E35FB" w:rsidRPr="004E35FB" w:rsidRDefault="004E35FB" w:rsidP="004E35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35FB">
              <w:rPr>
                <w:rFonts w:ascii="Times New Roman" w:hAnsi="Times New Roman" w:cs="Times New Roman"/>
                <w:sz w:val="20"/>
                <w:szCs w:val="20"/>
              </w:rPr>
              <w:t>Médio</w:t>
            </w:r>
          </w:p>
        </w:tc>
      </w:tr>
      <w:tr w:rsidR="004E35FB" w:rsidRPr="004E35FB" w14:paraId="0F8222C3" w14:textId="77777777" w:rsidTr="004E35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6C006EEA" w14:textId="77777777" w:rsidR="004E35FB" w:rsidRPr="004E35FB" w:rsidRDefault="004E35FB" w:rsidP="004E35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E35FB">
              <w:rPr>
                <w:rFonts w:ascii="Times New Roman" w:hAnsi="Times New Roman" w:cs="Times New Roman"/>
                <w:sz w:val="20"/>
                <w:szCs w:val="20"/>
              </w:rPr>
              <w:t>Tecnologia e Segurança</w:t>
            </w:r>
          </w:p>
        </w:tc>
        <w:tc>
          <w:tcPr>
            <w:tcW w:w="1075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67ABF23A" w14:textId="77777777" w:rsidR="004E35FB" w:rsidRPr="004E35FB" w:rsidRDefault="004E35FB" w:rsidP="004E35F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35FB">
              <w:rPr>
                <w:rFonts w:ascii="Times New Roman" w:hAnsi="Times New Roman" w:cs="Times New Roman"/>
                <w:sz w:val="20"/>
                <w:szCs w:val="20"/>
              </w:rPr>
              <w:t>15,31</w:t>
            </w:r>
          </w:p>
        </w:tc>
        <w:tc>
          <w:tcPr>
            <w:tcW w:w="1107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4A789893" w14:textId="77777777" w:rsidR="004E35FB" w:rsidRPr="004E35FB" w:rsidRDefault="004E35FB" w:rsidP="004E35F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35FB">
              <w:rPr>
                <w:rFonts w:ascii="Times New Roman" w:hAnsi="Times New Roman" w:cs="Times New Roman"/>
                <w:sz w:val="20"/>
                <w:szCs w:val="20"/>
              </w:rPr>
              <w:t>Médio</w:t>
            </w:r>
          </w:p>
        </w:tc>
      </w:tr>
      <w:tr w:rsidR="004E35FB" w:rsidRPr="004E35FB" w14:paraId="023DB42E" w14:textId="77777777" w:rsidTr="004E35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pct"/>
            <w:hideMark/>
          </w:tcPr>
          <w:p w14:paraId="0E7C40C6" w14:textId="77777777" w:rsidR="004E35FB" w:rsidRPr="004E35FB" w:rsidRDefault="004E35FB" w:rsidP="004E35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E35FB">
              <w:rPr>
                <w:rFonts w:ascii="Times New Roman" w:hAnsi="Times New Roman" w:cs="Times New Roman"/>
                <w:sz w:val="20"/>
                <w:szCs w:val="20"/>
              </w:rPr>
              <w:t>Comunicação e Colaboração Remota</w:t>
            </w:r>
          </w:p>
        </w:tc>
        <w:tc>
          <w:tcPr>
            <w:tcW w:w="1075" w:type="pct"/>
            <w:hideMark/>
          </w:tcPr>
          <w:p w14:paraId="4FCDACAB" w14:textId="77777777" w:rsidR="004E35FB" w:rsidRPr="004E35FB" w:rsidRDefault="004E35FB" w:rsidP="004E35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35FB">
              <w:rPr>
                <w:rFonts w:ascii="Times New Roman" w:hAnsi="Times New Roman" w:cs="Times New Roman"/>
                <w:sz w:val="20"/>
                <w:szCs w:val="20"/>
              </w:rPr>
              <w:t>14,61</w:t>
            </w:r>
          </w:p>
        </w:tc>
        <w:tc>
          <w:tcPr>
            <w:tcW w:w="1107" w:type="pct"/>
            <w:hideMark/>
          </w:tcPr>
          <w:p w14:paraId="2065F391" w14:textId="77777777" w:rsidR="004E35FB" w:rsidRPr="004E35FB" w:rsidRDefault="004E35FB" w:rsidP="004E35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35FB">
              <w:rPr>
                <w:rFonts w:ascii="Times New Roman" w:hAnsi="Times New Roman" w:cs="Times New Roman"/>
                <w:sz w:val="20"/>
                <w:szCs w:val="20"/>
              </w:rPr>
              <w:t>Médio</w:t>
            </w:r>
          </w:p>
        </w:tc>
      </w:tr>
      <w:tr w:rsidR="004E35FB" w:rsidRPr="004E35FB" w14:paraId="563F6D30" w14:textId="77777777" w:rsidTr="004E35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14360C86" w14:textId="77777777" w:rsidR="004E35FB" w:rsidRPr="004E35FB" w:rsidRDefault="004E35FB" w:rsidP="004E35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E35FB">
              <w:rPr>
                <w:rFonts w:ascii="Times New Roman" w:hAnsi="Times New Roman" w:cs="Times New Roman"/>
                <w:sz w:val="20"/>
                <w:szCs w:val="20"/>
              </w:rPr>
              <w:t>Saúde e Bem-Estar</w:t>
            </w:r>
          </w:p>
        </w:tc>
        <w:tc>
          <w:tcPr>
            <w:tcW w:w="1075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788B32EA" w14:textId="77777777" w:rsidR="004E35FB" w:rsidRPr="004E35FB" w:rsidRDefault="004E35FB" w:rsidP="004E35F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35FB">
              <w:rPr>
                <w:rFonts w:ascii="Times New Roman" w:hAnsi="Times New Roman" w:cs="Times New Roman"/>
                <w:sz w:val="20"/>
                <w:szCs w:val="20"/>
              </w:rPr>
              <w:t>14,09</w:t>
            </w:r>
          </w:p>
        </w:tc>
        <w:tc>
          <w:tcPr>
            <w:tcW w:w="1107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0F2D41BB" w14:textId="77777777" w:rsidR="004E35FB" w:rsidRPr="004E35FB" w:rsidRDefault="004E35FB" w:rsidP="004E35F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35FB">
              <w:rPr>
                <w:rFonts w:ascii="Times New Roman" w:hAnsi="Times New Roman" w:cs="Times New Roman"/>
                <w:sz w:val="20"/>
                <w:szCs w:val="20"/>
              </w:rPr>
              <w:t>Médio</w:t>
            </w:r>
          </w:p>
        </w:tc>
      </w:tr>
      <w:tr w:rsidR="004E35FB" w:rsidRPr="004E35FB" w14:paraId="3E6DD998" w14:textId="77777777" w:rsidTr="004E35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pct"/>
            <w:hideMark/>
          </w:tcPr>
          <w:p w14:paraId="5A4CA480" w14:textId="77777777" w:rsidR="004E35FB" w:rsidRPr="004E35FB" w:rsidRDefault="004E35FB" w:rsidP="004E35F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E35FB">
              <w:rPr>
                <w:rFonts w:ascii="Times New Roman" w:hAnsi="Times New Roman" w:cs="Times New Roman"/>
                <w:sz w:val="20"/>
                <w:szCs w:val="20"/>
              </w:rPr>
              <w:t>Engajamento e Comprometimento</w:t>
            </w:r>
          </w:p>
        </w:tc>
        <w:tc>
          <w:tcPr>
            <w:tcW w:w="1075" w:type="pct"/>
            <w:hideMark/>
          </w:tcPr>
          <w:p w14:paraId="494FA914" w14:textId="77777777" w:rsidR="004E35FB" w:rsidRPr="004E35FB" w:rsidRDefault="004E35FB" w:rsidP="004E35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35FB">
              <w:rPr>
                <w:rFonts w:ascii="Times New Roman" w:hAnsi="Times New Roman" w:cs="Times New Roman"/>
                <w:sz w:val="20"/>
                <w:szCs w:val="20"/>
              </w:rPr>
              <w:t>13,73</w:t>
            </w:r>
          </w:p>
        </w:tc>
        <w:tc>
          <w:tcPr>
            <w:tcW w:w="1107" w:type="pct"/>
            <w:hideMark/>
          </w:tcPr>
          <w:p w14:paraId="1016314C" w14:textId="77777777" w:rsidR="004E35FB" w:rsidRPr="004E35FB" w:rsidRDefault="004E35FB" w:rsidP="004E35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35FB">
              <w:rPr>
                <w:rFonts w:ascii="Times New Roman" w:hAnsi="Times New Roman" w:cs="Times New Roman"/>
                <w:sz w:val="20"/>
                <w:szCs w:val="20"/>
              </w:rPr>
              <w:t>Médio</w:t>
            </w:r>
          </w:p>
        </w:tc>
      </w:tr>
    </w:tbl>
    <w:p w14:paraId="2319551F" w14:textId="0A68D286" w:rsidR="004E35FB" w:rsidRPr="004E35FB" w:rsidRDefault="004E35FB" w:rsidP="004E35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E35FB">
        <w:rPr>
          <w:rFonts w:ascii="Times New Roman" w:hAnsi="Times New Roman" w:cs="Times New Roman"/>
          <w:sz w:val="20"/>
          <w:szCs w:val="20"/>
        </w:rPr>
        <w:t>Fonte: Elaborado pelo autor (2025).</w:t>
      </w:r>
    </w:p>
    <w:p w14:paraId="68E602CE" w14:textId="77777777" w:rsidR="004E35FB" w:rsidRDefault="004E35FB" w:rsidP="004E35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F1F3DE" w14:textId="0840F14C" w:rsidR="00167F4C" w:rsidRPr="00167F4C" w:rsidRDefault="00167F4C" w:rsidP="00167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7F4C">
        <w:rPr>
          <w:rFonts w:ascii="Times New Roman" w:hAnsi="Times New Roman" w:cs="Times New Roman"/>
          <w:sz w:val="24"/>
          <w:szCs w:val="24"/>
        </w:rPr>
        <w:t>A distribuição dos indicadores por nível de classificação revelou que as dimensões associadas a entregas objetivas, como Desempenho Individual e Resultado Organizacional, concentraram maior número de itens no nível alto. Nesse sentido, esse resultado confirma a discussão teórica de Bloom et al. (2015), Wang et al. (2020) e Kaplan e Norton (1997) sobre a maior convergência de avaliações quando se utilizam métricas tangíveis e verificáveis. Por outro lado, dimensões que dependem de percepções mais subjetivas ou que são influenciadas por estruturas organizacionais complexas apresentaram maior incidência de indicadores classificados nos níveis médio e baixo. Portanto, esse achado se conecta à argumentação de Maslach e Leiter (2016) e Bermúdez-González et al. (2024) sobre a variabilidade dessas métricas em função de fatores individuais e contextuais. Assim, essa configuração indica que medidas baseadas em registros objetivos e parâmetros claros tendem a gerar maior consenso entre avaliadores, enquanto aspectos que envolvem interações interpessoais ou percepções demandam metodologias complementares para assegurar consistência.</w:t>
      </w:r>
    </w:p>
    <w:p w14:paraId="57B6DF4F" w14:textId="77777777" w:rsidR="008B0C8F" w:rsidRDefault="00167F4C" w:rsidP="008B0C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7F4C">
        <w:rPr>
          <w:rFonts w:ascii="Times New Roman" w:hAnsi="Times New Roman" w:cs="Times New Roman"/>
          <w:sz w:val="24"/>
          <w:szCs w:val="24"/>
        </w:rPr>
        <w:t>Os resultados reforçam que a efetividade da avaliação de desempenho no trabalho remoto e híbrido depende da combinação entre mensuração objetiva das entregas e apoio institucional para aplicação dos indicadores, conforme discutido no referencial teórico. Dessa maneira, essa constatação permite compreender as razões para o desempenho de cada dimensão, identificar padrões recorrentes nas respostas dos especialistas e direcionar o desenvolvimento de modelos avaliativos alinhados às particularidades do trabalho não presencial.</w:t>
      </w:r>
    </w:p>
    <w:p w14:paraId="25871697" w14:textId="78D0A755" w:rsidR="000E0431" w:rsidRPr="000E0431" w:rsidRDefault="000E0431" w:rsidP="000E04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0431">
        <w:rPr>
          <w:rFonts w:ascii="Times New Roman" w:hAnsi="Times New Roman" w:cs="Times New Roman"/>
          <w:sz w:val="24"/>
          <w:szCs w:val="24"/>
        </w:rPr>
        <w:t xml:space="preserve">O desempenho individual apresentou o maior score médio entre as dimensões avaliadas, com 16,79 pontos, e confirmou a relevância de indicadores objetivos como prazos cumpridos, qualidade das entregas e ritmo de execução no contexto remoto. A centralidade desses elementos, discutida por Bloom et al. (2015) e Wang et al. (2020), explica a convergência observada entre os avaliadores, já que tais métricas oferecem base quantitativa sólida e reduzem espaço para interpretações divergentes. Essa estabilidade sugere que, em cenários não presenciais, a mensuração da produtividade tende a se apoiar em evidências verificáveis, funcionando como um mecanismo de legitimação das percepções sobre desempenho. No entanto, a ênfase em métricas objetivas pode limitar a captura de fatores qualitativos, como criatividade ou colaboração indireta, que também influenciam os </w:t>
      </w:r>
      <w:r w:rsidR="00676A28" w:rsidRPr="000E0431">
        <w:rPr>
          <w:rFonts w:ascii="Times New Roman" w:hAnsi="Times New Roman" w:cs="Times New Roman"/>
          <w:sz w:val="24"/>
          <w:szCs w:val="24"/>
        </w:rPr>
        <w:t>resultados,</w:t>
      </w:r>
      <w:r w:rsidRPr="000E0431">
        <w:rPr>
          <w:rFonts w:ascii="Times New Roman" w:hAnsi="Times New Roman" w:cs="Times New Roman"/>
          <w:sz w:val="24"/>
          <w:szCs w:val="24"/>
        </w:rPr>
        <w:t xml:space="preserve"> mas são mais difíceis de quantificar.</w:t>
      </w:r>
    </w:p>
    <w:p w14:paraId="55B4AA82" w14:textId="4A1D3874" w:rsidR="000E0431" w:rsidRPr="000E0431" w:rsidRDefault="000E0431" w:rsidP="000E04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0431">
        <w:rPr>
          <w:rFonts w:ascii="Times New Roman" w:hAnsi="Times New Roman" w:cs="Times New Roman"/>
          <w:sz w:val="24"/>
          <w:szCs w:val="24"/>
        </w:rPr>
        <w:t>O resultado organizacional, com score médio de 16,60 pontos e classificação alta, reforça a ideia de que metas atingidas, visibilidade institucional e qualidade das entregas mantêm um status consolidado como parâmetros de avaliação. A homogeneidade dos escores, mesmo em setores distintos, indica que essas variáveis funcionam como denominadores comuns entre diferentes realidades empresariais, conforme apontam Kaplan e Norton (1997) e Deschênes et al. (2024). Esse padrão pode estar relacionado à natureza estratégica desses indicadores, que permitem comparações diretas com objetivos corporativos de curto e longo prazo. Apesar disso, a dependência de resultados agregados pode mascarar desigualdades internas, como diferenças de carga de trabalho ou de acesso a recursos, o que sugere a importância de desdobrar essa métrica em análises mais granulares.</w:t>
      </w:r>
    </w:p>
    <w:p w14:paraId="35CD9EFC" w14:textId="06EA3315" w:rsidR="008B0C8F" w:rsidRDefault="000E0431" w:rsidP="000E04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0431">
        <w:rPr>
          <w:rFonts w:ascii="Times New Roman" w:hAnsi="Times New Roman" w:cs="Times New Roman"/>
          <w:sz w:val="24"/>
          <w:szCs w:val="24"/>
        </w:rPr>
        <w:t xml:space="preserve">A dimensão gestão e liderança, com score médio de 15,95 pontos e classificação intermediária, apresentou maior variabilidade entre as respostas, refletindo a influência de fatores culturais e estruturais na percepção da efetividade gerencial. Embora práticas como fornecimento de </w:t>
      </w:r>
      <w:r w:rsidRPr="000E0431">
        <w:rPr>
          <w:rFonts w:ascii="Times New Roman" w:hAnsi="Times New Roman" w:cs="Times New Roman"/>
          <w:sz w:val="24"/>
          <w:szCs w:val="24"/>
        </w:rPr>
        <w:lastRenderedPageBreak/>
        <w:t>feedbacks regulares, coerência entre discurso e prática e promoção de segurança psicológica sejam reconhecidas como relevantes, sua aplicação parece depender do estilo de liderança e do nível de preparo para conduzir equipes à distância, conforme discutem Olson e Olson (2003). Diferenças na forma como líderes interpretam e executam essas práticas, associadas a políticas organizacionais nem sempre consistentes, ajudam a explicar a dispersão das pontuações. Além disso, a avaliação dessa dimensão é mais sensível à subjetividade dos avaliadores, uma vez que envolve percepções sobre relacionamento e suporte, o que reduz a uniformidade dos resultados e aponta para a necessidade de métricas mais padronizadas e observáveis para este campo.</w:t>
      </w:r>
    </w:p>
    <w:p w14:paraId="5EEDB80F" w14:textId="07E6A62E" w:rsidR="000E0431" w:rsidRPr="000E0431" w:rsidRDefault="000E0431" w:rsidP="000E04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0431">
        <w:rPr>
          <w:rFonts w:ascii="Times New Roman" w:hAnsi="Times New Roman" w:cs="Times New Roman"/>
          <w:sz w:val="24"/>
          <w:szCs w:val="24"/>
        </w:rPr>
        <w:t>A dimensão de retenção e permanência, com score médio de 15,60 pontos e classificação intermediária, revela um campo fortemente condicionado por fatores externos, como a atratividade do mercado de trabalho e as condições macroeconômicas, e internos, como planos de carreira estruturados, estabilidade contratual e práticas de reconhecimento. A heterogeneidade dessas variáveis, discutida por Bermúdez-González et al. (2024), dificulta a padronização de percepções, já que um mesmo indicador pode refletir realidades opostas dependendo do setor ou do momento econômico. Esse cenário sugere que a consistência dessa dimensão depende da contextualização dos dados, de modo que análises comparativas só sejam realizadas entre organizações com estruturas e condições semelhantes.</w:t>
      </w:r>
    </w:p>
    <w:p w14:paraId="02E945F7" w14:textId="4EAE184A" w:rsidR="000E0431" w:rsidRPr="000E0431" w:rsidRDefault="000E0431" w:rsidP="000E04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0431">
        <w:rPr>
          <w:rFonts w:ascii="Times New Roman" w:hAnsi="Times New Roman" w:cs="Times New Roman"/>
          <w:sz w:val="24"/>
          <w:szCs w:val="24"/>
        </w:rPr>
        <w:t xml:space="preserve">A dimensão tecnologia e segurança, com score médio de 15,31 pontos e também na faixa intermediária, aponta um descompasso entre a expectativa teórica e a aplicação prática. Embora a infraestrutura tecnológica seja amplamente reconhecida como pilar do trabalho remoto, a eficácia percebida parece depender tanto da integração dessas ferramentas aos fluxos de trabalho quanto da capacitação dos usuários para utilizá-las de forma produtiva e segura, conforme discutem Bélanger e Crossler (2011) e </w:t>
      </w:r>
      <w:proofErr w:type="spellStart"/>
      <w:r w:rsidRPr="000E0431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0E0431">
        <w:rPr>
          <w:rFonts w:ascii="Times New Roman" w:hAnsi="Times New Roman" w:cs="Times New Roman"/>
          <w:sz w:val="24"/>
          <w:szCs w:val="24"/>
        </w:rPr>
        <w:t xml:space="preserve"> e Reeve (2011). Diferenças na familiaridade com plataformas, na frequência de treinamentos e no rigor de políticas de segurança explicam a variação observada, indicando que a simples disponibilidade de recursos não garante uniformidade no desempenho.</w:t>
      </w:r>
    </w:p>
    <w:p w14:paraId="5C070CAA" w14:textId="6A4AB27B" w:rsidR="000E0431" w:rsidRPr="000E0431" w:rsidRDefault="000E0431" w:rsidP="000E04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0431">
        <w:rPr>
          <w:rFonts w:ascii="Times New Roman" w:hAnsi="Times New Roman" w:cs="Times New Roman"/>
          <w:sz w:val="24"/>
          <w:szCs w:val="24"/>
        </w:rPr>
        <w:t>Comunicação e colaboração remota, com score médio de 14,61 pontos, apresentou desempenho inferior às dimensões mais objetivas, refletindo a influência de variáveis como clareza das mensagens, escolha do canal e adequação da linguagem, conforme apontam Olson e Olson (2003) e Hartner-Tiefenthaler et al. (2022). Essas variáveis estão sujeitas a interpretações individuais e a fatores organizacionais, como cultura de feedback e maturidade digital da equipe, o que torna mais difícil alcançar consenso. Além disso, a mensuração da colaboração virtual tende a depender de percepções subjetivas, o que amplia a dispersão dos resultados.</w:t>
      </w:r>
    </w:p>
    <w:p w14:paraId="145E5462" w14:textId="01C7D533" w:rsidR="000E0431" w:rsidRPr="000E0431" w:rsidRDefault="000E0431" w:rsidP="000E04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0431">
        <w:rPr>
          <w:rFonts w:ascii="Times New Roman" w:hAnsi="Times New Roman" w:cs="Times New Roman"/>
          <w:sz w:val="24"/>
          <w:szCs w:val="24"/>
        </w:rPr>
        <w:t>A dimensão saúde e bem-estar, com score médio de 14,09 pontos e segundo menor desempenho, evidencia a complexidade de se mensurar aspectos subjetivos ligados ao equilíbrio físico e mental no trabalho remoto. Elementos como estresse percebido, qualidade do ambiente doméstico e sentimento de isolamento, discutidos por Cardoso et al. (2025) e Oliveira e Souza (2023), são influenciados por variáveis individuais e por políticas institucionais de apoio, o que limita a padronização e dificulta comparações diretas entre contextos distintos.</w:t>
      </w:r>
    </w:p>
    <w:p w14:paraId="53C8906D" w14:textId="2D85D1A1" w:rsidR="000E0431" w:rsidRPr="000E0431" w:rsidRDefault="000E0431" w:rsidP="000E04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0431">
        <w:rPr>
          <w:rFonts w:ascii="Times New Roman" w:hAnsi="Times New Roman" w:cs="Times New Roman"/>
          <w:sz w:val="24"/>
          <w:szCs w:val="24"/>
        </w:rPr>
        <w:t>Engajamento e comprometimento, com 13,73 pontos, apresentou a menor pontuação, reforçando a percepção de que esse construto, conforme Maslach e Leiter (2016), depende de um conjunto dinâmico de fatores internos, como motivação intrínseca, e externos, como ambiente organizacional e reconhecimento. Essa dependência de múltiplas fontes de influência torna a dimensão mais suscetível a flutuações e menos estável ao longo do tempo. A dispersão das respostas sugere que métodos exclusivamente quantitativos não captam integralmente a complexidade do fenômeno, demandando abordagens qualitativas complementares para identificar padrões ocultos.</w:t>
      </w:r>
    </w:p>
    <w:p w14:paraId="2E15CC06" w14:textId="50598FD9" w:rsidR="000E0431" w:rsidRDefault="000E0431" w:rsidP="000E04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0431">
        <w:rPr>
          <w:rFonts w:ascii="Times New Roman" w:hAnsi="Times New Roman" w:cs="Times New Roman"/>
          <w:sz w:val="24"/>
          <w:szCs w:val="24"/>
        </w:rPr>
        <w:t xml:space="preserve">De forma geral, as diferenças de desempenho entre as dimensões evidenciam que métricas baseadas em resultados objetivos e padronizados, como nas dimensões de maior score, tendem a gerar maior consenso entre avaliadores. Por outro lado, indicadores que envolvem percepções individuais, </w:t>
      </w:r>
      <w:r w:rsidRPr="000E0431">
        <w:rPr>
          <w:rFonts w:ascii="Times New Roman" w:hAnsi="Times New Roman" w:cs="Times New Roman"/>
          <w:sz w:val="24"/>
          <w:szCs w:val="24"/>
        </w:rPr>
        <w:lastRenderedPageBreak/>
        <w:t>influências contextuais ou múltiplos determinantes apresentam maior variação e menor uniformidade, o que reforça a necessidade de ajustes metodológicos e de integração com técnicas qualitativas para reduzir ambiguidades e ampliar a confiabilidade das avaliações.</w:t>
      </w:r>
    </w:p>
    <w:p w14:paraId="1D6E5A2A" w14:textId="77777777" w:rsidR="000E0431" w:rsidRDefault="000E0431" w:rsidP="000E043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704A65" w14:textId="4E6A27DE" w:rsidR="00F70750" w:rsidRPr="00F70750" w:rsidRDefault="00F70750" w:rsidP="00F7075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70750">
        <w:rPr>
          <w:rFonts w:ascii="Times New Roman" w:hAnsi="Times New Roman" w:cs="Times New Roman"/>
          <w:b/>
          <w:bCs/>
          <w:sz w:val="20"/>
          <w:szCs w:val="20"/>
        </w:rPr>
        <w:t>Tabela 3 –</w:t>
      </w:r>
      <w:r w:rsidRPr="00F70750">
        <w:rPr>
          <w:rFonts w:ascii="Times New Roman" w:hAnsi="Times New Roman" w:cs="Times New Roman"/>
          <w:sz w:val="20"/>
          <w:szCs w:val="20"/>
        </w:rPr>
        <w:t xml:space="preserve"> Interpretação dos resultados por dimensão avaliada</w:t>
      </w:r>
    </w:p>
    <w:tbl>
      <w:tblPr>
        <w:tblStyle w:val="SimplesTabela2"/>
        <w:tblW w:w="5000" w:type="pct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7"/>
        <w:gridCol w:w="7651"/>
      </w:tblGrid>
      <w:tr w:rsidR="000A6FFA" w:rsidRPr="000A6FFA" w14:paraId="6A7F9398" w14:textId="77777777" w:rsidTr="000A6F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" w:type="pct"/>
            <w:tcBorders>
              <w:bottom w:val="none" w:sz="0" w:space="0" w:color="auto"/>
            </w:tcBorders>
            <w:hideMark/>
          </w:tcPr>
          <w:p w14:paraId="2E1A7F72" w14:textId="77777777" w:rsidR="000A6FFA" w:rsidRPr="000A6FFA" w:rsidRDefault="000A6FFA" w:rsidP="000A6F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A6FFA">
              <w:rPr>
                <w:rFonts w:ascii="Times New Roman" w:hAnsi="Times New Roman" w:cs="Times New Roman"/>
                <w:sz w:val="20"/>
                <w:szCs w:val="20"/>
              </w:rPr>
              <w:t>Dimensão</w:t>
            </w:r>
          </w:p>
        </w:tc>
        <w:tc>
          <w:tcPr>
            <w:tcW w:w="3969" w:type="pct"/>
            <w:tcBorders>
              <w:bottom w:val="none" w:sz="0" w:space="0" w:color="auto"/>
            </w:tcBorders>
            <w:hideMark/>
          </w:tcPr>
          <w:p w14:paraId="4998158D" w14:textId="77777777" w:rsidR="000A6FFA" w:rsidRPr="000A6FFA" w:rsidRDefault="000A6FFA" w:rsidP="000A6F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A6FFA">
              <w:rPr>
                <w:rFonts w:ascii="Times New Roman" w:hAnsi="Times New Roman" w:cs="Times New Roman"/>
                <w:sz w:val="20"/>
                <w:szCs w:val="20"/>
              </w:rPr>
              <w:t>Interpretação dos Resultados</w:t>
            </w:r>
          </w:p>
        </w:tc>
      </w:tr>
      <w:tr w:rsidR="000A6FFA" w:rsidRPr="000A6FFA" w14:paraId="09186101" w14:textId="77777777" w:rsidTr="000A6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3B4E1219" w14:textId="77777777" w:rsidR="000A6FFA" w:rsidRPr="000A6FFA" w:rsidRDefault="000A6FFA" w:rsidP="000A6F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A6FFA">
              <w:rPr>
                <w:rFonts w:ascii="Times New Roman" w:hAnsi="Times New Roman" w:cs="Times New Roman"/>
                <w:sz w:val="20"/>
                <w:szCs w:val="20"/>
              </w:rPr>
              <w:t>Desempenho Individual</w:t>
            </w:r>
          </w:p>
        </w:tc>
        <w:tc>
          <w:tcPr>
            <w:tcW w:w="3969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3D1927CB" w14:textId="77777777" w:rsidR="000A6FFA" w:rsidRPr="000A6FFA" w:rsidRDefault="000A6FFA" w:rsidP="000A6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A6FFA">
              <w:rPr>
                <w:rFonts w:ascii="Times New Roman" w:hAnsi="Times New Roman" w:cs="Times New Roman"/>
                <w:sz w:val="20"/>
                <w:szCs w:val="20"/>
              </w:rPr>
              <w:t>Baseado em métricas objetivas como cumprimento de prazos, qualidade das entregas e ritmo de execução. A mensuração quantitativa reduz divergências interpretativas e favorece consenso, pois se apoia em evidências verificáveis, conforme Bloom et al. (2015) e Wang et al. (2020). Pode, no entanto, não capturar aspectos qualitativos como criatividade e inovação.</w:t>
            </w:r>
          </w:p>
        </w:tc>
      </w:tr>
      <w:tr w:rsidR="000A6FFA" w:rsidRPr="000A6FFA" w14:paraId="413D745B" w14:textId="77777777" w:rsidTr="000A6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" w:type="pct"/>
            <w:hideMark/>
          </w:tcPr>
          <w:p w14:paraId="074E1711" w14:textId="77777777" w:rsidR="000A6FFA" w:rsidRPr="000A6FFA" w:rsidRDefault="000A6FFA" w:rsidP="000A6F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A6FFA">
              <w:rPr>
                <w:rFonts w:ascii="Times New Roman" w:hAnsi="Times New Roman" w:cs="Times New Roman"/>
                <w:sz w:val="20"/>
                <w:szCs w:val="20"/>
              </w:rPr>
              <w:t>Resultado Organizacional</w:t>
            </w:r>
          </w:p>
        </w:tc>
        <w:tc>
          <w:tcPr>
            <w:tcW w:w="3969" w:type="pct"/>
            <w:hideMark/>
          </w:tcPr>
          <w:p w14:paraId="59D7A763" w14:textId="77777777" w:rsidR="000A6FFA" w:rsidRPr="000A6FFA" w:rsidRDefault="000A6FFA" w:rsidP="000A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A6FFA">
              <w:rPr>
                <w:rFonts w:ascii="Times New Roman" w:hAnsi="Times New Roman" w:cs="Times New Roman"/>
                <w:sz w:val="20"/>
                <w:szCs w:val="20"/>
              </w:rPr>
              <w:t>Reflete o impacto das entregas e metas atingidas sobre os objetivos estratégicos da organização. O elevado consenso sugere que esses indicadores funcionam como referência transversal a diferentes setores, alinhando-se a Kaplan e Norton (1997) e Deschênes et al. (2024). Apesar da uniformidade, resultados agregados podem ocultar desigualdades internas e diferenças de contribuição individual.</w:t>
            </w:r>
          </w:p>
        </w:tc>
      </w:tr>
      <w:tr w:rsidR="000A6FFA" w:rsidRPr="000A6FFA" w14:paraId="6FC1C6EA" w14:textId="77777777" w:rsidTr="000A6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6DA59668" w14:textId="77777777" w:rsidR="000A6FFA" w:rsidRPr="000A6FFA" w:rsidRDefault="000A6FFA" w:rsidP="000A6F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A6FFA">
              <w:rPr>
                <w:rFonts w:ascii="Times New Roman" w:hAnsi="Times New Roman" w:cs="Times New Roman"/>
                <w:sz w:val="20"/>
                <w:szCs w:val="20"/>
              </w:rPr>
              <w:t>Gestão e Liderança</w:t>
            </w:r>
          </w:p>
        </w:tc>
        <w:tc>
          <w:tcPr>
            <w:tcW w:w="3969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0487FB56" w14:textId="77777777" w:rsidR="000A6FFA" w:rsidRPr="000A6FFA" w:rsidRDefault="000A6FFA" w:rsidP="000A6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A6FFA">
              <w:rPr>
                <w:rFonts w:ascii="Times New Roman" w:hAnsi="Times New Roman" w:cs="Times New Roman"/>
                <w:sz w:val="20"/>
                <w:szCs w:val="20"/>
              </w:rPr>
              <w:t>Avalia apoio, feedback, coerência entre discurso e prática e promoção da segurança psicológica por parte dos gestores. A variação nos escores é explicada por diferenças culturais, estilos de liderança e preparo para gestão remota, conforme Olson e Olson (2003). A subjetividade dessa avaliação e a dependência de percepções individuais reduzem a padronização.</w:t>
            </w:r>
          </w:p>
        </w:tc>
      </w:tr>
      <w:tr w:rsidR="000A6FFA" w:rsidRPr="000A6FFA" w14:paraId="32E09B41" w14:textId="77777777" w:rsidTr="000A6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" w:type="pct"/>
            <w:hideMark/>
          </w:tcPr>
          <w:p w14:paraId="77F8F371" w14:textId="77777777" w:rsidR="000A6FFA" w:rsidRPr="000A6FFA" w:rsidRDefault="000A6FFA" w:rsidP="000A6F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A6FFA">
              <w:rPr>
                <w:rFonts w:ascii="Times New Roman" w:hAnsi="Times New Roman" w:cs="Times New Roman"/>
                <w:sz w:val="20"/>
                <w:szCs w:val="20"/>
              </w:rPr>
              <w:t>Retenção e Permanência</w:t>
            </w:r>
          </w:p>
        </w:tc>
        <w:tc>
          <w:tcPr>
            <w:tcW w:w="3969" w:type="pct"/>
            <w:hideMark/>
          </w:tcPr>
          <w:p w14:paraId="24A040BF" w14:textId="77777777" w:rsidR="000A6FFA" w:rsidRPr="000A6FFA" w:rsidRDefault="000A6FFA" w:rsidP="000A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A6FFA">
              <w:rPr>
                <w:rFonts w:ascii="Times New Roman" w:hAnsi="Times New Roman" w:cs="Times New Roman"/>
                <w:sz w:val="20"/>
                <w:szCs w:val="20"/>
              </w:rPr>
              <w:t>Engloba intenção de permanência, percepção de estabilidade e satisfação com perspectivas de carreira. Influenciada por fatores internos, como reconhecimento e oportunidades, e externos, como atratividade do mercado e contexto econômico, conforme Bermúdez-González et al. (2024). A multiplicidade de determinantes torna a comparação entre organizações mais complexa.</w:t>
            </w:r>
          </w:p>
        </w:tc>
      </w:tr>
      <w:tr w:rsidR="000A6FFA" w:rsidRPr="000A6FFA" w14:paraId="20D6D8B4" w14:textId="77777777" w:rsidTr="000A6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6DB0EB78" w14:textId="77777777" w:rsidR="000A6FFA" w:rsidRPr="000A6FFA" w:rsidRDefault="000A6FFA" w:rsidP="000A6F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A6FFA">
              <w:rPr>
                <w:rFonts w:ascii="Times New Roman" w:hAnsi="Times New Roman" w:cs="Times New Roman"/>
                <w:sz w:val="20"/>
                <w:szCs w:val="20"/>
              </w:rPr>
              <w:t>Tecnologia e Segurança</w:t>
            </w:r>
          </w:p>
        </w:tc>
        <w:tc>
          <w:tcPr>
            <w:tcW w:w="3969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37465926" w14:textId="77777777" w:rsidR="000A6FFA" w:rsidRPr="000A6FFA" w:rsidRDefault="000A6FFA" w:rsidP="000A6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A6FFA">
              <w:rPr>
                <w:rFonts w:ascii="Times New Roman" w:hAnsi="Times New Roman" w:cs="Times New Roman"/>
                <w:sz w:val="20"/>
                <w:szCs w:val="20"/>
              </w:rPr>
              <w:t xml:space="preserve">Mede competência no uso de ferramentas digitais, integração tecnológica e práticas de segurança da informação. A variação nos escores indica diferenças na infraestrutura, capacitação e cultura de segurança, conforme Bélanger e Crossler (2011) e </w:t>
            </w:r>
            <w:proofErr w:type="spellStart"/>
            <w:r w:rsidRPr="000A6FFA">
              <w:rPr>
                <w:rFonts w:ascii="Times New Roman" w:hAnsi="Times New Roman" w:cs="Times New Roman"/>
                <w:sz w:val="20"/>
                <w:szCs w:val="20"/>
              </w:rPr>
              <w:t>Su</w:t>
            </w:r>
            <w:proofErr w:type="spellEnd"/>
            <w:r w:rsidRPr="000A6FFA">
              <w:rPr>
                <w:rFonts w:ascii="Times New Roman" w:hAnsi="Times New Roman" w:cs="Times New Roman"/>
                <w:sz w:val="20"/>
                <w:szCs w:val="20"/>
              </w:rPr>
              <w:t xml:space="preserve"> e Reeve (2011). A presença de recursos não garante eficácia sem integração estratégica e treinamento contínuo.</w:t>
            </w:r>
          </w:p>
        </w:tc>
      </w:tr>
      <w:tr w:rsidR="000A6FFA" w:rsidRPr="000A6FFA" w14:paraId="60465167" w14:textId="77777777" w:rsidTr="000A6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" w:type="pct"/>
            <w:hideMark/>
          </w:tcPr>
          <w:p w14:paraId="6D443952" w14:textId="77777777" w:rsidR="000A6FFA" w:rsidRPr="000A6FFA" w:rsidRDefault="000A6FFA" w:rsidP="000A6F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A6FFA">
              <w:rPr>
                <w:rFonts w:ascii="Times New Roman" w:hAnsi="Times New Roman" w:cs="Times New Roman"/>
                <w:sz w:val="20"/>
                <w:szCs w:val="20"/>
              </w:rPr>
              <w:t>Comunicação e Colaboração Remota</w:t>
            </w:r>
          </w:p>
        </w:tc>
        <w:tc>
          <w:tcPr>
            <w:tcW w:w="3969" w:type="pct"/>
            <w:hideMark/>
          </w:tcPr>
          <w:p w14:paraId="6D57E703" w14:textId="77777777" w:rsidR="000A6FFA" w:rsidRPr="000A6FFA" w:rsidRDefault="000A6FFA" w:rsidP="000A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A6FFA">
              <w:rPr>
                <w:rFonts w:ascii="Times New Roman" w:hAnsi="Times New Roman" w:cs="Times New Roman"/>
                <w:sz w:val="20"/>
                <w:szCs w:val="20"/>
              </w:rPr>
              <w:t>Avalia clareza, adequação e frequência das interações virtuais. É influenciada por cultura organizacional, maturidade digital e estilos de comunicação, o que aumenta a variabilidade, conforme Olson e Olson (2003) e Hartner-Tiefenthaler et al. (2022). A mensuração tende a ser mais subjetiva, dificultando comparações uniformes.</w:t>
            </w:r>
          </w:p>
        </w:tc>
      </w:tr>
      <w:tr w:rsidR="000A6FFA" w:rsidRPr="000A6FFA" w14:paraId="24093215" w14:textId="77777777" w:rsidTr="000A6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04ADCB3E" w14:textId="77777777" w:rsidR="000A6FFA" w:rsidRPr="000A6FFA" w:rsidRDefault="000A6FFA" w:rsidP="000A6F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A6FFA">
              <w:rPr>
                <w:rFonts w:ascii="Times New Roman" w:hAnsi="Times New Roman" w:cs="Times New Roman"/>
                <w:sz w:val="20"/>
                <w:szCs w:val="20"/>
              </w:rPr>
              <w:t>Saúde e Bem-Estar</w:t>
            </w:r>
          </w:p>
        </w:tc>
        <w:tc>
          <w:tcPr>
            <w:tcW w:w="3969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1A5AAF71" w14:textId="77777777" w:rsidR="000A6FFA" w:rsidRPr="000A6FFA" w:rsidRDefault="000A6FFA" w:rsidP="000A6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A6FFA">
              <w:rPr>
                <w:rFonts w:ascii="Times New Roman" w:hAnsi="Times New Roman" w:cs="Times New Roman"/>
                <w:sz w:val="20"/>
                <w:szCs w:val="20"/>
              </w:rPr>
              <w:t>Inclui estresse percebido, equilíbrio vida-trabalho, isolamento social e apoio institucional. De difícil padronização, essa dimensão sofre forte influência de fatores individuais e do nível de suporte oferecido pela organização, conforme Cardoso et al. (2025) e Oliveira &amp; Souza (2023). A ausência de métricas amplamente consensuais reduz a comparabilidade entre contextos.</w:t>
            </w:r>
          </w:p>
        </w:tc>
      </w:tr>
      <w:tr w:rsidR="000A6FFA" w:rsidRPr="000A6FFA" w14:paraId="16BB55EA" w14:textId="77777777" w:rsidTr="000A6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" w:type="pct"/>
            <w:hideMark/>
          </w:tcPr>
          <w:p w14:paraId="0FD313AB" w14:textId="77777777" w:rsidR="000A6FFA" w:rsidRPr="000A6FFA" w:rsidRDefault="000A6FFA" w:rsidP="000A6F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A6FFA">
              <w:rPr>
                <w:rFonts w:ascii="Times New Roman" w:hAnsi="Times New Roman" w:cs="Times New Roman"/>
                <w:sz w:val="20"/>
                <w:szCs w:val="20"/>
              </w:rPr>
              <w:t>Engajamento e Comprometimento</w:t>
            </w:r>
          </w:p>
        </w:tc>
        <w:tc>
          <w:tcPr>
            <w:tcW w:w="3969" w:type="pct"/>
            <w:hideMark/>
          </w:tcPr>
          <w:p w14:paraId="2FA637E7" w14:textId="77777777" w:rsidR="000A6FFA" w:rsidRPr="000A6FFA" w:rsidRDefault="000A6FFA" w:rsidP="000A6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A6FFA">
              <w:rPr>
                <w:rFonts w:ascii="Times New Roman" w:hAnsi="Times New Roman" w:cs="Times New Roman"/>
                <w:sz w:val="20"/>
                <w:szCs w:val="20"/>
              </w:rPr>
              <w:t>Relaciona-se à motivação, alinhamento de valores e disposição para contribuir além do mínimo esperado. Alta variabilidade devido à influência combinada de fatores internos, como motivação intrínseca, e externos, como clima organizacional e políticas de reconhecimento, conforme Maslach e Leiter (2016). Requer instrumentos qualitativos complementares para melhor mensuração.</w:t>
            </w:r>
          </w:p>
        </w:tc>
      </w:tr>
    </w:tbl>
    <w:p w14:paraId="5079C09A" w14:textId="49E5611E" w:rsidR="004E35FB" w:rsidRPr="00F70750" w:rsidRDefault="00F70750" w:rsidP="004E35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70750">
        <w:rPr>
          <w:rFonts w:ascii="Times New Roman" w:hAnsi="Times New Roman" w:cs="Times New Roman"/>
          <w:sz w:val="20"/>
          <w:szCs w:val="20"/>
        </w:rPr>
        <w:t>Fonte: Elaborado pelo autor (2025).</w:t>
      </w:r>
    </w:p>
    <w:p w14:paraId="413581F9" w14:textId="77777777" w:rsidR="00F70750" w:rsidRDefault="00F70750" w:rsidP="004E35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2B5BCD" w14:textId="2C19249E" w:rsidR="004E35FB" w:rsidRDefault="008B0C8F" w:rsidP="00F707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0C8F">
        <w:rPr>
          <w:rFonts w:ascii="Times New Roman" w:hAnsi="Times New Roman" w:cs="Times New Roman"/>
          <w:sz w:val="24"/>
          <w:szCs w:val="24"/>
        </w:rPr>
        <w:t xml:space="preserve">A leitura integrada dos resultados mostra que os modelos de avaliação de desempenho aplicados ao trabalho remoto e híbrido precisam combinar indicadores de natureza objetiva, que permitem mensuração consistente e comparável, com métricas capazes de captar aspectos qualitativos importantes para a manutenção das relações de trabalho. Assim, dimensões como desempenho individual e resultado organizacional indicam que a objetividade favorece o consenso entre avaliadores e facilita a aplicabilidade dos resultados. Por outro lado, áreas como engajamento, comunicação e saúde evidenciam a necessidade de abordagens complementares que incorporem a subjetividade e considerem as variações contextuais presentes nesses ambientes. Portanto, essa </w:t>
      </w:r>
      <w:r w:rsidRPr="008B0C8F">
        <w:rPr>
          <w:rFonts w:ascii="Times New Roman" w:hAnsi="Times New Roman" w:cs="Times New Roman"/>
          <w:sz w:val="24"/>
          <w:szCs w:val="24"/>
        </w:rPr>
        <w:lastRenderedPageBreak/>
        <w:t>integração de métodos amplia a consistência do processo avaliativo e favorece que as decisões resultantes estejam alinhadas às particularidades do trabalho não presencial.</w:t>
      </w:r>
    </w:p>
    <w:p w14:paraId="720290B8" w14:textId="77777777" w:rsidR="00852362" w:rsidRDefault="00852362" w:rsidP="008523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CC0DBB" w14:textId="38AC3C8F" w:rsidR="00852362" w:rsidRDefault="00852362" w:rsidP="0085236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52362">
        <w:rPr>
          <w:rFonts w:ascii="Times New Roman" w:hAnsi="Times New Roman" w:cs="Times New Roman"/>
          <w:b/>
          <w:bCs/>
          <w:sz w:val="24"/>
          <w:szCs w:val="24"/>
        </w:rPr>
        <w:t>5. Considerações finais</w:t>
      </w:r>
    </w:p>
    <w:p w14:paraId="5D888923" w14:textId="0A62F85D" w:rsidR="00676A28" w:rsidRPr="00676A28" w:rsidRDefault="00676A28" w:rsidP="00676A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76A28">
        <w:rPr>
          <w:rFonts w:ascii="Times New Roman" w:hAnsi="Times New Roman" w:cs="Times New Roman"/>
          <w:sz w:val="24"/>
          <w:szCs w:val="24"/>
        </w:rPr>
        <w:t>Os resultados obtidos demonstram que a avaliação de desempenho em contextos remoto e híbrido requer a integração de métricas objetivas e parâmetros qualitativos, de forma a equilibrar mensuração consistente e captura de aspectos subjetivos relevantes para o desempenho. As dimensões de desempenho individual e resultado organizacional, com scores médios de 16,79 e 16,60 pontos, confirmam o papel central de indicadores tangíveis e verificáveis, como cumprimento de prazos, qualidade das entregas e impacto das metas sobre os objetivos estratégicos, para gerar consenso entre avaliadores e orientar decisões de forma mais uniforme. Por outro lado, dimensões como engajamento e comprometimento, comunicação e colaboração remota e saúde e bem-estar, com scores médios de 13,73, 14,61 e 14,09 pontos, apresentaram maior variabilidade, refletindo a influência de percepções individuais, condições organizacionais específicas e limitações na padronização das métricas.</w:t>
      </w:r>
    </w:p>
    <w:p w14:paraId="176EE1CD" w14:textId="32AF4E7E" w:rsidR="00676A28" w:rsidRPr="00676A28" w:rsidRDefault="00676A28" w:rsidP="00676A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76A28">
        <w:rPr>
          <w:rFonts w:ascii="Times New Roman" w:hAnsi="Times New Roman" w:cs="Times New Roman"/>
          <w:sz w:val="24"/>
          <w:szCs w:val="24"/>
        </w:rPr>
        <w:t>Esses achados contribuem para a literatura ao indicar que, embora métricas objetivas mantenham maior estabilidade independentemente do setor ou porte da organização, a avaliação de aspectos qualitativos no trabalho remoto exige abordagens metodológicas complementares, capazes de incorporar contextos e percepções de forma estruturada. O modelo desenvolvido oferece uma resposta à lacuna observada em estudos anteriores, que indicavam a dificuldade de adaptação dos sistemas avaliativos tradicionais a modalidades não presenciais, propondo um conjunto validado de indicadores aplicável a múltiplos cenários e fundamentado em evidências empíricas.</w:t>
      </w:r>
    </w:p>
    <w:p w14:paraId="0D2A2245" w14:textId="379A39FC" w:rsidR="00676A28" w:rsidRPr="00676A28" w:rsidRDefault="00676A28" w:rsidP="00676A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76A28">
        <w:rPr>
          <w:rFonts w:ascii="Times New Roman" w:hAnsi="Times New Roman" w:cs="Times New Roman"/>
          <w:sz w:val="24"/>
          <w:szCs w:val="24"/>
        </w:rPr>
        <w:t>No plano prático, a aplicação do modelo pode reduzir a percepção de perda de controle que leva muitos líderes a reforçar políticas de retorno presencial. Ao oferecer parâmetros objetivos combinados com indicadores qualitativos estruturados, o modelo possibilita que gestores monitorem entregas, engajamento e bem-estar sem depender exclusivamente da proximidade física. Isso tende a fortalecer a confiança nas práticas de gestão e a sustentar políticas de flexibilidade alinhadas tanto às necessidades estratégicas das organizações quanto às expectativas dos trabalhadores.</w:t>
      </w:r>
    </w:p>
    <w:p w14:paraId="3091F2FC" w14:textId="6CD4B7C0" w:rsidR="00676A28" w:rsidRPr="00676A28" w:rsidRDefault="00676A28" w:rsidP="00676A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76A28">
        <w:rPr>
          <w:rFonts w:ascii="Times New Roman" w:hAnsi="Times New Roman" w:cs="Times New Roman"/>
          <w:sz w:val="24"/>
          <w:szCs w:val="24"/>
        </w:rPr>
        <w:t>Apesar da consistência metodológica, algumas limitações devem ser consideradas. A amostra de especialistas, embora diversificada setorialmente, restringe-se a um número limitado de participantes, o que pode influenciar a representatividade dos resultados. A aplicação de apenas uma rodada da Técnica Delphi, ainda que suficiente para validação inicial, pode não capturar plenamente o potencial de refinamento que rodadas adicionais poderiam oferecer. Além disso, o estudo foi conduzido em um contexto econômico e cultural específico, o que pode afetar a generalização dos resultados para ambientes com menor maturidade digital ou com estruturas de trabalho significativamente diferentes.</w:t>
      </w:r>
    </w:p>
    <w:p w14:paraId="4AEAB1C1" w14:textId="6A2371E1" w:rsidR="003A407B" w:rsidRPr="003A407B" w:rsidRDefault="00676A28" w:rsidP="00676A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76A28">
        <w:rPr>
          <w:rFonts w:ascii="Times New Roman" w:hAnsi="Times New Roman" w:cs="Times New Roman"/>
          <w:sz w:val="24"/>
          <w:szCs w:val="24"/>
        </w:rPr>
        <w:t>Para pesquisas futuras, sugere-se testar o modelo em setores com diferentes graus de complexidade operacional e em organizações de distintos portes, a fim de verificar sua estabilidade em cenários mais amplos. Recomenda-se também a inclusão de variáveis relacionadas à inovação, adaptabilidade e impacto social, que podem ampliar a capacidade do modelo de captar dimensões qualitativas que atualmente apresentam menor convergência nas avaliações. Estudos longitudinais, por sua vez, podem oferecer evidências sobre a evolução das percepções de desempenho ao longo do tempo, especialmente em períodos de transição entre modalidades presenciais e não presenciais.</w:t>
      </w:r>
    </w:p>
    <w:p w14:paraId="7AC4E480" w14:textId="76898994" w:rsidR="00852362" w:rsidRPr="00852362" w:rsidRDefault="00852362" w:rsidP="003A40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6F551F8" w14:textId="77777777" w:rsidR="00852362" w:rsidRDefault="00852362" w:rsidP="00A321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D6E4C3" w14:textId="767165AE" w:rsidR="00A321F2" w:rsidRPr="00A321F2" w:rsidRDefault="00A321F2" w:rsidP="00A321F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21F2">
        <w:rPr>
          <w:rFonts w:ascii="Times New Roman" w:hAnsi="Times New Roman" w:cs="Times New Roman"/>
          <w:b/>
          <w:bCs/>
          <w:sz w:val="24"/>
          <w:szCs w:val="24"/>
        </w:rPr>
        <w:t>Referencias</w:t>
      </w:r>
    </w:p>
    <w:p w14:paraId="507E5084" w14:textId="77777777" w:rsidR="00BD1799" w:rsidRPr="00BD1799" w:rsidRDefault="00BD1799" w:rsidP="00BD179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E3CABF" w14:textId="77777777" w:rsidR="00BD1799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321F2">
        <w:rPr>
          <w:rFonts w:ascii="Times New Roman" w:hAnsi="Times New Roman" w:cs="Times New Roman"/>
          <w:sz w:val="24"/>
          <w:szCs w:val="24"/>
        </w:rPr>
        <w:t xml:space="preserve">Anthony, R. N., &amp; </w:t>
      </w:r>
      <w:proofErr w:type="spellStart"/>
      <w:r w:rsidRPr="00A321F2">
        <w:rPr>
          <w:rFonts w:ascii="Times New Roman" w:hAnsi="Times New Roman" w:cs="Times New Roman"/>
          <w:sz w:val="24"/>
          <w:szCs w:val="24"/>
        </w:rPr>
        <w:t>Govindarajan</w:t>
      </w:r>
      <w:proofErr w:type="spellEnd"/>
      <w:r w:rsidRPr="00A321F2">
        <w:rPr>
          <w:rFonts w:ascii="Times New Roman" w:hAnsi="Times New Roman" w:cs="Times New Roman"/>
          <w:sz w:val="24"/>
          <w:szCs w:val="24"/>
        </w:rPr>
        <w:t xml:space="preserve">, V. (2003). </w:t>
      </w:r>
      <w:r w:rsidRPr="00A321F2">
        <w:rPr>
          <w:rFonts w:ascii="Times New Roman" w:hAnsi="Times New Roman" w:cs="Times New Roman"/>
          <w:i/>
          <w:iCs/>
          <w:sz w:val="24"/>
          <w:szCs w:val="24"/>
          <w:lang w:val="fr-FR"/>
        </w:rPr>
        <w:t>Management Control Systems</w:t>
      </w:r>
      <w:r w:rsidRPr="00A321F2">
        <w:rPr>
          <w:rFonts w:ascii="Times New Roman" w:hAnsi="Times New Roman" w:cs="Times New Roman"/>
          <w:sz w:val="24"/>
          <w:szCs w:val="24"/>
          <w:lang w:val="fr-FR"/>
        </w:rPr>
        <w:t xml:space="preserve"> (11ª ed.). McGraw-Hill. </w:t>
      </w:r>
      <w:hyperlink r:id="rId8" w:tgtFrame="_new" w:history="1">
        <w:r w:rsidRPr="00A321F2">
          <w:rPr>
            <w:rStyle w:val="Hyperlink"/>
            <w:rFonts w:ascii="Times New Roman" w:hAnsi="Times New Roman" w:cs="Times New Roman"/>
            <w:sz w:val="24"/>
            <w:szCs w:val="24"/>
            <w:lang w:val="fr-FR"/>
          </w:rPr>
          <w:t>https://pure.eur.nl/en/publications/management-control-systems-2</w:t>
        </w:r>
      </w:hyperlink>
    </w:p>
    <w:p w14:paraId="0D492F72" w14:textId="77777777" w:rsidR="00BD1799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75E5BF59" w14:textId="31BBD0E2" w:rsidR="00BD1799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A321F2">
        <w:rPr>
          <w:rFonts w:ascii="Times New Roman" w:hAnsi="Times New Roman" w:cs="Times New Roman"/>
          <w:sz w:val="24"/>
          <w:szCs w:val="24"/>
          <w:lang w:val="fr-FR"/>
        </w:rPr>
        <w:t xml:space="preserve">Bélanger, F., &amp; Crossler, R. E. (2011). Privacy in the digital age: A review of information privacy research in information systems. </w:t>
      </w:r>
      <w:r w:rsidRPr="00A321F2">
        <w:rPr>
          <w:rFonts w:ascii="Times New Roman" w:hAnsi="Times New Roman" w:cs="Times New Roman"/>
          <w:i/>
          <w:iCs/>
          <w:sz w:val="24"/>
          <w:szCs w:val="24"/>
        </w:rPr>
        <w:t xml:space="preserve">MIS </w:t>
      </w:r>
      <w:proofErr w:type="spellStart"/>
      <w:r w:rsidRPr="00A321F2">
        <w:rPr>
          <w:rFonts w:ascii="Times New Roman" w:hAnsi="Times New Roman" w:cs="Times New Roman"/>
          <w:i/>
          <w:iCs/>
          <w:sz w:val="24"/>
          <w:szCs w:val="24"/>
        </w:rPr>
        <w:t>Quarterly</w:t>
      </w:r>
      <w:proofErr w:type="spellEnd"/>
      <w:r w:rsidRPr="00A321F2">
        <w:rPr>
          <w:rFonts w:ascii="Times New Roman" w:hAnsi="Times New Roman" w:cs="Times New Roman"/>
          <w:i/>
          <w:iCs/>
          <w:sz w:val="24"/>
          <w:szCs w:val="24"/>
        </w:rPr>
        <w:t>, 35</w:t>
      </w:r>
      <w:r w:rsidRPr="00A321F2">
        <w:rPr>
          <w:rFonts w:ascii="Times New Roman" w:hAnsi="Times New Roman" w:cs="Times New Roman"/>
          <w:sz w:val="24"/>
          <w:szCs w:val="24"/>
        </w:rPr>
        <w:t xml:space="preserve">(4), 1017–1041. </w:t>
      </w:r>
      <w:hyperlink r:id="rId9" w:tgtFrame="_new" w:history="1">
        <w:r w:rsidRPr="00A321F2">
          <w:rPr>
            <w:rStyle w:val="Hyperlink"/>
            <w:rFonts w:ascii="Times New Roman" w:hAnsi="Times New Roman" w:cs="Times New Roman"/>
            <w:sz w:val="24"/>
            <w:szCs w:val="24"/>
          </w:rPr>
          <w:t>https://doi.org/10.2307/41409971</w:t>
        </w:r>
      </w:hyperlink>
    </w:p>
    <w:p w14:paraId="6611EFFF" w14:textId="77777777" w:rsidR="00BD1799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09EAC1DB" w14:textId="4BADD003" w:rsidR="00BD1799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321F2">
        <w:rPr>
          <w:rFonts w:ascii="Times New Roman" w:hAnsi="Times New Roman" w:cs="Times New Roman"/>
          <w:sz w:val="24"/>
          <w:szCs w:val="24"/>
        </w:rPr>
        <w:t xml:space="preserve">Bermúdez-González, G., Lucia-Casademunt, A. M., &amp; Padilla-Angulo, L. (2024). </w:t>
      </w:r>
      <w:r w:rsidRPr="00A321F2">
        <w:rPr>
          <w:rFonts w:ascii="Times New Roman" w:hAnsi="Times New Roman" w:cs="Times New Roman"/>
          <w:sz w:val="24"/>
          <w:szCs w:val="24"/>
          <w:lang w:val="fr-FR"/>
        </w:rPr>
        <w:t xml:space="preserve">What can talent management do about involuntary remote working in the post-COVID-19 era? Spanish IT employees’ organizational commitment. </w:t>
      </w:r>
      <w:r w:rsidRPr="00A321F2">
        <w:rPr>
          <w:rFonts w:ascii="Times New Roman" w:hAnsi="Times New Roman" w:cs="Times New Roman"/>
          <w:i/>
          <w:iCs/>
          <w:sz w:val="24"/>
          <w:szCs w:val="24"/>
          <w:lang w:val="fr-FR"/>
        </w:rPr>
        <w:t>Humanities and Social Sciences Communications, 11</w:t>
      </w:r>
      <w:r w:rsidRPr="00A321F2">
        <w:rPr>
          <w:rFonts w:ascii="Times New Roman" w:hAnsi="Times New Roman" w:cs="Times New Roman"/>
          <w:sz w:val="24"/>
          <w:szCs w:val="24"/>
          <w:lang w:val="fr-FR"/>
        </w:rPr>
        <w:t xml:space="preserve">(1), 1–15. </w:t>
      </w:r>
      <w:hyperlink r:id="rId10" w:tgtFrame="_new" w:history="1">
        <w:r w:rsidRPr="00A321F2">
          <w:rPr>
            <w:rStyle w:val="Hyperlink"/>
            <w:rFonts w:ascii="Times New Roman" w:hAnsi="Times New Roman" w:cs="Times New Roman"/>
            <w:sz w:val="24"/>
            <w:szCs w:val="24"/>
            <w:lang w:val="fr-FR"/>
          </w:rPr>
          <w:t>https://doi.org/10.1057/s41599-024-03514-3</w:t>
        </w:r>
      </w:hyperlink>
    </w:p>
    <w:p w14:paraId="46878EFB" w14:textId="77777777" w:rsidR="00BD1799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E1BA03D" w14:textId="5930F72E" w:rsidR="00BD1799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321F2">
        <w:rPr>
          <w:rFonts w:ascii="Times New Roman" w:hAnsi="Times New Roman" w:cs="Times New Roman"/>
          <w:sz w:val="24"/>
          <w:szCs w:val="24"/>
          <w:lang w:val="fr-FR"/>
        </w:rPr>
        <w:t xml:space="preserve">Bloom, N., Liang, J., Roberts, J., &amp; Ying, Z. J. (2015). </w:t>
      </w:r>
      <w:r w:rsidRPr="00A321F2">
        <w:rPr>
          <w:rFonts w:ascii="Times New Roman" w:hAnsi="Times New Roman" w:cs="Times New Roman"/>
          <w:sz w:val="24"/>
          <w:szCs w:val="24"/>
        </w:rPr>
        <w:t xml:space="preserve">Does working from home work? </w:t>
      </w:r>
      <w:r w:rsidRPr="00A321F2">
        <w:rPr>
          <w:rFonts w:ascii="Times New Roman" w:hAnsi="Times New Roman" w:cs="Times New Roman"/>
          <w:sz w:val="24"/>
          <w:szCs w:val="24"/>
          <w:lang w:val="fr-FR"/>
        </w:rPr>
        <w:t xml:space="preserve">Evidence from a Chinese experiment. </w:t>
      </w:r>
      <w:r w:rsidRPr="00A321F2">
        <w:rPr>
          <w:rFonts w:ascii="Times New Roman" w:hAnsi="Times New Roman" w:cs="Times New Roman"/>
          <w:i/>
          <w:iCs/>
          <w:sz w:val="24"/>
          <w:szCs w:val="24"/>
          <w:lang w:val="fr-FR"/>
        </w:rPr>
        <w:t>The Quarterly Journal of Economics, 130</w:t>
      </w:r>
      <w:r w:rsidRPr="00A321F2">
        <w:rPr>
          <w:rFonts w:ascii="Times New Roman" w:hAnsi="Times New Roman" w:cs="Times New Roman"/>
          <w:sz w:val="24"/>
          <w:szCs w:val="24"/>
          <w:lang w:val="fr-FR"/>
        </w:rPr>
        <w:t xml:space="preserve">(1), 165–218. </w:t>
      </w:r>
    </w:p>
    <w:p w14:paraId="5ECD624F" w14:textId="77777777" w:rsidR="00BD1799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54DF080B" w14:textId="78A8726B" w:rsidR="00BD1799" w:rsidRPr="00BD1799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D1799">
        <w:rPr>
          <w:rFonts w:ascii="Times New Roman" w:hAnsi="Times New Roman" w:cs="Times New Roman"/>
          <w:sz w:val="24"/>
          <w:szCs w:val="24"/>
          <w:lang w:val="fr-FR"/>
        </w:rPr>
        <w:t xml:space="preserve">Business Insider. (2025, 7 de agosto). </w:t>
      </w:r>
      <w:r w:rsidRPr="00BD1799">
        <w:rPr>
          <w:rFonts w:ascii="Times New Roman" w:hAnsi="Times New Roman" w:cs="Times New Roman"/>
          <w:i/>
          <w:iCs/>
          <w:sz w:val="24"/>
          <w:szCs w:val="24"/>
          <w:lang w:val="fr-FR"/>
        </w:rPr>
        <w:t>Companies are embracing a new hardcore culture. Here's what you should do.</w:t>
      </w:r>
      <w:r w:rsidRPr="00BD179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hyperlink r:id="rId11" w:history="1">
        <w:r w:rsidRPr="00EF17A4">
          <w:rPr>
            <w:rStyle w:val="Hyperlink"/>
            <w:rFonts w:ascii="Times New Roman" w:hAnsi="Times New Roman" w:cs="Times New Roman"/>
            <w:sz w:val="24"/>
            <w:szCs w:val="24"/>
            <w:lang w:val="fr-FR"/>
          </w:rPr>
          <w:t>https://www.businessinsider.com/companies-hardcore-era-employee-changes-att-memo-2025-8</w:t>
        </w:r>
      </w:hyperlink>
      <w:hyperlink r:id="rId12" w:tgtFrame="_new" w:history="1"/>
    </w:p>
    <w:p w14:paraId="4EA6E158" w14:textId="77777777" w:rsidR="00BD1799" w:rsidRPr="00883508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B447D91" w14:textId="08415D59" w:rsidR="00BD1799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A321F2">
        <w:rPr>
          <w:rFonts w:ascii="Times New Roman" w:hAnsi="Times New Roman" w:cs="Times New Roman"/>
          <w:sz w:val="24"/>
          <w:szCs w:val="24"/>
        </w:rPr>
        <w:t xml:space="preserve">Cardoso, A. N., Fernandes, B. H. R., Sousa, P. R., &amp; Cruz, M. A. (2025). Relações entre produtividade, satisfação no trabalho, equilíbrio entre vida pessoal-profissional e estresse no home office. </w:t>
      </w:r>
      <w:r w:rsidRPr="00A321F2">
        <w:rPr>
          <w:rFonts w:ascii="Times New Roman" w:hAnsi="Times New Roman" w:cs="Times New Roman"/>
          <w:i/>
          <w:iCs/>
          <w:sz w:val="24"/>
          <w:szCs w:val="24"/>
        </w:rPr>
        <w:t>Recape: Revista de Carreiras e Pessoas, 15</w:t>
      </w:r>
      <w:r w:rsidRPr="00A321F2">
        <w:rPr>
          <w:rFonts w:ascii="Times New Roman" w:hAnsi="Times New Roman" w:cs="Times New Roman"/>
          <w:sz w:val="24"/>
          <w:szCs w:val="24"/>
        </w:rPr>
        <w:t xml:space="preserve">(1), 27–53. </w:t>
      </w:r>
      <w:hyperlink r:id="rId13" w:tgtFrame="_new" w:history="1"/>
    </w:p>
    <w:p w14:paraId="25402331" w14:textId="77777777" w:rsidR="00BD1799" w:rsidRPr="00883508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5D91E8E8" w14:textId="731FC7C7" w:rsidR="00BD1799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83508">
        <w:rPr>
          <w:rFonts w:ascii="Times New Roman" w:hAnsi="Times New Roman" w:cs="Times New Roman"/>
          <w:sz w:val="24"/>
          <w:szCs w:val="24"/>
        </w:rPr>
        <w:t xml:space="preserve">DeNisi, A. S., &amp; Pritchard, R. D. (2006). </w:t>
      </w:r>
      <w:r w:rsidRPr="00A321F2">
        <w:rPr>
          <w:rFonts w:ascii="Times New Roman" w:hAnsi="Times New Roman" w:cs="Times New Roman"/>
          <w:sz w:val="24"/>
          <w:szCs w:val="24"/>
          <w:lang w:val="fr-FR"/>
        </w:rPr>
        <w:t xml:space="preserve">Performance appraisal, performance management, and improving individual performance: A motivational framework. </w:t>
      </w:r>
      <w:r w:rsidRPr="00A321F2">
        <w:rPr>
          <w:rFonts w:ascii="Times New Roman" w:hAnsi="Times New Roman" w:cs="Times New Roman"/>
          <w:i/>
          <w:iCs/>
          <w:sz w:val="24"/>
          <w:szCs w:val="24"/>
          <w:lang w:val="fr-FR"/>
        </w:rPr>
        <w:t>Management and Organization Review, 2</w:t>
      </w:r>
      <w:r w:rsidRPr="00A321F2">
        <w:rPr>
          <w:rFonts w:ascii="Times New Roman" w:hAnsi="Times New Roman" w:cs="Times New Roman"/>
          <w:sz w:val="24"/>
          <w:szCs w:val="24"/>
          <w:lang w:val="fr-FR"/>
        </w:rPr>
        <w:t xml:space="preserve">(2), 253–277. </w:t>
      </w:r>
      <w:hyperlink r:id="rId14" w:tgtFrame="_new" w:history="1">
        <w:r w:rsidRPr="00A321F2">
          <w:rPr>
            <w:rStyle w:val="Hyperlink"/>
            <w:rFonts w:ascii="Times New Roman" w:hAnsi="Times New Roman" w:cs="Times New Roman"/>
            <w:sz w:val="24"/>
            <w:szCs w:val="24"/>
            <w:lang w:val="fr-FR"/>
          </w:rPr>
          <w:t>https://doi.org/10.1111/j.1740-8784.2006.00042.x</w:t>
        </w:r>
      </w:hyperlink>
    </w:p>
    <w:p w14:paraId="249DC827" w14:textId="77777777" w:rsidR="00BD1799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41A10631" w14:textId="2892D90E" w:rsidR="00BD1799" w:rsidRPr="00883508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321F2">
        <w:rPr>
          <w:rFonts w:ascii="Times New Roman" w:hAnsi="Times New Roman" w:cs="Times New Roman"/>
          <w:sz w:val="24"/>
          <w:szCs w:val="24"/>
          <w:lang w:val="fr-FR"/>
        </w:rPr>
        <w:t xml:space="preserve">Deschênes, A.-A. (2024). Post-pandandemic public personnel retention: A person-organization and person-supervisor fit analysis. </w:t>
      </w:r>
      <w:r w:rsidRPr="00A321F2">
        <w:rPr>
          <w:rFonts w:ascii="Times New Roman" w:hAnsi="Times New Roman" w:cs="Times New Roman"/>
          <w:i/>
          <w:iCs/>
          <w:sz w:val="24"/>
          <w:szCs w:val="24"/>
          <w:lang w:val="fr-FR"/>
        </w:rPr>
        <w:t>Canadian Public Administration, 67</w:t>
      </w:r>
      <w:r w:rsidRPr="00A321F2">
        <w:rPr>
          <w:rFonts w:ascii="Times New Roman" w:hAnsi="Times New Roman" w:cs="Times New Roman"/>
          <w:sz w:val="24"/>
          <w:szCs w:val="24"/>
          <w:lang w:val="fr-FR"/>
        </w:rPr>
        <w:t xml:space="preserve">, 185–202. </w:t>
      </w:r>
      <w:hyperlink r:id="rId15" w:tgtFrame="_new" w:history="1"/>
    </w:p>
    <w:p w14:paraId="27F6BCA1" w14:textId="77777777" w:rsidR="00BD1799" w:rsidRDefault="00BD1799" w:rsidP="00BD179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59774D95" w14:textId="5802A608" w:rsidR="00BD1799" w:rsidRPr="00883508" w:rsidRDefault="00BD1799" w:rsidP="00BD179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BD1799">
        <w:rPr>
          <w:rFonts w:ascii="Times New Roman" w:hAnsi="Times New Roman" w:cs="Times New Roman"/>
          <w:sz w:val="24"/>
          <w:szCs w:val="24"/>
          <w:lang w:val="fr-FR"/>
        </w:rPr>
        <w:t xml:space="preserve">Forbes. (2025, 14 de fevereiro). </w:t>
      </w:r>
      <w:r w:rsidRPr="00BD1799">
        <w:rPr>
          <w:rFonts w:ascii="Times New Roman" w:hAnsi="Times New Roman" w:cs="Times New Roman"/>
          <w:i/>
          <w:iCs/>
          <w:sz w:val="24"/>
          <w:szCs w:val="24"/>
          <w:lang w:val="fr-FR"/>
        </w:rPr>
        <w:t>McKinsey on return to office: Leaders are focused on the wrong thing.</w:t>
      </w:r>
      <w:r w:rsidRPr="00BD179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hyperlink r:id="rId16" w:tgtFrame="_new" w:history="1">
        <w:r w:rsidRPr="00BD1799">
          <w:rPr>
            <w:rStyle w:val="Hyperlink"/>
            <w:rFonts w:ascii="Times New Roman" w:hAnsi="Times New Roman" w:cs="Times New Roman"/>
            <w:sz w:val="24"/>
            <w:szCs w:val="24"/>
          </w:rPr>
          <w:t>https://www.forbes.com/sites/philkirschner/2025/02/14/mckinsey-on-return-to-office-leaders-are-focused-on-the-wrong-thing</w:t>
        </w:r>
      </w:hyperlink>
    </w:p>
    <w:p w14:paraId="4097684B" w14:textId="77777777" w:rsidR="00BD1799" w:rsidRPr="00883508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50E8276B" w14:textId="3FAF3BD6" w:rsidR="00BD1799" w:rsidRPr="00883508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321F2">
        <w:rPr>
          <w:rFonts w:ascii="Times New Roman" w:hAnsi="Times New Roman" w:cs="Times New Roman"/>
          <w:sz w:val="24"/>
          <w:szCs w:val="24"/>
          <w:lang w:val="fr-FR"/>
        </w:rPr>
        <w:t xml:space="preserve">Hartner-Tiefenthaler, M., Loerinc, I., Hodzic, S., &amp; Kubicek, B. (2022). Development and validation of a scale to measure team communication behaviors. </w:t>
      </w:r>
      <w:r w:rsidRPr="00A321F2">
        <w:rPr>
          <w:rFonts w:ascii="Times New Roman" w:hAnsi="Times New Roman" w:cs="Times New Roman"/>
          <w:i/>
          <w:iCs/>
          <w:sz w:val="24"/>
          <w:szCs w:val="24"/>
          <w:lang w:val="fr-FR"/>
        </w:rPr>
        <w:t>Frontiers in Psychology, 13</w:t>
      </w:r>
      <w:r w:rsidRPr="00A321F2">
        <w:rPr>
          <w:rFonts w:ascii="Times New Roman" w:hAnsi="Times New Roman" w:cs="Times New Roman"/>
          <w:sz w:val="24"/>
          <w:szCs w:val="24"/>
          <w:lang w:val="fr-FR"/>
        </w:rPr>
        <w:t xml:space="preserve">, Article 961732. </w:t>
      </w:r>
      <w:hyperlink r:id="rId17" w:tgtFrame="_new" w:history="1"/>
    </w:p>
    <w:p w14:paraId="1D0B5EDB" w14:textId="77777777" w:rsidR="00BD1799" w:rsidRPr="00883508" w:rsidRDefault="00BD1799" w:rsidP="00BD179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753D08FD" w14:textId="7CE0D2C4" w:rsidR="00BD1799" w:rsidRPr="00883508" w:rsidRDefault="00BD1799" w:rsidP="00BD179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883508">
        <w:rPr>
          <w:rFonts w:ascii="Times New Roman" w:hAnsi="Times New Roman" w:cs="Times New Roman"/>
          <w:sz w:val="24"/>
          <w:szCs w:val="24"/>
          <w:lang w:val="fr-FR"/>
        </w:rPr>
        <w:t xml:space="preserve">Investopedia. (2025, 6 de agosto). </w:t>
      </w:r>
      <w:r w:rsidRPr="00883508">
        <w:rPr>
          <w:rFonts w:ascii="Times New Roman" w:hAnsi="Times New Roman" w:cs="Times New Roman"/>
          <w:i/>
          <w:iCs/>
          <w:sz w:val="24"/>
          <w:szCs w:val="24"/>
          <w:lang w:val="fr-FR"/>
        </w:rPr>
        <w:t>Ford calls most employees back to office 4 days a week starting in September</w:t>
      </w:r>
      <w:r w:rsidRPr="00883508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hyperlink r:id="rId18" w:tgtFrame="_new" w:history="1">
        <w:r w:rsidRPr="00BD1799">
          <w:rPr>
            <w:rStyle w:val="Hyperlink"/>
            <w:rFonts w:ascii="Times New Roman" w:hAnsi="Times New Roman" w:cs="Times New Roman"/>
            <w:sz w:val="24"/>
            <w:szCs w:val="24"/>
          </w:rPr>
          <w:t>https://www.investopedia.com/ford-calls-most-employees-back-to-office-4-days-a-week-starting-in-september-11761135</w:t>
        </w:r>
      </w:hyperlink>
    </w:p>
    <w:p w14:paraId="137129DF" w14:textId="77777777" w:rsidR="00BD1799" w:rsidRPr="00883508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418EB8F0" w14:textId="5842BD9E" w:rsidR="00BD1799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321F2">
        <w:rPr>
          <w:rFonts w:ascii="Times New Roman" w:hAnsi="Times New Roman" w:cs="Times New Roman"/>
          <w:sz w:val="24"/>
          <w:szCs w:val="24"/>
          <w:lang w:val="fr-FR"/>
        </w:rPr>
        <w:t xml:space="preserve">Kaplan, R. S., &amp; Norton, D. P. (1996). </w:t>
      </w:r>
      <w:r w:rsidRPr="00A321F2">
        <w:rPr>
          <w:rFonts w:ascii="Times New Roman" w:hAnsi="Times New Roman" w:cs="Times New Roman"/>
          <w:i/>
          <w:iCs/>
          <w:sz w:val="24"/>
          <w:szCs w:val="24"/>
          <w:lang w:val="fr-FR"/>
        </w:rPr>
        <w:t>The Balanced Scorecard: Translating strategy into action</w:t>
      </w:r>
      <w:r w:rsidRPr="00A321F2">
        <w:rPr>
          <w:rFonts w:ascii="Times New Roman" w:hAnsi="Times New Roman" w:cs="Times New Roman"/>
          <w:sz w:val="24"/>
          <w:szCs w:val="24"/>
          <w:lang w:val="fr-FR"/>
        </w:rPr>
        <w:t>. Harvard Business School Press.</w:t>
      </w:r>
    </w:p>
    <w:p w14:paraId="3B724D10" w14:textId="77777777" w:rsidR="00BD1799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1B599FBD" w14:textId="776010D2" w:rsidR="00BD1799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321F2">
        <w:rPr>
          <w:rFonts w:ascii="Times New Roman" w:hAnsi="Times New Roman" w:cs="Times New Roman"/>
          <w:sz w:val="24"/>
          <w:szCs w:val="24"/>
          <w:lang w:val="fr-FR"/>
        </w:rPr>
        <w:t xml:space="preserve">Kaplan, R. S., &amp; Norton, D. P. (2001). </w:t>
      </w:r>
      <w:r w:rsidRPr="00A321F2">
        <w:rPr>
          <w:rFonts w:ascii="Times New Roman" w:hAnsi="Times New Roman" w:cs="Times New Roman"/>
          <w:i/>
          <w:iCs/>
          <w:sz w:val="24"/>
          <w:szCs w:val="24"/>
          <w:lang w:val="fr-FR"/>
        </w:rPr>
        <w:t>The strategy-focused organization: How balanced scorecard companies thrive in the new business environment</w:t>
      </w:r>
      <w:r w:rsidRPr="00A321F2">
        <w:rPr>
          <w:rFonts w:ascii="Times New Roman" w:hAnsi="Times New Roman" w:cs="Times New Roman"/>
          <w:sz w:val="24"/>
          <w:szCs w:val="24"/>
          <w:lang w:val="fr-FR"/>
        </w:rPr>
        <w:t>. Harvard Business School Press.</w:t>
      </w:r>
    </w:p>
    <w:p w14:paraId="34DDB923" w14:textId="77777777" w:rsidR="00BD1799" w:rsidRPr="00883508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5851D340" w14:textId="2B03338F" w:rsidR="00BD1799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883508">
        <w:rPr>
          <w:rFonts w:ascii="Times New Roman" w:hAnsi="Times New Roman" w:cs="Times New Roman"/>
          <w:sz w:val="24"/>
          <w:szCs w:val="24"/>
          <w:lang w:val="fr-FR"/>
        </w:rPr>
        <w:t xml:space="preserve">Maslach, C., &amp; Leiter, M. P. (2016). </w:t>
      </w:r>
      <w:r w:rsidRPr="00A321F2">
        <w:rPr>
          <w:rFonts w:ascii="Times New Roman" w:hAnsi="Times New Roman" w:cs="Times New Roman"/>
          <w:sz w:val="24"/>
          <w:szCs w:val="24"/>
          <w:lang w:val="fr-FR"/>
        </w:rPr>
        <w:t xml:space="preserve">Understanding the burnout experience: Recent research and its implications for psychiatry. </w:t>
      </w:r>
      <w:r w:rsidRPr="00A321F2">
        <w:rPr>
          <w:rFonts w:ascii="Times New Roman" w:hAnsi="Times New Roman" w:cs="Times New Roman"/>
          <w:i/>
          <w:iCs/>
          <w:sz w:val="24"/>
          <w:szCs w:val="24"/>
          <w:lang w:val="fr-FR"/>
        </w:rPr>
        <w:t>World Psychiatry, 15</w:t>
      </w:r>
      <w:r w:rsidRPr="00A321F2">
        <w:rPr>
          <w:rFonts w:ascii="Times New Roman" w:hAnsi="Times New Roman" w:cs="Times New Roman"/>
          <w:sz w:val="24"/>
          <w:szCs w:val="24"/>
          <w:lang w:val="fr-FR"/>
        </w:rPr>
        <w:t xml:space="preserve">(2), 103–111. </w:t>
      </w:r>
      <w:hyperlink r:id="rId19" w:tgtFrame="_new" w:history="1"/>
    </w:p>
    <w:p w14:paraId="2D82E318" w14:textId="77777777" w:rsidR="00BD1799" w:rsidRDefault="00BD1799" w:rsidP="00BD179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562223ED" w14:textId="5B6CED84" w:rsidR="00BD1799" w:rsidRPr="00BD1799" w:rsidRDefault="00BD1799" w:rsidP="00BD179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BD1799">
        <w:rPr>
          <w:rFonts w:ascii="Times New Roman" w:hAnsi="Times New Roman" w:cs="Times New Roman"/>
          <w:sz w:val="24"/>
          <w:szCs w:val="24"/>
        </w:rPr>
        <w:t xml:space="preserve">Microsoft. (2023, 7 de fevereiro). </w:t>
      </w:r>
      <w:proofErr w:type="spellStart"/>
      <w:r w:rsidRPr="00BD1799">
        <w:rPr>
          <w:rFonts w:ascii="Times New Roman" w:hAnsi="Times New Roman" w:cs="Times New Roman"/>
          <w:i/>
          <w:iCs/>
          <w:sz w:val="24"/>
          <w:szCs w:val="24"/>
        </w:rPr>
        <w:t>Reinventing</w:t>
      </w:r>
      <w:proofErr w:type="spellEnd"/>
      <w:r w:rsidRPr="00BD179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1799">
        <w:rPr>
          <w:rFonts w:ascii="Times New Roman" w:hAnsi="Times New Roman" w:cs="Times New Roman"/>
          <w:i/>
          <w:iCs/>
          <w:sz w:val="24"/>
          <w:szCs w:val="24"/>
        </w:rPr>
        <w:t>Microsoft’s</w:t>
      </w:r>
      <w:proofErr w:type="spellEnd"/>
      <w:r w:rsidRPr="00BD179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1799">
        <w:rPr>
          <w:rFonts w:ascii="Times New Roman" w:hAnsi="Times New Roman" w:cs="Times New Roman"/>
          <w:i/>
          <w:iCs/>
          <w:sz w:val="24"/>
          <w:szCs w:val="24"/>
        </w:rPr>
        <w:t>employee</w:t>
      </w:r>
      <w:proofErr w:type="spellEnd"/>
      <w:r w:rsidRPr="00BD179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1799">
        <w:rPr>
          <w:rFonts w:ascii="Times New Roman" w:hAnsi="Times New Roman" w:cs="Times New Roman"/>
          <w:i/>
          <w:iCs/>
          <w:sz w:val="24"/>
          <w:szCs w:val="24"/>
        </w:rPr>
        <w:t>experience</w:t>
      </w:r>
      <w:proofErr w:type="spellEnd"/>
      <w:r w:rsidRPr="00BD1799">
        <w:rPr>
          <w:rFonts w:ascii="Times New Roman" w:hAnsi="Times New Roman" w:cs="Times New Roman"/>
          <w:i/>
          <w:iCs/>
          <w:sz w:val="24"/>
          <w:szCs w:val="24"/>
        </w:rPr>
        <w:t xml:space="preserve"> for a hybrid world</w:t>
      </w:r>
      <w:r w:rsidRPr="00BD1799">
        <w:rPr>
          <w:rFonts w:ascii="Times New Roman" w:hAnsi="Times New Roman" w:cs="Times New Roman"/>
          <w:sz w:val="24"/>
          <w:szCs w:val="24"/>
        </w:rPr>
        <w:t xml:space="preserve">. </w:t>
      </w:r>
      <w:hyperlink r:id="rId20" w:history="1">
        <w:r w:rsidRPr="00BD1799">
          <w:rPr>
            <w:rStyle w:val="Hyperlink"/>
            <w:rFonts w:ascii="Times New Roman" w:hAnsi="Times New Roman" w:cs="Times New Roman"/>
            <w:sz w:val="24"/>
            <w:szCs w:val="24"/>
          </w:rPr>
          <w:t>https://www.microsoft.com/insidetrack/blog/reinventing-microsofts-employee-experience-for-a-hybrid-world</w:t>
        </w:r>
      </w:hyperlink>
    </w:p>
    <w:p w14:paraId="1AADCCC5" w14:textId="77777777" w:rsidR="00BD1799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76C92797" w14:textId="114EE4D7" w:rsidR="00BD1799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321F2">
        <w:rPr>
          <w:rFonts w:ascii="Times New Roman" w:hAnsi="Times New Roman" w:cs="Times New Roman"/>
          <w:sz w:val="24"/>
          <w:szCs w:val="24"/>
        </w:rPr>
        <w:t xml:space="preserve">Neely, A., Gregory, M., &amp; Platts, K. (2002). </w:t>
      </w:r>
      <w:r w:rsidRPr="00A321F2">
        <w:rPr>
          <w:rFonts w:ascii="Times New Roman" w:hAnsi="Times New Roman" w:cs="Times New Roman"/>
          <w:sz w:val="24"/>
          <w:szCs w:val="24"/>
          <w:lang w:val="fr-FR"/>
        </w:rPr>
        <w:t xml:space="preserve">Performance measurement system design: Developing and testing a process-based approach. </w:t>
      </w:r>
      <w:r w:rsidRPr="00A321F2">
        <w:rPr>
          <w:rFonts w:ascii="Times New Roman" w:hAnsi="Times New Roman" w:cs="Times New Roman"/>
          <w:i/>
          <w:iCs/>
          <w:sz w:val="24"/>
          <w:szCs w:val="24"/>
          <w:lang w:val="fr-FR"/>
        </w:rPr>
        <w:t>International Journal of Operations &amp; Production Management, 20</w:t>
      </w:r>
      <w:r w:rsidRPr="00A321F2">
        <w:rPr>
          <w:rFonts w:ascii="Times New Roman" w:hAnsi="Times New Roman" w:cs="Times New Roman"/>
          <w:sz w:val="24"/>
          <w:szCs w:val="24"/>
          <w:lang w:val="fr-FR"/>
        </w:rPr>
        <w:t xml:space="preserve">(10), 1119–1145. </w:t>
      </w:r>
      <w:hyperlink r:id="rId21" w:tgtFrame="_new" w:history="1">
        <w:r w:rsidRPr="00A321F2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https://doi.org/10.1108/01443570010330739</w:t>
        </w:r>
      </w:hyperlink>
    </w:p>
    <w:p w14:paraId="3844C69F" w14:textId="77777777" w:rsidR="00BD1799" w:rsidRDefault="00BD1799" w:rsidP="00BD179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6902C427" w14:textId="2A2C0E65" w:rsidR="00883508" w:rsidRPr="00883508" w:rsidRDefault="00BD1799" w:rsidP="00883508">
      <w:pPr>
        <w:spacing w:after="0" w:line="240" w:lineRule="auto"/>
        <w:ind w:left="567" w:hanging="567"/>
        <w:jc w:val="both"/>
      </w:pPr>
      <w:r w:rsidRPr="00BD1799">
        <w:rPr>
          <w:rFonts w:ascii="Times New Roman" w:hAnsi="Times New Roman" w:cs="Times New Roman"/>
          <w:sz w:val="24"/>
          <w:szCs w:val="24"/>
        </w:rPr>
        <w:t xml:space="preserve">News.com.au. (2025, 7 de agosto). </w:t>
      </w:r>
      <w:r w:rsidRPr="00BD1799">
        <w:rPr>
          <w:rFonts w:ascii="Times New Roman" w:hAnsi="Times New Roman" w:cs="Times New Roman"/>
          <w:i/>
          <w:iCs/>
          <w:sz w:val="24"/>
          <w:szCs w:val="24"/>
          <w:lang w:val="fr-FR"/>
        </w:rPr>
        <w:t>Starbucks increases office attendance to four days a week, rolling back WFH even further</w:t>
      </w:r>
      <w:r w:rsidRPr="00BD1799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hyperlink r:id="rId22" w:tgtFrame="_new" w:history="1">
        <w:r w:rsidRPr="00BD1799">
          <w:rPr>
            <w:rStyle w:val="Hyperlink"/>
            <w:rFonts w:ascii="Times New Roman" w:hAnsi="Times New Roman" w:cs="Times New Roman"/>
            <w:sz w:val="24"/>
            <w:szCs w:val="24"/>
          </w:rPr>
          <w:t>https://www.news.com.au/finance/work/trends/starbucks-increases-office-attendance-to-four-days-a-week-rol</w:t>
        </w:r>
        <w:r w:rsidRPr="00BD1799">
          <w:rPr>
            <w:rStyle w:val="Hyperlink"/>
            <w:rFonts w:ascii="Times New Roman" w:hAnsi="Times New Roman" w:cs="Times New Roman"/>
            <w:sz w:val="24"/>
            <w:szCs w:val="24"/>
          </w:rPr>
          <w:t>l</w:t>
        </w:r>
        <w:r w:rsidRPr="00BD1799">
          <w:rPr>
            <w:rStyle w:val="Hyperlink"/>
            <w:rFonts w:ascii="Times New Roman" w:hAnsi="Times New Roman" w:cs="Times New Roman"/>
            <w:sz w:val="24"/>
            <w:szCs w:val="24"/>
          </w:rPr>
          <w:t>ing-back-wfh-even-further/news-story/5c09f31affc369df799704227c30aace</w:t>
        </w:r>
      </w:hyperlink>
    </w:p>
    <w:p w14:paraId="13F6BB4A" w14:textId="77777777" w:rsidR="00BD1799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1FB82C2A" w14:textId="41848533" w:rsidR="00BD1799" w:rsidRPr="00883508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A321F2">
        <w:rPr>
          <w:rFonts w:ascii="Times New Roman" w:hAnsi="Times New Roman" w:cs="Times New Roman"/>
          <w:sz w:val="24"/>
          <w:szCs w:val="24"/>
        </w:rPr>
        <w:t xml:space="preserve">Oliveira, J. A., &amp; Souza, M. A. (2023). A influência do clima de segurança sobre o bem-estar no trabalho e a confiança do empregado na organização. </w:t>
      </w:r>
      <w:r w:rsidRPr="00A321F2">
        <w:rPr>
          <w:rFonts w:ascii="Times New Roman" w:hAnsi="Times New Roman" w:cs="Times New Roman"/>
          <w:i/>
          <w:iCs/>
          <w:sz w:val="24"/>
          <w:szCs w:val="24"/>
        </w:rPr>
        <w:t>Boletim da Academia Paulista de Psicologia, 43</w:t>
      </w:r>
      <w:r w:rsidRPr="00A321F2">
        <w:rPr>
          <w:rFonts w:ascii="Times New Roman" w:hAnsi="Times New Roman" w:cs="Times New Roman"/>
          <w:sz w:val="24"/>
          <w:szCs w:val="24"/>
        </w:rPr>
        <w:t xml:space="preserve">(104), 87–99. </w:t>
      </w:r>
      <w:hyperlink r:id="rId23" w:tgtFrame="_new" w:history="1">
        <w:r w:rsidRPr="00A321F2">
          <w:rPr>
            <w:rStyle w:val="Hyperlink"/>
            <w:rFonts w:ascii="Times New Roman" w:hAnsi="Times New Roman" w:cs="Times New Roman"/>
            <w:sz w:val="24"/>
            <w:szCs w:val="24"/>
          </w:rPr>
          <w:t>https://doi.org/10.5935/2176-3038.20230009</w:t>
        </w:r>
      </w:hyperlink>
    </w:p>
    <w:p w14:paraId="5520E8FB" w14:textId="77777777" w:rsidR="00BD1799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778306A5" w14:textId="7B7BBD7A" w:rsidR="00BD1799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321F2">
        <w:rPr>
          <w:rFonts w:ascii="Times New Roman" w:hAnsi="Times New Roman" w:cs="Times New Roman"/>
          <w:sz w:val="24"/>
          <w:szCs w:val="24"/>
        </w:rPr>
        <w:t xml:space="preserve">Olson, G., &amp; Olson, J. (2003). </w:t>
      </w:r>
      <w:r w:rsidRPr="00A321F2">
        <w:rPr>
          <w:rFonts w:ascii="Times New Roman" w:hAnsi="Times New Roman" w:cs="Times New Roman"/>
          <w:sz w:val="24"/>
          <w:szCs w:val="24"/>
          <w:lang w:val="fr-FR"/>
        </w:rPr>
        <w:t xml:space="preserve">Mitigating the effects of distance on collaborative intellectual work. </w:t>
      </w:r>
      <w:r w:rsidRPr="00A321F2">
        <w:rPr>
          <w:rFonts w:ascii="Times New Roman" w:hAnsi="Times New Roman" w:cs="Times New Roman"/>
          <w:i/>
          <w:iCs/>
          <w:sz w:val="24"/>
          <w:szCs w:val="24"/>
          <w:lang w:val="fr-FR"/>
        </w:rPr>
        <w:t>Economics of Innovation and New Technology, 12</w:t>
      </w:r>
      <w:r w:rsidRPr="00A321F2">
        <w:rPr>
          <w:rFonts w:ascii="Times New Roman" w:hAnsi="Times New Roman" w:cs="Times New Roman"/>
          <w:sz w:val="24"/>
          <w:szCs w:val="24"/>
          <w:lang w:val="fr-FR"/>
        </w:rPr>
        <w:t xml:space="preserve">(1), 27–42. </w:t>
      </w:r>
      <w:hyperlink r:id="rId24" w:tgtFrame="_new" w:history="1">
        <w:r w:rsidRPr="00A321F2">
          <w:rPr>
            <w:rStyle w:val="Hyperlink"/>
            <w:rFonts w:ascii="Times New Roman" w:hAnsi="Times New Roman" w:cs="Times New Roman"/>
            <w:sz w:val="24"/>
            <w:szCs w:val="24"/>
            <w:lang w:val="fr-FR"/>
          </w:rPr>
          <w:t>https://doi.org/10.1080/10438590303117</w:t>
        </w:r>
      </w:hyperlink>
    </w:p>
    <w:p w14:paraId="34A3D56C" w14:textId="77777777" w:rsidR="00BD1799" w:rsidRDefault="00BD1799" w:rsidP="00BD179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4C58E003" w14:textId="0896AFDB" w:rsidR="00883508" w:rsidRPr="00883508" w:rsidRDefault="00BD1799" w:rsidP="00883508">
      <w:pPr>
        <w:spacing w:after="0" w:line="240" w:lineRule="auto"/>
        <w:ind w:left="567" w:hanging="567"/>
        <w:jc w:val="both"/>
      </w:pPr>
      <w:r w:rsidRPr="00BD1799">
        <w:rPr>
          <w:rFonts w:ascii="Times New Roman" w:hAnsi="Times New Roman" w:cs="Times New Roman"/>
          <w:sz w:val="24"/>
          <w:szCs w:val="24"/>
          <w:lang w:val="fr-FR"/>
        </w:rPr>
        <w:t xml:space="preserve">Pickard, J. (2024, 11 de novembro). </w:t>
      </w:r>
      <w:r w:rsidRPr="00BD1799">
        <w:rPr>
          <w:rFonts w:ascii="Times New Roman" w:hAnsi="Times New Roman" w:cs="Times New Roman"/>
          <w:i/>
          <w:iCs/>
          <w:sz w:val="24"/>
          <w:szCs w:val="24"/>
          <w:lang w:val="fr-FR"/>
        </w:rPr>
        <w:t>Almost half of UK companies want staff ‘on site’ all the time, survey finds</w:t>
      </w:r>
      <w:r w:rsidRPr="00BD1799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BD1799">
        <w:rPr>
          <w:rFonts w:ascii="Times New Roman" w:hAnsi="Times New Roman" w:cs="Times New Roman"/>
          <w:i/>
          <w:iCs/>
          <w:sz w:val="24"/>
          <w:szCs w:val="24"/>
        </w:rPr>
        <w:t>Financial Times</w:t>
      </w:r>
      <w:r w:rsidRPr="00BD1799">
        <w:rPr>
          <w:rFonts w:ascii="Times New Roman" w:hAnsi="Times New Roman" w:cs="Times New Roman"/>
          <w:sz w:val="24"/>
          <w:szCs w:val="24"/>
        </w:rPr>
        <w:t xml:space="preserve">. </w:t>
      </w:r>
      <w:hyperlink r:id="rId25" w:tgtFrame="_new" w:history="1">
        <w:r w:rsidRPr="00BD1799">
          <w:rPr>
            <w:rStyle w:val="Hyperlink"/>
            <w:rFonts w:ascii="Times New Roman" w:hAnsi="Times New Roman" w:cs="Times New Roman"/>
            <w:sz w:val="24"/>
            <w:szCs w:val="24"/>
          </w:rPr>
          <w:t>https://www.ft.com/content/c8f3093f-b273-4d4c-90e6-574c952d75e2</w:t>
        </w:r>
      </w:hyperlink>
    </w:p>
    <w:p w14:paraId="74D2CF3B" w14:textId="77777777" w:rsidR="00BD1799" w:rsidRPr="00883508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1AC7FB2D" w14:textId="0C3F55FF" w:rsidR="00BD1799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321F2">
        <w:rPr>
          <w:rFonts w:ascii="Times New Roman" w:hAnsi="Times New Roman" w:cs="Times New Roman"/>
          <w:sz w:val="24"/>
          <w:szCs w:val="24"/>
          <w:lang w:val="fr-FR"/>
        </w:rPr>
        <w:t xml:space="preserve">Su, Y. L., &amp; Reeve, J. (2011). A meta-analysis of the effectiveness of intervention programs designed to support autonomy. </w:t>
      </w:r>
      <w:r w:rsidRPr="00A321F2">
        <w:rPr>
          <w:rFonts w:ascii="Times New Roman" w:hAnsi="Times New Roman" w:cs="Times New Roman"/>
          <w:i/>
          <w:iCs/>
          <w:sz w:val="24"/>
          <w:szCs w:val="24"/>
          <w:lang w:val="fr-FR"/>
        </w:rPr>
        <w:t>Educational Psychology Review, 23</w:t>
      </w:r>
      <w:r w:rsidRPr="00A321F2">
        <w:rPr>
          <w:rFonts w:ascii="Times New Roman" w:hAnsi="Times New Roman" w:cs="Times New Roman"/>
          <w:sz w:val="24"/>
          <w:szCs w:val="24"/>
          <w:lang w:val="fr-FR"/>
        </w:rPr>
        <w:t xml:space="preserve">(1), 159–188. </w:t>
      </w:r>
      <w:hyperlink r:id="rId26" w:tgtFrame="_new" w:history="1">
        <w:r w:rsidRPr="00A321F2">
          <w:rPr>
            <w:rStyle w:val="Hyperlink"/>
            <w:rFonts w:ascii="Times New Roman" w:hAnsi="Times New Roman" w:cs="Times New Roman"/>
            <w:sz w:val="24"/>
            <w:szCs w:val="24"/>
            <w:lang w:val="fr-FR"/>
          </w:rPr>
          <w:t>https://doi.org/10.1007/s10648-010-9142-7</w:t>
        </w:r>
      </w:hyperlink>
    </w:p>
    <w:p w14:paraId="7C0E2FB4" w14:textId="77777777" w:rsidR="00BD1799" w:rsidRDefault="00BD1799" w:rsidP="00BD1799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4FBB176" w14:textId="32391731" w:rsidR="00BD1799" w:rsidRDefault="00BD1799" w:rsidP="00883508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BD1799">
        <w:rPr>
          <w:rFonts w:ascii="Times New Roman" w:hAnsi="Times New Roman" w:cs="Times New Roman"/>
          <w:sz w:val="24"/>
          <w:szCs w:val="24"/>
          <w:lang w:val="fr-FR"/>
        </w:rPr>
        <w:t xml:space="preserve">The Times. (2025, 18 de julho). </w:t>
      </w:r>
      <w:r w:rsidRPr="00BD1799">
        <w:rPr>
          <w:rFonts w:ascii="Times New Roman" w:hAnsi="Times New Roman" w:cs="Times New Roman"/>
          <w:i/>
          <w:iCs/>
          <w:sz w:val="24"/>
          <w:szCs w:val="24"/>
          <w:lang w:val="fr-FR"/>
        </w:rPr>
        <w:t>HSBC orders staff back to the office or it will cut their pay</w:t>
      </w:r>
      <w:r w:rsidRPr="00BD1799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hyperlink r:id="rId27" w:history="1">
        <w:r w:rsidR="00883508" w:rsidRPr="00F841D8">
          <w:rPr>
            <w:rStyle w:val="Hyperlink"/>
            <w:rFonts w:ascii="Times New Roman" w:hAnsi="Times New Roman" w:cs="Times New Roman"/>
            <w:sz w:val="24"/>
            <w:szCs w:val="24"/>
          </w:rPr>
          <w:t>https://www.thetimes.co.uk/article/hsbc-orders-staff-back-to-the-office-or-it-will-cut-their-pay-vwnhnfthj</w:t>
        </w:r>
      </w:hyperlink>
      <w:r w:rsidR="0088350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197B8F" w14:textId="77777777" w:rsidR="00BD1799" w:rsidRPr="00883508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46D3B39D" w14:textId="4748F630" w:rsidR="00BD1799" w:rsidRDefault="00BD1799" w:rsidP="00A321F2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A321F2">
        <w:rPr>
          <w:rFonts w:ascii="Times New Roman" w:hAnsi="Times New Roman" w:cs="Times New Roman"/>
          <w:sz w:val="24"/>
          <w:szCs w:val="24"/>
          <w:lang w:val="fr-FR"/>
        </w:rPr>
        <w:t xml:space="preserve">Wang, B., Liu, Y., &amp; Parker, S. (2020). Achieving effective remote working during the COVID-19 pandemic: A work design perspective. </w:t>
      </w:r>
      <w:r w:rsidRPr="00A321F2">
        <w:rPr>
          <w:rFonts w:ascii="Times New Roman" w:hAnsi="Times New Roman" w:cs="Times New Roman"/>
          <w:i/>
          <w:iCs/>
          <w:sz w:val="24"/>
          <w:szCs w:val="24"/>
        </w:rPr>
        <w:t>Applied Psychology: An International Review</w:t>
      </w:r>
      <w:r w:rsidRPr="00A321F2">
        <w:rPr>
          <w:rFonts w:ascii="Times New Roman" w:hAnsi="Times New Roman" w:cs="Times New Roman"/>
          <w:sz w:val="24"/>
          <w:szCs w:val="24"/>
        </w:rPr>
        <w:t xml:space="preserve">. </w:t>
      </w:r>
      <w:hyperlink r:id="rId28" w:tgtFrame="_new" w:history="1">
        <w:r w:rsidRPr="00A321F2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https://doi.org/10.1111/apps.12290</w:t>
        </w:r>
      </w:hyperlink>
    </w:p>
    <w:p w14:paraId="33421F28" w14:textId="77777777" w:rsidR="00A321F2" w:rsidRPr="00852362" w:rsidRDefault="00A321F2" w:rsidP="00A321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321F2" w:rsidRPr="00852362" w:rsidSect="0011267D">
      <w:headerReference w:type="default" r:id="rId29"/>
      <w:footerReference w:type="default" r:id="rId30"/>
      <w:pgSz w:w="11906" w:h="16838" w:code="9"/>
      <w:pgMar w:top="1134" w:right="1134" w:bottom="1134" w:left="1134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88709" w14:textId="77777777" w:rsidR="007E0522" w:rsidRDefault="007E0522" w:rsidP="00A356AC">
      <w:pPr>
        <w:spacing w:after="0" w:line="240" w:lineRule="auto"/>
      </w:pPr>
      <w:r>
        <w:separator/>
      </w:r>
    </w:p>
  </w:endnote>
  <w:endnote w:type="continuationSeparator" w:id="0">
    <w:p w14:paraId="6B39D99F" w14:textId="77777777" w:rsidR="007E0522" w:rsidRDefault="007E0522" w:rsidP="00A35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5812698"/>
      <w:docPartObj>
        <w:docPartGallery w:val="Page Numbers (Bottom of Page)"/>
        <w:docPartUnique/>
      </w:docPartObj>
    </w:sdtPr>
    <w:sdtContent>
      <w:p w14:paraId="2D7C7801" w14:textId="1E3CC348" w:rsidR="00DF2F96" w:rsidRDefault="00DF2F9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E56AA">
          <w:rPr>
            <w:noProof/>
          </w:rPr>
          <w:t>1</w:t>
        </w:r>
        <w:r>
          <w:fldChar w:fldCharType="end"/>
        </w:r>
      </w:p>
    </w:sdtContent>
  </w:sdt>
  <w:p w14:paraId="50D45AFA" w14:textId="77777777" w:rsidR="005A5658" w:rsidRDefault="005A565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3E6F4" w14:textId="77777777" w:rsidR="007E0522" w:rsidRDefault="007E0522" w:rsidP="00A356AC">
      <w:pPr>
        <w:spacing w:after="0" w:line="240" w:lineRule="auto"/>
      </w:pPr>
      <w:r>
        <w:separator/>
      </w:r>
    </w:p>
  </w:footnote>
  <w:footnote w:type="continuationSeparator" w:id="0">
    <w:p w14:paraId="449E459F" w14:textId="77777777" w:rsidR="007E0522" w:rsidRDefault="007E0522" w:rsidP="00A35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A6873" w14:textId="279F22B0" w:rsidR="00A356AC" w:rsidRDefault="0011267D" w:rsidP="0011267D">
    <w:pPr>
      <w:pStyle w:val="Cabealho"/>
      <w:tabs>
        <w:tab w:val="clear" w:pos="8504"/>
        <w:tab w:val="right" w:pos="10206"/>
      </w:tabs>
      <w:ind w:left="-426"/>
    </w:pPr>
    <w:r>
      <w:rPr>
        <w:noProof/>
        <w:lang w:eastAsia="pt-BR"/>
      </w:rPr>
      <w:drawing>
        <wp:inline distT="0" distB="0" distL="0" distR="0" wp14:anchorId="1F0282EC" wp14:editId="4DA61A49">
          <wp:extent cx="6661150" cy="1369567"/>
          <wp:effectExtent l="0" t="0" r="6350" b="2540"/>
          <wp:docPr id="13" name="Imagem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61150" cy="13695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C9D"/>
    <w:multiLevelType w:val="multilevel"/>
    <w:tmpl w:val="FC9E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5B59EB"/>
    <w:multiLevelType w:val="multilevel"/>
    <w:tmpl w:val="B332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333A3A"/>
    <w:multiLevelType w:val="hybridMultilevel"/>
    <w:tmpl w:val="218E9D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968455">
    <w:abstractNumId w:val="0"/>
  </w:num>
  <w:num w:numId="2" w16cid:durableId="1274246578">
    <w:abstractNumId w:val="1"/>
  </w:num>
  <w:num w:numId="3" w16cid:durableId="15733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6AC"/>
    <w:rsid w:val="00030347"/>
    <w:rsid w:val="000907F3"/>
    <w:rsid w:val="000A6FFA"/>
    <w:rsid w:val="000E0431"/>
    <w:rsid w:val="0011267D"/>
    <w:rsid w:val="00114B01"/>
    <w:rsid w:val="00167F4C"/>
    <w:rsid w:val="001A1D62"/>
    <w:rsid w:val="001B52CB"/>
    <w:rsid w:val="001F00F5"/>
    <w:rsid w:val="002252DF"/>
    <w:rsid w:val="002310E6"/>
    <w:rsid w:val="00244EE6"/>
    <w:rsid w:val="002D7FA9"/>
    <w:rsid w:val="00345C82"/>
    <w:rsid w:val="003A407B"/>
    <w:rsid w:val="0041589D"/>
    <w:rsid w:val="00445FFB"/>
    <w:rsid w:val="00455FEC"/>
    <w:rsid w:val="004C3D4D"/>
    <w:rsid w:val="004E35FB"/>
    <w:rsid w:val="005A44DF"/>
    <w:rsid w:val="005A5658"/>
    <w:rsid w:val="005C0EF0"/>
    <w:rsid w:val="00610A9D"/>
    <w:rsid w:val="00627973"/>
    <w:rsid w:val="00676A28"/>
    <w:rsid w:val="006A16F1"/>
    <w:rsid w:val="006D402B"/>
    <w:rsid w:val="006E5B46"/>
    <w:rsid w:val="006E7C35"/>
    <w:rsid w:val="00723FEF"/>
    <w:rsid w:val="007740BC"/>
    <w:rsid w:val="00786D64"/>
    <w:rsid w:val="007E0522"/>
    <w:rsid w:val="007E3C10"/>
    <w:rsid w:val="00852362"/>
    <w:rsid w:val="00883508"/>
    <w:rsid w:val="008B0C8F"/>
    <w:rsid w:val="008D4242"/>
    <w:rsid w:val="00907C24"/>
    <w:rsid w:val="00940450"/>
    <w:rsid w:val="00981C2C"/>
    <w:rsid w:val="00A321F2"/>
    <w:rsid w:val="00A356AC"/>
    <w:rsid w:val="00AA37FE"/>
    <w:rsid w:val="00AA5D13"/>
    <w:rsid w:val="00AC7C85"/>
    <w:rsid w:val="00AE7226"/>
    <w:rsid w:val="00BD1799"/>
    <w:rsid w:val="00D47BCD"/>
    <w:rsid w:val="00DE56AA"/>
    <w:rsid w:val="00DF2DAB"/>
    <w:rsid w:val="00DF2F96"/>
    <w:rsid w:val="00E5559C"/>
    <w:rsid w:val="00E803E6"/>
    <w:rsid w:val="00EF4DF5"/>
    <w:rsid w:val="00F32149"/>
    <w:rsid w:val="00F52E7C"/>
    <w:rsid w:val="00F70750"/>
    <w:rsid w:val="00F9538B"/>
    <w:rsid w:val="00F9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162847"/>
  <w15:docId w15:val="{5EC3B258-5738-4DC1-BE17-2AFBC8D64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356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356AC"/>
  </w:style>
  <w:style w:type="paragraph" w:styleId="Rodap">
    <w:name w:val="footer"/>
    <w:basedOn w:val="Normal"/>
    <w:link w:val="RodapChar"/>
    <w:uiPriority w:val="99"/>
    <w:unhideWhenUsed/>
    <w:rsid w:val="00A356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356AC"/>
  </w:style>
  <w:style w:type="paragraph" w:styleId="Textodebalo">
    <w:name w:val="Balloon Text"/>
    <w:basedOn w:val="Normal"/>
    <w:link w:val="TextodebaloChar"/>
    <w:uiPriority w:val="99"/>
    <w:semiHidden/>
    <w:unhideWhenUsed/>
    <w:rsid w:val="00A356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356A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45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45C82"/>
    <w:rPr>
      <w:b/>
      <w:bCs/>
    </w:rPr>
  </w:style>
  <w:style w:type="paragraph" w:styleId="PargrafodaLista">
    <w:name w:val="List Paragraph"/>
    <w:basedOn w:val="Normal"/>
    <w:uiPriority w:val="34"/>
    <w:qFormat/>
    <w:rsid w:val="00345C82"/>
    <w:pPr>
      <w:spacing w:after="160" w:line="259" w:lineRule="auto"/>
      <w:ind w:left="720"/>
      <w:contextualSpacing/>
    </w:pPr>
  </w:style>
  <w:style w:type="table" w:styleId="SimplesTabela2">
    <w:name w:val="Plain Table 2"/>
    <w:basedOn w:val="Tabelanormal"/>
    <w:uiPriority w:val="42"/>
    <w:rsid w:val="004E35F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yperlink">
    <w:name w:val="Hyperlink"/>
    <w:basedOn w:val="Fontepargpadro"/>
    <w:uiPriority w:val="99"/>
    <w:unhideWhenUsed/>
    <w:rsid w:val="00A321F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321F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8350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re.eur.nl/en/publications/management-control-systems-2" TargetMode="External"/><Relationship Id="rId13" Type="http://schemas.openxmlformats.org/officeDocument/2006/relationships/hyperlink" Target="https://doi.org/10.23925/recape.v15i1.61194" TargetMode="External"/><Relationship Id="rId18" Type="http://schemas.openxmlformats.org/officeDocument/2006/relationships/hyperlink" Target="https://www.investopedia.com/ford-calls-most-employees-back-to-office-4-days-a-week-starting-in-september-11761135?utm_source=chatgpt.com" TargetMode="External"/><Relationship Id="rId26" Type="http://schemas.openxmlformats.org/officeDocument/2006/relationships/hyperlink" Target="https://doi.org/10.1007/s10648-010-9142-7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1108/01443570010330739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i.org/10.1093/qje/qju032" TargetMode="External"/><Relationship Id="rId17" Type="http://schemas.openxmlformats.org/officeDocument/2006/relationships/hyperlink" Target="https://doi.org/10.3389/fpsyg.2022.961732" TargetMode="External"/><Relationship Id="rId25" Type="http://schemas.openxmlformats.org/officeDocument/2006/relationships/hyperlink" Target="https://www.ft.com/content/c8f3093f-b273-4d4c-90e6-574c952d75e2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forbes.com/sites/philkirschner/2025/02/14/mckinsey-on-return-to-office-leaders-are-focused-on-the-wrong-thing/?utm_source=chatgpt.com" TargetMode="External"/><Relationship Id="rId20" Type="http://schemas.openxmlformats.org/officeDocument/2006/relationships/hyperlink" Target="https://www.microsoft.com/insidetrack/blog/reinventing-microsofts-employee-experience-for-a-hybrid-world/?utm_source=chatgpt.com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usinessinsider.com/companies-hardcore-era-employee-changes-att-memo-2025-8?utm_source=chatgpt.com" TargetMode="External"/><Relationship Id="rId24" Type="http://schemas.openxmlformats.org/officeDocument/2006/relationships/hyperlink" Target="https://doi.org/10.1080/10438590303117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111/capa.12572" TargetMode="External"/><Relationship Id="rId23" Type="http://schemas.openxmlformats.org/officeDocument/2006/relationships/hyperlink" Target="https://doi.org/10.5935/2176-3038.20230009" TargetMode="External"/><Relationship Id="rId28" Type="http://schemas.openxmlformats.org/officeDocument/2006/relationships/hyperlink" Target="https://doi.org/10.1111/apps.12290" TargetMode="External"/><Relationship Id="rId10" Type="http://schemas.openxmlformats.org/officeDocument/2006/relationships/hyperlink" Target="https://doi.org/10.1057/s41599-024-03514-3" TargetMode="External"/><Relationship Id="rId19" Type="http://schemas.openxmlformats.org/officeDocument/2006/relationships/hyperlink" Target="https://doi.org/10.1002/wps.20311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i.org/10.2307/41409971" TargetMode="External"/><Relationship Id="rId14" Type="http://schemas.openxmlformats.org/officeDocument/2006/relationships/hyperlink" Target="https://doi.org/10.1111/j.1740-8784.2006.00042.x" TargetMode="External"/><Relationship Id="rId22" Type="http://schemas.openxmlformats.org/officeDocument/2006/relationships/hyperlink" Target="https://www.news.com.au/finance/work/trends/starbucks-increases-office-attendance-to-four-days-a-week-rolling-back-wfh-even-further/news-story/5c09f31affc369df799704227c30aace?utm_source=chatgpt.com" TargetMode="External"/><Relationship Id="rId27" Type="http://schemas.openxmlformats.org/officeDocument/2006/relationships/hyperlink" Target="https://www.thetimes.co.uk/article/hsbc-orders-staff-back-to-the-office-or-it-will-cut-their-pay-vwnhnfthj" TargetMode="External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76587C-6E33-47FC-A61E-1E58361D0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8348</Words>
  <Characters>45085</Characters>
  <Application>Microsoft Office Word</Application>
  <DocSecurity>0</DocSecurity>
  <Lines>375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Renato de Oliveira Rosa</cp:lastModifiedBy>
  <cp:revision>5</cp:revision>
  <dcterms:created xsi:type="dcterms:W3CDTF">2025-08-11T06:14:00Z</dcterms:created>
  <dcterms:modified xsi:type="dcterms:W3CDTF">2025-08-11T06:34:00Z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463c0dd559214bc91016f08b91b1352a90a7df66ecab07b41d08a9b45b377b22</vt:lpwstr>
  </property>
</Properties>
</file>