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53912" w14:textId="5D1CCCFE" w:rsidR="5496EEF3" w:rsidRDefault="5496EEF3" w:rsidP="7C64760A">
      <w:pPr>
        <w:spacing w:after="0" w:line="240" w:lineRule="auto"/>
        <w:jc w:val="both"/>
        <w:rPr>
          <w:rFonts w:ascii="Times New Roman" w:eastAsia="Times New Roman" w:hAnsi="Times New Roman" w:cs="Times New Roman"/>
          <w:b/>
          <w:bCs/>
        </w:rPr>
      </w:pPr>
      <w:r w:rsidRPr="7C64760A">
        <w:rPr>
          <w:rFonts w:ascii="Times New Roman" w:eastAsia="Times New Roman" w:hAnsi="Times New Roman" w:cs="Times New Roman"/>
          <w:b/>
          <w:bCs/>
        </w:rPr>
        <w:t xml:space="preserve">Transparência em relatórios de prestação de contas: análise dos determinantes financeiros e estruturais nas fundações de apoio à pesquisa  </w:t>
      </w:r>
    </w:p>
    <w:p w14:paraId="383A026F" w14:textId="681835AA" w:rsidR="7C64760A" w:rsidRDefault="7C64760A" w:rsidP="7C64760A">
      <w:pPr>
        <w:spacing w:after="0" w:line="240" w:lineRule="auto"/>
        <w:jc w:val="both"/>
        <w:rPr>
          <w:rFonts w:ascii="Times New Roman" w:eastAsia="Times New Roman" w:hAnsi="Times New Roman" w:cs="Times New Roman"/>
          <w:b/>
          <w:bCs/>
          <w:i/>
          <w:iCs/>
        </w:rPr>
      </w:pPr>
    </w:p>
    <w:p w14:paraId="3A1D1D16" w14:textId="56F936DC" w:rsidR="5496EEF3" w:rsidRPr="002328DC" w:rsidRDefault="5496EEF3" w:rsidP="7C64760A">
      <w:pPr>
        <w:spacing w:after="0" w:line="240" w:lineRule="auto"/>
        <w:jc w:val="both"/>
        <w:rPr>
          <w:rFonts w:ascii="Times New Roman" w:eastAsia="Times New Roman" w:hAnsi="Times New Roman" w:cs="Times New Roman"/>
          <w:b/>
          <w:bCs/>
          <w:i/>
          <w:iCs/>
          <w:lang w:val="en-US"/>
        </w:rPr>
      </w:pPr>
      <w:r w:rsidRPr="002328DC">
        <w:rPr>
          <w:rFonts w:ascii="Times New Roman" w:eastAsia="Times New Roman" w:hAnsi="Times New Roman" w:cs="Times New Roman"/>
          <w:b/>
          <w:bCs/>
          <w:i/>
          <w:iCs/>
          <w:lang w:val="en-US"/>
        </w:rPr>
        <w:t>Transparency in accountability reports: analysis of financial and structural determinants in research support foundations</w:t>
      </w:r>
    </w:p>
    <w:p w14:paraId="25A1D771" w14:textId="1329C3C9" w:rsidR="00946FEE" w:rsidRPr="002328DC" w:rsidRDefault="00946FEE" w:rsidP="7C64760A">
      <w:pPr>
        <w:spacing w:after="0" w:line="240" w:lineRule="auto"/>
        <w:jc w:val="both"/>
        <w:rPr>
          <w:rFonts w:ascii="Times New Roman" w:eastAsia="Times New Roman" w:hAnsi="Times New Roman" w:cs="Times New Roman"/>
          <w:lang w:val="en-US"/>
        </w:rPr>
      </w:pPr>
    </w:p>
    <w:p w14:paraId="2CAFB82B" w14:textId="6724E390" w:rsidR="3CB57AE0" w:rsidRDefault="3CB57AE0" w:rsidP="7C64760A">
      <w:pPr>
        <w:spacing w:after="0" w:line="240" w:lineRule="auto"/>
        <w:jc w:val="both"/>
        <w:rPr>
          <w:rFonts w:ascii="Times New Roman" w:eastAsia="Times New Roman" w:hAnsi="Times New Roman" w:cs="Times New Roman"/>
          <w:b/>
          <w:bCs/>
          <w:i/>
          <w:iCs/>
        </w:rPr>
      </w:pPr>
      <w:r w:rsidRPr="7C64760A">
        <w:rPr>
          <w:rFonts w:ascii="Times New Roman" w:eastAsia="Times New Roman" w:hAnsi="Times New Roman" w:cs="Times New Roman"/>
          <w:b/>
          <w:bCs/>
          <w:i/>
          <w:iCs/>
        </w:rPr>
        <w:t>Transparencia en informes de rendición de cuentas: análisis de determinantes financieros y estructurales en fundaciones de apoyo a la investigación</w:t>
      </w:r>
    </w:p>
    <w:p w14:paraId="7D0FA6C3" w14:textId="79806924" w:rsidR="7C64760A" w:rsidRDefault="7C64760A" w:rsidP="7C64760A">
      <w:pPr>
        <w:spacing w:after="0" w:line="240" w:lineRule="auto"/>
        <w:jc w:val="both"/>
        <w:rPr>
          <w:rFonts w:ascii="Times New Roman" w:eastAsia="Times New Roman" w:hAnsi="Times New Roman" w:cs="Times New Roman"/>
        </w:rPr>
      </w:pPr>
    </w:p>
    <w:p w14:paraId="19F05722" w14:textId="199267C3" w:rsidR="7C64760A" w:rsidRDefault="7C64760A" w:rsidP="7C64760A">
      <w:pPr>
        <w:spacing w:after="0" w:line="240" w:lineRule="auto"/>
        <w:jc w:val="both"/>
        <w:rPr>
          <w:rFonts w:ascii="Times New Roman" w:eastAsia="Times New Roman" w:hAnsi="Times New Roman" w:cs="Times New Roman"/>
        </w:rPr>
      </w:pPr>
    </w:p>
    <w:p w14:paraId="0E0B2F2A" w14:textId="7E09C668" w:rsidR="00946FEE" w:rsidRDefault="241D4344" w:rsidP="7C64760A">
      <w:pPr>
        <w:spacing w:after="0" w:line="240" w:lineRule="auto"/>
        <w:jc w:val="both"/>
        <w:rPr>
          <w:rFonts w:ascii="Times New Roman" w:eastAsia="Times New Roman" w:hAnsi="Times New Roman" w:cs="Times New Roman"/>
        </w:rPr>
      </w:pPr>
      <w:r w:rsidRPr="7C64760A">
        <w:rPr>
          <w:rFonts w:ascii="Times New Roman" w:eastAsia="Times New Roman" w:hAnsi="Times New Roman" w:cs="Times New Roman"/>
          <w:b/>
          <w:bCs/>
        </w:rPr>
        <w:t>Resumo</w:t>
      </w:r>
    </w:p>
    <w:p w14:paraId="1BD3A6BC" w14:textId="3CDC828A" w:rsidR="7711AB4A" w:rsidRDefault="7711AB4A" w:rsidP="7C64760A">
      <w:pPr>
        <w:spacing w:after="0" w:line="240" w:lineRule="auto"/>
        <w:jc w:val="both"/>
      </w:pPr>
      <w:r w:rsidRPr="7C64760A">
        <w:rPr>
          <w:rFonts w:ascii="Times New Roman" w:eastAsia="Times New Roman" w:hAnsi="Times New Roman" w:cs="Times New Roman"/>
          <w:b/>
          <w:bCs/>
        </w:rPr>
        <w:t>Objetivo:</w:t>
      </w:r>
      <w:r w:rsidRPr="7C64760A">
        <w:rPr>
          <w:rFonts w:ascii="Times New Roman" w:eastAsia="Times New Roman" w:hAnsi="Times New Roman" w:cs="Times New Roman"/>
        </w:rPr>
        <w:t xml:space="preserve"> Analisar o impacto de variáveis financeiras e estruturais sobre o nível de transparência das receitas nas fundações de apoio à pesquisa no Brasil. </w:t>
      </w:r>
    </w:p>
    <w:p w14:paraId="64EBE882" w14:textId="11B92875" w:rsidR="7711AB4A" w:rsidRDefault="7711AB4A" w:rsidP="7C64760A">
      <w:pPr>
        <w:spacing w:after="0" w:line="240" w:lineRule="auto"/>
        <w:jc w:val="both"/>
      </w:pPr>
      <w:r w:rsidRPr="7C64760A">
        <w:rPr>
          <w:rFonts w:ascii="Times New Roman" w:eastAsia="Times New Roman" w:hAnsi="Times New Roman" w:cs="Times New Roman"/>
          <w:b/>
          <w:bCs/>
        </w:rPr>
        <w:t>Metodologia:</w:t>
      </w:r>
      <w:r w:rsidRPr="7C64760A">
        <w:rPr>
          <w:rFonts w:ascii="Times New Roman" w:eastAsia="Times New Roman" w:hAnsi="Times New Roman" w:cs="Times New Roman"/>
        </w:rPr>
        <w:t xml:space="preserve"> Aplicou-se o modelo de evidenciação de Gandia (2009) adaptado para 82 indicadores em uma amostra documental de 27 entidades (uma por estado), referente ao exercício de 2022. Os dados foram analisados estatisticamente por meio de testes não paramétricos de correlação de Spearman e variância de Kruskal-Wallis. </w:t>
      </w:r>
    </w:p>
    <w:p w14:paraId="1255F9E0" w14:textId="3F1A8CE0" w:rsidR="7711AB4A" w:rsidRDefault="7711AB4A" w:rsidP="7C64760A">
      <w:pPr>
        <w:spacing w:after="0" w:line="240" w:lineRule="auto"/>
        <w:jc w:val="both"/>
      </w:pPr>
      <w:r w:rsidRPr="7C64760A">
        <w:rPr>
          <w:rFonts w:ascii="Times New Roman" w:eastAsia="Times New Roman" w:hAnsi="Times New Roman" w:cs="Times New Roman"/>
          <w:b/>
          <w:bCs/>
        </w:rPr>
        <w:t>Resultados:</w:t>
      </w:r>
      <w:r w:rsidRPr="7C64760A">
        <w:rPr>
          <w:rFonts w:ascii="Times New Roman" w:eastAsia="Times New Roman" w:hAnsi="Times New Roman" w:cs="Times New Roman"/>
        </w:rPr>
        <w:t xml:space="preserve"> Os resultados indicam a rejeição das hipóteses financeiras, demonstrando que o volume e a dependência de arrecadação não determinam a prestação de contas. Em contrapartida, a dimensão estrutural confirmou forte associação entre a maturidade do planejamento estratégico e a governança contábil, além de comprovar um hiato geográfico de evidenciação nas instituições da região Norte. </w:t>
      </w:r>
    </w:p>
    <w:p w14:paraId="5106BDB1" w14:textId="7F8CEE2D" w:rsidR="7711AB4A" w:rsidRDefault="7711AB4A" w:rsidP="7C64760A">
      <w:pPr>
        <w:spacing w:after="0" w:line="240" w:lineRule="auto"/>
        <w:jc w:val="both"/>
      </w:pPr>
      <w:r w:rsidRPr="7C64760A">
        <w:rPr>
          <w:rFonts w:ascii="Times New Roman" w:eastAsia="Times New Roman" w:hAnsi="Times New Roman" w:cs="Times New Roman"/>
          <w:b/>
          <w:bCs/>
        </w:rPr>
        <w:t>Contribuições do Estudo:</w:t>
      </w:r>
      <w:r w:rsidRPr="7C64760A">
        <w:rPr>
          <w:rFonts w:ascii="Times New Roman" w:eastAsia="Times New Roman" w:hAnsi="Times New Roman" w:cs="Times New Roman"/>
        </w:rPr>
        <w:t xml:space="preserve"> O estudo avança na literatura ao desvincular a transparência da capacidade orçamentária, </w:t>
      </w:r>
      <w:r w:rsidR="00105A5C" w:rsidRPr="00146F87">
        <w:t>reforça</w:t>
      </w:r>
      <w:r w:rsidR="00105A5C">
        <w:t>ndo</w:t>
      </w:r>
      <w:r w:rsidR="00105A5C" w:rsidRPr="00146F87">
        <w:t xml:space="preserve"> a necessidade de políticas institucionais que promovam a cultura da transparência como pilar fundamental da gestão pública</w:t>
      </w:r>
      <w:r w:rsidRPr="7C64760A">
        <w:rPr>
          <w:rFonts w:ascii="Times New Roman" w:eastAsia="Times New Roman" w:hAnsi="Times New Roman" w:cs="Times New Roman"/>
        </w:rPr>
        <w:t>. Gerencialmente, evidencia que políticas de fomento devem priorizar a estruturação institucional e tecnológica em regiões periféricas para democratizar o controle social.</w:t>
      </w:r>
    </w:p>
    <w:p w14:paraId="38F7C3C8" w14:textId="54681632" w:rsidR="00946FEE" w:rsidRDefault="241D4344" w:rsidP="7C64760A">
      <w:pPr>
        <w:spacing w:after="0" w:line="240" w:lineRule="auto"/>
        <w:jc w:val="both"/>
        <w:rPr>
          <w:rFonts w:ascii="Times New Roman" w:eastAsia="Times New Roman" w:hAnsi="Times New Roman" w:cs="Times New Roman"/>
        </w:rPr>
      </w:pPr>
      <w:r w:rsidRPr="7C64760A">
        <w:rPr>
          <w:rFonts w:ascii="Times New Roman" w:eastAsia="Times New Roman" w:hAnsi="Times New Roman" w:cs="Times New Roman"/>
          <w:b/>
          <w:bCs/>
        </w:rPr>
        <w:t>Palavras-</w:t>
      </w:r>
      <w:r w:rsidR="4FE6FB81" w:rsidRPr="7C64760A">
        <w:rPr>
          <w:rFonts w:ascii="Times New Roman" w:eastAsia="Times New Roman" w:hAnsi="Times New Roman" w:cs="Times New Roman"/>
          <w:b/>
          <w:bCs/>
        </w:rPr>
        <w:t>c</w:t>
      </w:r>
      <w:r w:rsidRPr="7C64760A">
        <w:rPr>
          <w:rFonts w:ascii="Times New Roman" w:eastAsia="Times New Roman" w:hAnsi="Times New Roman" w:cs="Times New Roman"/>
          <w:b/>
          <w:bCs/>
        </w:rPr>
        <w:t>have:</w:t>
      </w:r>
      <w:r w:rsidRPr="7C64760A">
        <w:rPr>
          <w:rFonts w:ascii="Times New Roman" w:eastAsia="Times New Roman" w:hAnsi="Times New Roman" w:cs="Times New Roman"/>
        </w:rPr>
        <w:t xml:space="preserve"> </w:t>
      </w:r>
      <w:r w:rsidR="3B060351" w:rsidRPr="7C64760A">
        <w:rPr>
          <w:rFonts w:ascii="Times New Roman" w:eastAsia="Times New Roman" w:hAnsi="Times New Roman" w:cs="Times New Roman"/>
        </w:rPr>
        <w:t>Transparência; Fundações de Apoio; Terceiro Setor; Evidenciação; Receitas.</w:t>
      </w:r>
    </w:p>
    <w:p w14:paraId="4A534F03" w14:textId="5F4CB5CF" w:rsidR="00946FEE" w:rsidRDefault="00946FEE" w:rsidP="7C64760A">
      <w:pPr>
        <w:spacing w:after="0" w:line="240" w:lineRule="auto"/>
        <w:jc w:val="both"/>
        <w:rPr>
          <w:rFonts w:ascii="Times New Roman" w:eastAsia="Times New Roman" w:hAnsi="Times New Roman" w:cs="Times New Roman"/>
        </w:rPr>
      </w:pPr>
    </w:p>
    <w:p w14:paraId="70FF82C8" w14:textId="1204E761" w:rsidR="088A38B7" w:rsidRPr="002328DC" w:rsidRDefault="088A38B7" w:rsidP="7C64760A">
      <w:pPr>
        <w:spacing w:after="0" w:line="240" w:lineRule="auto"/>
        <w:jc w:val="both"/>
        <w:rPr>
          <w:rFonts w:ascii="Times New Roman" w:eastAsia="Times New Roman" w:hAnsi="Times New Roman" w:cs="Times New Roman"/>
          <w:b/>
          <w:bCs/>
          <w:lang w:val="en-US"/>
        </w:rPr>
      </w:pPr>
      <w:r w:rsidRPr="002328DC">
        <w:rPr>
          <w:rFonts w:ascii="Times New Roman" w:eastAsia="Times New Roman" w:hAnsi="Times New Roman" w:cs="Times New Roman"/>
          <w:b/>
          <w:bCs/>
          <w:lang w:val="en-US"/>
        </w:rPr>
        <w:t>Abstract</w:t>
      </w:r>
    </w:p>
    <w:p w14:paraId="36083698" w14:textId="6BF16C1F" w:rsidR="2F35AEDB" w:rsidRPr="002328DC" w:rsidRDefault="2F35AEDB" w:rsidP="7C64760A">
      <w:pPr>
        <w:spacing w:after="0" w:line="240" w:lineRule="auto"/>
        <w:jc w:val="both"/>
        <w:rPr>
          <w:lang w:val="en-US"/>
        </w:rPr>
      </w:pPr>
      <w:r w:rsidRPr="7C64760A">
        <w:rPr>
          <w:rFonts w:ascii="Times New Roman" w:eastAsia="Times New Roman" w:hAnsi="Times New Roman" w:cs="Times New Roman"/>
          <w:b/>
          <w:bCs/>
          <w:lang w:val="en-US"/>
        </w:rPr>
        <w:t>Purpose:</w:t>
      </w:r>
      <w:r w:rsidRPr="7C64760A">
        <w:rPr>
          <w:rFonts w:ascii="Times New Roman" w:eastAsia="Times New Roman" w:hAnsi="Times New Roman" w:cs="Times New Roman"/>
          <w:lang w:val="en-US"/>
        </w:rPr>
        <w:t xml:space="preserve"> To analyze the impact of financial and structural variables on the level of revenue transparency in research support foundations in Brazil. </w:t>
      </w:r>
    </w:p>
    <w:p w14:paraId="0A61DB50" w14:textId="5036ECA5" w:rsidR="2F35AEDB" w:rsidRDefault="2F35AEDB" w:rsidP="7C64760A">
      <w:pPr>
        <w:spacing w:after="0" w:line="240" w:lineRule="auto"/>
        <w:jc w:val="both"/>
        <w:rPr>
          <w:rFonts w:ascii="Times New Roman" w:eastAsia="Times New Roman" w:hAnsi="Times New Roman" w:cs="Times New Roman"/>
          <w:lang w:val="en-US"/>
        </w:rPr>
      </w:pPr>
      <w:r w:rsidRPr="7C64760A">
        <w:rPr>
          <w:rFonts w:ascii="Times New Roman" w:eastAsia="Times New Roman" w:hAnsi="Times New Roman" w:cs="Times New Roman"/>
          <w:b/>
          <w:bCs/>
          <w:lang w:val="en-US"/>
        </w:rPr>
        <w:t>Methodology:</w:t>
      </w:r>
      <w:r w:rsidRPr="7C64760A">
        <w:rPr>
          <w:rFonts w:ascii="Times New Roman" w:eastAsia="Times New Roman" w:hAnsi="Times New Roman" w:cs="Times New Roman"/>
          <w:lang w:val="en-US"/>
        </w:rPr>
        <w:t xml:space="preserve"> The disclosure model by Gandia (2009) adapted to 82 indicators was applied to a documentary sample of 27 entities (one per state) regarding the 2022 financial year. Data were statistically analyzed using non-parametric Spearman correlation and Kruskal-Wallis variance tests. </w:t>
      </w:r>
    </w:p>
    <w:p w14:paraId="4E32BFA9" w14:textId="1637048D" w:rsidR="2F35AEDB" w:rsidRDefault="2F35AEDB" w:rsidP="7C64760A">
      <w:pPr>
        <w:spacing w:after="0" w:line="240" w:lineRule="auto"/>
        <w:jc w:val="both"/>
        <w:rPr>
          <w:rFonts w:ascii="Times New Roman" w:eastAsia="Times New Roman" w:hAnsi="Times New Roman" w:cs="Times New Roman"/>
          <w:lang w:val="en-US"/>
        </w:rPr>
      </w:pPr>
      <w:r w:rsidRPr="7C64760A">
        <w:rPr>
          <w:rFonts w:ascii="Times New Roman" w:eastAsia="Times New Roman" w:hAnsi="Times New Roman" w:cs="Times New Roman"/>
          <w:b/>
          <w:bCs/>
          <w:lang w:val="en-US"/>
        </w:rPr>
        <w:t>Results:</w:t>
      </w:r>
      <w:r w:rsidRPr="7C64760A">
        <w:rPr>
          <w:rFonts w:ascii="Times New Roman" w:eastAsia="Times New Roman" w:hAnsi="Times New Roman" w:cs="Times New Roman"/>
          <w:lang w:val="en-US"/>
        </w:rPr>
        <w:t xml:space="preserve"> The results indicate the rejection of the financial hypotheses, demonstrating that the volume and dependence of revenue collection do not determine accountability. Conversely, the structural dimension confirmed a strong association between the maturity of strategic planning and accounting governance, in addition to proving a geographical disclosure gap in institutions in the North region. </w:t>
      </w:r>
    </w:p>
    <w:p w14:paraId="43F5AFE3" w14:textId="77777777" w:rsidR="002D4CE2" w:rsidRDefault="2F35AEDB" w:rsidP="7C64760A">
      <w:pPr>
        <w:spacing w:after="0" w:line="240" w:lineRule="auto"/>
        <w:jc w:val="both"/>
        <w:rPr>
          <w:rFonts w:ascii="Times New Roman" w:eastAsia="Times New Roman" w:hAnsi="Times New Roman" w:cs="Times New Roman"/>
          <w:lang w:val="en-US"/>
        </w:rPr>
      </w:pPr>
      <w:r w:rsidRPr="7C64760A">
        <w:rPr>
          <w:rFonts w:ascii="Times New Roman" w:eastAsia="Times New Roman" w:hAnsi="Times New Roman" w:cs="Times New Roman"/>
          <w:b/>
          <w:bCs/>
          <w:lang w:val="en-US"/>
        </w:rPr>
        <w:t>Contributions of the Study:</w:t>
      </w:r>
      <w:r w:rsidRPr="7C64760A">
        <w:rPr>
          <w:rFonts w:ascii="Times New Roman" w:eastAsia="Times New Roman" w:hAnsi="Times New Roman" w:cs="Times New Roman"/>
          <w:lang w:val="en-US"/>
        </w:rPr>
        <w:t xml:space="preserve"> Th</w:t>
      </w:r>
      <w:r w:rsidR="00BA4457">
        <w:rPr>
          <w:rFonts w:ascii="Times New Roman" w:eastAsia="Times New Roman" w:hAnsi="Times New Roman" w:cs="Times New Roman"/>
          <w:lang w:val="en-US"/>
        </w:rPr>
        <w:t>e</w:t>
      </w:r>
      <w:r w:rsidRPr="7C64760A">
        <w:rPr>
          <w:rFonts w:ascii="Times New Roman" w:eastAsia="Times New Roman" w:hAnsi="Times New Roman" w:cs="Times New Roman"/>
          <w:lang w:val="en-US"/>
        </w:rPr>
        <w:t xml:space="preserve"> study advances the literature by decoupling transparency from budgetary capacity, </w:t>
      </w:r>
      <w:r w:rsidR="00105A5C">
        <w:rPr>
          <w:rFonts w:ascii="Times New Roman" w:eastAsia="Times New Roman" w:hAnsi="Times New Roman" w:cs="Times New Roman"/>
          <w:lang w:val="en-US"/>
        </w:rPr>
        <w:t>reinforcing the need for institutional policies that promote a culture of transparency as a fundamental pillar of public management</w:t>
      </w:r>
      <w:r w:rsidRPr="7C64760A">
        <w:rPr>
          <w:rFonts w:ascii="Times New Roman" w:eastAsia="Times New Roman" w:hAnsi="Times New Roman" w:cs="Times New Roman"/>
          <w:lang w:val="en-US"/>
        </w:rPr>
        <w:t xml:space="preserve">. Managerially, it highlights that funding policies should prioritize institutional and technological structuring in peripheral regions to democratize social control. </w:t>
      </w:r>
    </w:p>
    <w:p w14:paraId="7C643ACC" w14:textId="34BFFA64" w:rsidR="2F35AEDB" w:rsidRPr="002D4CE2" w:rsidRDefault="2F35AEDB" w:rsidP="7C64760A">
      <w:pPr>
        <w:spacing w:after="0" w:line="240" w:lineRule="auto"/>
        <w:jc w:val="both"/>
        <w:rPr>
          <w:rFonts w:ascii="Times New Roman" w:eastAsia="Times New Roman" w:hAnsi="Times New Roman" w:cs="Times New Roman"/>
          <w:lang w:val="en-US"/>
        </w:rPr>
      </w:pPr>
      <w:r w:rsidRPr="002D4CE2">
        <w:rPr>
          <w:rFonts w:ascii="Times New Roman" w:eastAsia="Times New Roman" w:hAnsi="Times New Roman" w:cs="Times New Roman"/>
          <w:b/>
          <w:bCs/>
          <w:lang w:val="en-US"/>
        </w:rPr>
        <w:t>Keywords:</w:t>
      </w:r>
      <w:r w:rsidRPr="002D4CE2">
        <w:rPr>
          <w:rFonts w:ascii="Times New Roman" w:eastAsia="Times New Roman" w:hAnsi="Times New Roman" w:cs="Times New Roman"/>
          <w:lang w:val="en-US"/>
        </w:rPr>
        <w:t xml:space="preserve"> Transparency; Support Foundations; Third Sector; Disclosure; Revenues.</w:t>
      </w:r>
    </w:p>
    <w:p w14:paraId="18046061" w14:textId="03BA4965" w:rsidR="7C64760A" w:rsidRPr="002D4CE2" w:rsidRDefault="7C64760A" w:rsidP="7C64760A">
      <w:pPr>
        <w:spacing w:after="0" w:line="240" w:lineRule="auto"/>
        <w:jc w:val="both"/>
        <w:rPr>
          <w:rFonts w:ascii="Times New Roman" w:eastAsia="Times New Roman" w:hAnsi="Times New Roman" w:cs="Times New Roman"/>
          <w:lang w:val="en-US"/>
        </w:rPr>
      </w:pPr>
    </w:p>
    <w:p w14:paraId="332DE3A5" w14:textId="517547FE" w:rsidR="2F35AEDB" w:rsidRDefault="2F35AEDB" w:rsidP="7C64760A">
      <w:pPr>
        <w:spacing w:after="0" w:line="240" w:lineRule="auto"/>
        <w:jc w:val="both"/>
      </w:pPr>
      <w:r w:rsidRPr="7C64760A">
        <w:rPr>
          <w:rFonts w:ascii="Times New Roman" w:eastAsia="Times New Roman" w:hAnsi="Times New Roman" w:cs="Times New Roman"/>
          <w:b/>
          <w:bCs/>
        </w:rPr>
        <w:t>Resumen</w:t>
      </w:r>
      <w:r w:rsidRPr="7C64760A">
        <w:rPr>
          <w:rFonts w:ascii="Times New Roman" w:eastAsia="Times New Roman" w:hAnsi="Times New Roman" w:cs="Times New Roman"/>
        </w:rPr>
        <w:t xml:space="preserve"> </w:t>
      </w:r>
    </w:p>
    <w:p w14:paraId="748230DA" w14:textId="52FAEF81" w:rsidR="2F35AEDB" w:rsidRDefault="2F35AEDB" w:rsidP="7C64760A">
      <w:pPr>
        <w:spacing w:after="0" w:line="240" w:lineRule="auto"/>
        <w:jc w:val="both"/>
      </w:pPr>
      <w:r w:rsidRPr="7C64760A">
        <w:rPr>
          <w:rFonts w:ascii="Times New Roman" w:eastAsia="Times New Roman" w:hAnsi="Times New Roman" w:cs="Times New Roman"/>
          <w:b/>
          <w:bCs/>
        </w:rPr>
        <w:lastRenderedPageBreak/>
        <w:t>Objetivo:</w:t>
      </w:r>
      <w:r w:rsidRPr="7C64760A">
        <w:rPr>
          <w:rFonts w:ascii="Times New Roman" w:eastAsia="Times New Roman" w:hAnsi="Times New Roman" w:cs="Times New Roman"/>
        </w:rPr>
        <w:t xml:space="preserve"> Analizar el impacto de variables financieras y estructurales sobre el nivel de transparencia de los ingresos en fundaciones de apoyo a la investigación en Brasil. </w:t>
      </w:r>
    </w:p>
    <w:p w14:paraId="13C69127" w14:textId="61C0202E" w:rsidR="2F35AEDB" w:rsidRDefault="2F35AEDB" w:rsidP="7C64760A">
      <w:pPr>
        <w:spacing w:after="0" w:line="240" w:lineRule="auto"/>
        <w:jc w:val="both"/>
      </w:pPr>
      <w:r w:rsidRPr="7C64760A">
        <w:rPr>
          <w:rFonts w:ascii="Times New Roman" w:eastAsia="Times New Roman" w:hAnsi="Times New Roman" w:cs="Times New Roman"/>
          <w:b/>
          <w:bCs/>
          <w:lang w:val="es-ES"/>
        </w:rPr>
        <w:t>Metodología:</w:t>
      </w:r>
      <w:r w:rsidRPr="7C64760A">
        <w:rPr>
          <w:rFonts w:ascii="Times New Roman" w:eastAsia="Times New Roman" w:hAnsi="Times New Roman" w:cs="Times New Roman"/>
          <w:lang w:val="es-ES"/>
        </w:rPr>
        <w:t xml:space="preserve"> Se aplicó el modelo de divulgación de Gandia (2009) adaptado a 82 indicadores en una muestra documental de 27 entidades (una por estado), correspondiente al ejercicio 2022. Los datos se analizaron estadísticamente mediante pruebas no paramétricas de correlación de Spearman y varianza de Kruskal-Wallis. </w:t>
      </w:r>
    </w:p>
    <w:p w14:paraId="2CD9F9DC" w14:textId="67D18235" w:rsidR="2F35AEDB" w:rsidRDefault="2F35AEDB" w:rsidP="7C64760A">
      <w:pPr>
        <w:spacing w:after="0" w:line="240" w:lineRule="auto"/>
        <w:jc w:val="both"/>
      </w:pPr>
      <w:r w:rsidRPr="7C64760A">
        <w:rPr>
          <w:rFonts w:ascii="Times New Roman" w:eastAsia="Times New Roman" w:hAnsi="Times New Roman" w:cs="Times New Roman"/>
          <w:b/>
          <w:bCs/>
        </w:rPr>
        <w:t>Resultados:</w:t>
      </w:r>
      <w:r w:rsidRPr="7C64760A">
        <w:rPr>
          <w:rFonts w:ascii="Times New Roman" w:eastAsia="Times New Roman" w:hAnsi="Times New Roman" w:cs="Times New Roman"/>
        </w:rPr>
        <w:t xml:space="preserve"> Los resultados indican el rechazo de las hipótesis financieras, demostrando que el volumen y la dependencia de recaudación no determinan la rendición de cuentas. Por otro lado, la dimensión estructural confirmó una fuerte asociación entre la madurez de la planificación estratégica y la gobernanza contable, además de comprobar una brecha geográfica de divulgación en instituciones de la región Norte. </w:t>
      </w:r>
    </w:p>
    <w:p w14:paraId="36A111D5" w14:textId="0EDB3071" w:rsidR="2F35AEDB" w:rsidRDefault="2F35AEDB" w:rsidP="7C64760A">
      <w:pPr>
        <w:spacing w:after="0" w:line="240" w:lineRule="auto"/>
        <w:jc w:val="both"/>
      </w:pPr>
      <w:r w:rsidRPr="7C64760A">
        <w:rPr>
          <w:rFonts w:ascii="Times New Roman" w:eastAsia="Times New Roman" w:hAnsi="Times New Roman" w:cs="Times New Roman"/>
          <w:b/>
          <w:bCs/>
        </w:rPr>
        <w:t>Contribuciones del Estudio:</w:t>
      </w:r>
      <w:r w:rsidRPr="7C64760A">
        <w:rPr>
          <w:rFonts w:ascii="Times New Roman" w:eastAsia="Times New Roman" w:hAnsi="Times New Roman" w:cs="Times New Roman"/>
        </w:rPr>
        <w:t xml:space="preserve"> El estudio avanza en la literatura al desvincular la transparencia de la capacidad presupuestaria, </w:t>
      </w:r>
      <w:r w:rsidR="003F04D1">
        <w:rPr>
          <w:rFonts w:ascii="Times New Roman" w:eastAsia="Times New Roman" w:hAnsi="Times New Roman" w:cs="Times New Roman"/>
        </w:rPr>
        <w:t>reforzando la necesidad de politicas institucionales que promuevan uma cultura de transparencia como pilar fundamental de la gestión pública</w:t>
      </w:r>
      <w:r w:rsidRPr="7C64760A">
        <w:rPr>
          <w:rFonts w:ascii="Times New Roman" w:eastAsia="Times New Roman" w:hAnsi="Times New Roman" w:cs="Times New Roman"/>
        </w:rPr>
        <w:t xml:space="preserve">. Gerencialmente, evidencia que las políticas de fomento deben priorizar la estructuración institucional y tecnológica en regiones periféricas para democratizar el control social. </w:t>
      </w:r>
    </w:p>
    <w:p w14:paraId="494964DC" w14:textId="6082AEC1" w:rsidR="2F35AEDB" w:rsidRDefault="2F35AEDB" w:rsidP="7C64760A">
      <w:pPr>
        <w:spacing w:after="0" w:line="240" w:lineRule="auto"/>
        <w:jc w:val="both"/>
      </w:pPr>
      <w:r w:rsidRPr="7C64760A">
        <w:rPr>
          <w:rFonts w:ascii="Times New Roman" w:eastAsia="Times New Roman" w:hAnsi="Times New Roman" w:cs="Times New Roman"/>
          <w:b/>
          <w:bCs/>
        </w:rPr>
        <w:t>Palabras clave:</w:t>
      </w:r>
      <w:r w:rsidRPr="7C64760A">
        <w:rPr>
          <w:rFonts w:ascii="Times New Roman" w:eastAsia="Times New Roman" w:hAnsi="Times New Roman" w:cs="Times New Roman"/>
        </w:rPr>
        <w:t xml:space="preserve"> Transparencia; Fundaciones de Apoyo; Tercer Sector; Divulgación; Ingresos.</w:t>
      </w:r>
    </w:p>
    <w:p w14:paraId="1F8B5D56" w14:textId="483B78E6" w:rsidR="7C64760A" w:rsidRDefault="7C64760A" w:rsidP="7C64760A">
      <w:pPr>
        <w:spacing w:after="0" w:line="240" w:lineRule="auto"/>
        <w:jc w:val="both"/>
        <w:rPr>
          <w:rFonts w:ascii="Times New Roman" w:eastAsia="Times New Roman" w:hAnsi="Times New Roman" w:cs="Times New Roman"/>
        </w:rPr>
      </w:pPr>
    </w:p>
    <w:p w14:paraId="43E42EF6" w14:textId="0920BC4D" w:rsidR="00946FEE" w:rsidRDefault="241D4344" w:rsidP="7C64760A">
      <w:pPr>
        <w:spacing w:after="0" w:line="240" w:lineRule="auto"/>
        <w:jc w:val="both"/>
        <w:rPr>
          <w:rFonts w:ascii="Times New Roman" w:eastAsia="Times New Roman" w:hAnsi="Times New Roman" w:cs="Times New Roman"/>
        </w:rPr>
      </w:pPr>
      <w:r w:rsidRPr="7C64760A">
        <w:rPr>
          <w:rFonts w:ascii="Times New Roman" w:eastAsia="Times New Roman" w:hAnsi="Times New Roman" w:cs="Times New Roman"/>
          <w:b/>
          <w:bCs/>
        </w:rPr>
        <w:t>1. Introdução</w:t>
      </w:r>
    </w:p>
    <w:p w14:paraId="2BA5BF77" w14:textId="52D84FB5" w:rsidR="00946FEE" w:rsidRDefault="00C035EA" w:rsidP="30909213">
      <w:pPr>
        <w:spacing w:after="0" w:line="240" w:lineRule="auto"/>
        <w:ind w:firstLine="709"/>
        <w:jc w:val="both"/>
      </w:pPr>
      <w:r>
        <w:rPr>
          <w:rFonts w:ascii="Times New Roman" w:eastAsia="Times New Roman" w:hAnsi="Times New Roman" w:cs="Times New Roman"/>
        </w:rPr>
        <w:t>As organizações do</w:t>
      </w:r>
      <w:r w:rsidRPr="30909213">
        <w:rPr>
          <w:rFonts w:ascii="Times New Roman" w:eastAsia="Times New Roman" w:hAnsi="Times New Roman" w:cs="Times New Roman"/>
        </w:rPr>
        <w:t xml:space="preserve"> </w:t>
      </w:r>
      <w:r w:rsidR="37EB9A2E" w:rsidRPr="30909213">
        <w:rPr>
          <w:rFonts w:ascii="Times New Roman" w:eastAsia="Times New Roman" w:hAnsi="Times New Roman" w:cs="Times New Roman"/>
        </w:rPr>
        <w:t>terceiro setor atua</w:t>
      </w:r>
      <w:r>
        <w:rPr>
          <w:rFonts w:ascii="Times New Roman" w:eastAsia="Times New Roman" w:hAnsi="Times New Roman" w:cs="Times New Roman"/>
        </w:rPr>
        <w:t>m</w:t>
      </w:r>
      <w:r w:rsidR="37EB9A2E" w:rsidRPr="30909213">
        <w:rPr>
          <w:rFonts w:ascii="Times New Roman" w:eastAsia="Times New Roman" w:hAnsi="Times New Roman" w:cs="Times New Roman"/>
        </w:rPr>
        <w:t xml:space="preserve"> </w:t>
      </w:r>
      <w:r>
        <w:rPr>
          <w:rFonts w:ascii="Times New Roman" w:eastAsia="Times New Roman" w:hAnsi="Times New Roman" w:cs="Times New Roman"/>
        </w:rPr>
        <w:t>como agentes</w:t>
      </w:r>
      <w:r w:rsidR="37EB9A2E" w:rsidRPr="30909213">
        <w:rPr>
          <w:rFonts w:ascii="Times New Roman" w:eastAsia="Times New Roman" w:hAnsi="Times New Roman" w:cs="Times New Roman"/>
        </w:rPr>
        <w:t xml:space="preserve"> do desenvolvimento</w:t>
      </w:r>
      <w:r>
        <w:rPr>
          <w:rFonts w:ascii="Times New Roman" w:eastAsia="Times New Roman" w:hAnsi="Times New Roman" w:cs="Times New Roman"/>
        </w:rPr>
        <w:t xml:space="preserve"> em diversas áreas, incluindo a</w:t>
      </w:r>
      <w:r w:rsidR="37EB9A2E" w:rsidRPr="30909213">
        <w:rPr>
          <w:rFonts w:ascii="Times New Roman" w:eastAsia="Times New Roman" w:hAnsi="Times New Roman" w:cs="Times New Roman"/>
        </w:rPr>
        <w:t xml:space="preserve"> social, cultural e ambiental (Castro et al., 2022; Tello-Gamarra &amp; Verschoore, 2015; Salamon &amp; Anheier, 1997). </w:t>
      </w:r>
      <w:r w:rsidRPr="30909213">
        <w:rPr>
          <w:rFonts w:ascii="Times New Roman" w:eastAsia="Times New Roman" w:hAnsi="Times New Roman" w:cs="Times New Roman"/>
        </w:rPr>
        <w:t>N</w:t>
      </w:r>
      <w:r>
        <w:rPr>
          <w:rFonts w:ascii="Times New Roman" w:eastAsia="Times New Roman" w:hAnsi="Times New Roman" w:cs="Times New Roman"/>
        </w:rPr>
        <w:t>o</w:t>
      </w:r>
      <w:r w:rsidRPr="30909213">
        <w:rPr>
          <w:rFonts w:ascii="Times New Roman" w:eastAsia="Times New Roman" w:hAnsi="Times New Roman" w:cs="Times New Roman"/>
        </w:rPr>
        <w:t xml:space="preserve"> </w:t>
      </w:r>
      <w:r w:rsidR="37EB9A2E" w:rsidRPr="30909213">
        <w:rPr>
          <w:rFonts w:ascii="Times New Roman" w:eastAsia="Times New Roman" w:hAnsi="Times New Roman" w:cs="Times New Roman"/>
        </w:rPr>
        <w:t>contexto</w:t>
      </w:r>
      <w:r>
        <w:rPr>
          <w:rFonts w:ascii="Times New Roman" w:eastAsia="Times New Roman" w:hAnsi="Times New Roman" w:cs="Times New Roman"/>
        </w:rPr>
        <w:t xml:space="preserve"> acadêmico</w:t>
      </w:r>
      <w:r w:rsidR="37EB9A2E" w:rsidRPr="30909213">
        <w:rPr>
          <w:rFonts w:ascii="Times New Roman" w:eastAsia="Times New Roman" w:hAnsi="Times New Roman" w:cs="Times New Roman"/>
        </w:rPr>
        <w:t xml:space="preserve">, as fundações de apoio configuram </w:t>
      </w:r>
      <w:r>
        <w:rPr>
          <w:rFonts w:ascii="Times New Roman" w:eastAsia="Times New Roman" w:hAnsi="Times New Roman" w:cs="Times New Roman"/>
        </w:rPr>
        <w:t>como braços operacionais do</w:t>
      </w:r>
      <w:r w:rsidR="37EB9A2E" w:rsidRPr="30909213">
        <w:rPr>
          <w:rFonts w:ascii="Times New Roman" w:eastAsia="Times New Roman" w:hAnsi="Times New Roman" w:cs="Times New Roman"/>
        </w:rPr>
        <w:t xml:space="preserve"> direito privado</w:t>
      </w:r>
      <w:r>
        <w:rPr>
          <w:rFonts w:ascii="Times New Roman" w:eastAsia="Times New Roman" w:hAnsi="Times New Roman" w:cs="Times New Roman"/>
        </w:rPr>
        <w:t>,</w:t>
      </w:r>
      <w:r w:rsidR="37EB9A2E" w:rsidRPr="30909213">
        <w:rPr>
          <w:rFonts w:ascii="Times New Roman" w:eastAsia="Times New Roman" w:hAnsi="Times New Roman" w:cs="Times New Roman"/>
        </w:rPr>
        <w:t xml:space="preserve"> criadas para </w:t>
      </w:r>
      <w:r>
        <w:rPr>
          <w:rFonts w:ascii="Times New Roman" w:eastAsia="Times New Roman" w:hAnsi="Times New Roman" w:cs="Times New Roman"/>
        </w:rPr>
        <w:t>viabilizar o fomento à</w:t>
      </w:r>
      <w:r w:rsidR="37EB9A2E" w:rsidRPr="30909213">
        <w:rPr>
          <w:rFonts w:ascii="Times New Roman" w:eastAsia="Times New Roman" w:hAnsi="Times New Roman" w:cs="Times New Roman"/>
        </w:rPr>
        <w:t xml:space="preserve"> pesquisa e extensão </w:t>
      </w:r>
      <w:r>
        <w:rPr>
          <w:rFonts w:ascii="Times New Roman" w:eastAsia="Times New Roman" w:hAnsi="Times New Roman" w:cs="Times New Roman"/>
        </w:rPr>
        <w:t>universitária</w:t>
      </w:r>
      <w:r w:rsidR="37EB9A2E" w:rsidRPr="30909213">
        <w:rPr>
          <w:rFonts w:ascii="Times New Roman" w:eastAsia="Times New Roman" w:hAnsi="Times New Roman" w:cs="Times New Roman"/>
        </w:rPr>
        <w:t xml:space="preserve"> (Paes, 2001). </w:t>
      </w:r>
      <w:r>
        <w:rPr>
          <w:rFonts w:ascii="Times New Roman" w:eastAsia="Times New Roman" w:hAnsi="Times New Roman" w:cs="Times New Roman"/>
        </w:rPr>
        <w:t xml:space="preserve">Essa natureza institucional permite que tais entidades atuem diretamente na </w:t>
      </w:r>
      <w:r w:rsidR="37EB9A2E" w:rsidRPr="30909213">
        <w:rPr>
          <w:rFonts w:ascii="Times New Roman" w:eastAsia="Times New Roman" w:hAnsi="Times New Roman" w:cs="Times New Roman"/>
        </w:rPr>
        <w:t xml:space="preserve">captação e alocação de recursos </w:t>
      </w:r>
      <w:r>
        <w:rPr>
          <w:rFonts w:ascii="Times New Roman" w:eastAsia="Times New Roman" w:hAnsi="Times New Roman" w:cs="Times New Roman"/>
        </w:rPr>
        <w:t>voltados à inovação científica e tecnológica</w:t>
      </w:r>
      <w:r w:rsidR="37EB9A2E" w:rsidRPr="30909213">
        <w:rPr>
          <w:rFonts w:ascii="Times New Roman" w:eastAsia="Times New Roman" w:hAnsi="Times New Roman" w:cs="Times New Roman"/>
        </w:rPr>
        <w:t xml:space="preserve"> no país (Carneiro et al., 2011).</w:t>
      </w:r>
    </w:p>
    <w:p w14:paraId="73124144" w14:textId="5D253A4E" w:rsidR="00946FEE" w:rsidRDefault="1BF39991" w:rsidP="30909213">
      <w:pPr>
        <w:spacing w:after="0" w:line="240" w:lineRule="auto"/>
        <w:ind w:firstLine="709"/>
        <w:jc w:val="both"/>
      </w:pPr>
      <w:r w:rsidRPr="7C64760A">
        <w:rPr>
          <w:rFonts w:ascii="Times New Roman" w:eastAsia="Times New Roman" w:hAnsi="Times New Roman" w:cs="Times New Roman"/>
        </w:rPr>
        <w:t>Sob essa ótica, a viabilidade financeira dessas organizações depende de fontes distintas, como transferências governamentais, convênios, doações e receitas próprias (Salamon &amp; Anheier, 1997). Devido a essa multiplicidade de frentes de captação, a transparência e a prestação de contas representam elementos condicionantes para a governança (Carneiro et al., 2011). Assim, a evidenciação de informações assegura a integridade perante financiadores e a sociedade (</w:t>
      </w:r>
      <w:r w:rsidR="77659177" w:rsidRPr="7C64760A">
        <w:rPr>
          <w:rFonts w:ascii="Times New Roman" w:eastAsia="Times New Roman" w:hAnsi="Times New Roman" w:cs="Times New Roman"/>
        </w:rPr>
        <w:t>Cruz Cunha &amp; Matias-Pereira, 2012</w:t>
      </w:r>
      <w:r w:rsidRPr="7C64760A">
        <w:rPr>
          <w:rFonts w:ascii="Times New Roman" w:eastAsia="Times New Roman" w:hAnsi="Times New Roman" w:cs="Times New Roman"/>
        </w:rPr>
        <w:t>; Gandia, 2011).</w:t>
      </w:r>
    </w:p>
    <w:p w14:paraId="22C3CEC3" w14:textId="1DB2574F" w:rsidR="0035516B" w:rsidRDefault="37EB9A2E" w:rsidP="30909213">
      <w:pPr>
        <w:spacing w:after="0" w:line="240" w:lineRule="auto"/>
        <w:ind w:firstLine="709"/>
        <w:jc w:val="both"/>
        <w:rPr>
          <w:rFonts w:ascii="Times New Roman" w:eastAsia="Times New Roman" w:hAnsi="Times New Roman" w:cs="Times New Roman"/>
        </w:rPr>
      </w:pPr>
      <w:r w:rsidRPr="30909213">
        <w:rPr>
          <w:rFonts w:ascii="Times New Roman" w:eastAsia="Times New Roman" w:hAnsi="Times New Roman" w:cs="Times New Roman"/>
        </w:rPr>
        <w:t>Todavia, a literatura carece de investigações sobre como os determinantes financeiros e as estruturas institucionais afetam o nível de evidenciação dessas entidades</w:t>
      </w:r>
      <w:r w:rsidR="0051718D">
        <w:rPr>
          <w:rFonts w:ascii="Times New Roman" w:eastAsia="Times New Roman" w:hAnsi="Times New Roman" w:cs="Times New Roman"/>
        </w:rPr>
        <w:t xml:space="preserve"> ()</w:t>
      </w:r>
      <w:r w:rsidRPr="30909213">
        <w:rPr>
          <w:rFonts w:ascii="Times New Roman" w:eastAsia="Times New Roman" w:hAnsi="Times New Roman" w:cs="Times New Roman"/>
        </w:rPr>
        <w:t xml:space="preserve">. Para suprir essa lacuna, o objetivo geral deste estudo é analisar o impacto de variáveis financeiras e estruturais sobre o nível de transparência das fundações de apoio à pesquisa no Brasil. </w:t>
      </w:r>
      <w:r w:rsidR="00A7594D">
        <w:rPr>
          <w:rFonts w:ascii="Times New Roman" w:eastAsia="Times New Roman" w:hAnsi="Times New Roman" w:cs="Times New Roman"/>
        </w:rPr>
        <w:t xml:space="preserve"> </w:t>
      </w:r>
      <w:r w:rsidRPr="30909213">
        <w:rPr>
          <w:rFonts w:ascii="Times New Roman" w:eastAsia="Times New Roman" w:hAnsi="Times New Roman" w:cs="Times New Roman"/>
        </w:rPr>
        <w:t>Nesse sentido, o estudo justifica-se pela expansão das fundações de apoio no ambiente científico brasileiro, cenário que requer monitoramento normativo das contas (Santos et al., 2017).</w:t>
      </w:r>
    </w:p>
    <w:p w14:paraId="216C7110" w14:textId="7EE87C6B" w:rsidR="00946FEE" w:rsidRDefault="37EB9A2E" w:rsidP="30909213">
      <w:pPr>
        <w:spacing w:after="0" w:line="240" w:lineRule="auto"/>
        <w:ind w:firstLine="709"/>
        <w:jc w:val="both"/>
        <w:rPr>
          <w:rFonts w:ascii="Times New Roman" w:eastAsia="Times New Roman" w:hAnsi="Times New Roman" w:cs="Times New Roman"/>
        </w:rPr>
      </w:pPr>
      <w:r w:rsidRPr="30909213">
        <w:rPr>
          <w:rFonts w:ascii="Times New Roman" w:eastAsia="Times New Roman" w:hAnsi="Times New Roman" w:cs="Times New Roman"/>
        </w:rPr>
        <w:t xml:space="preserve">Adicionalmente, as organizações enfrentam pressões operacionais que moldam </w:t>
      </w:r>
      <w:r w:rsidR="0035516B">
        <w:rPr>
          <w:rFonts w:ascii="Times New Roman" w:eastAsia="Times New Roman" w:hAnsi="Times New Roman" w:cs="Times New Roman"/>
        </w:rPr>
        <w:t>su</w:t>
      </w:r>
      <w:r w:rsidRPr="30909213">
        <w:rPr>
          <w:rFonts w:ascii="Times New Roman" w:eastAsia="Times New Roman" w:hAnsi="Times New Roman" w:cs="Times New Roman"/>
        </w:rPr>
        <w:t>as respectivas rotinas (Khieng, 2014)</w:t>
      </w:r>
      <w:r w:rsidR="0035516B">
        <w:rPr>
          <w:rFonts w:ascii="Times New Roman" w:eastAsia="Times New Roman" w:hAnsi="Times New Roman" w:cs="Times New Roman"/>
        </w:rPr>
        <w:t xml:space="preserve"> e, p</w:t>
      </w:r>
      <w:r w:rsidRPr="30909213">
        <w:rPr>
          <w:rFonts w:ascii="Times New Roman" w:eastAsia="Times New Roman" w:hAnsi="Times New Roman" w:cs="Times New Roman"/>
        </w:rPr>
        <w:t>or conseguinte, a verificação da prestação de contas ampara a legitimidade e o suporte dos órgãos de controle (Almeida, 2014; Nascimento et al., 2020).</w:t>
      </w:r>
      <w:r w:rsidR="00A7594D">
        <w:rPr>
          <w:rFonts w:ascii="Times New Roman" w:eastAsia="Times New Roman" w:hAnsi="Times New Roman" w:cs="Times New Roman"/>
        </w:rPr>
        <w:t xml:space="preserve"> Isso deve-se ao fato de que a transparência nos relatórios de prestação de contas vai além da mera obrigação legal, consolidando-se como um mecanismo de manutenção da legitimidade social e continuidade da captação de recursos. Segundo Paes (2001), as fundações de apoio possuem o dever intrínseco de evidenciar a aplicação de seus recursos de forma clara e precisa, dada sua natureza jurídica de direito privado voltada ao interesse público.</w:t>
      </w:r>
    </w:p>
    <w:p w14:paraId="269836C3" w14:textId="4A7E9BB0" w:rsidR="00A7594D" w:rsidRDefault="00A7594D" w:rsidP="30909213">
      <w:pPr>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Como reforça Slomski (2014), ao discutir a gestão pública e as entidades de interesse social, a transparência atua como um alicerce fundamental de </w:t>
      </w:r>
      <w:r>
        <w:rPr>
          <w:rFonts w:ascii="Times New Roman" w:eastAsia="Times New Roman" w:hAnsi="Times New Roman" w:cs="Times New Roman"/>
          <w:i/>
          <w:iCs/>
        </w:rPr>
        <w:t xml:space="preserve">accountability, </w:t>
      </w:r>
      <w:r>
        <w:rPr>
          <w:rFonts w:ascii="Times New Roman" w:eastAsia="Times New Roman" w:hAnsi="Times New Roman" w:cs="Times New Roman"/>
        </w:rPr>
        <w:t xml:space="preserve">permitindo que a sociedade e os órgãos de fomento monitorem a eficiência na alocação de verbas destinadas à </w:t>
      </w:r>
      <w:r>
        <w:rPr>
          <w:rFonts w:ascii="Times New Roman" w:eastAsia="Times New Roman" w:hAnsi="Times New Roman" w:cs="Times New Roman"/>
        </w:rPr>
        <w:lastRenderedPageBreak/>
        <w:t>ciência e tecnologia, transformando o relatório contábil em um instrumento estratégico de governança e controle social.</w:t>
      </w:r>
    </w:p>
    <w:p w14:paraId="5FA46B95" w14:textId="50DC487D" w:rsidR="00A7594D" w:rsidRPr="00A7594D" w:rsidRDefault="00A7594D" w:rsidP="30909213">
      <w:pPr>
        <w:spacing w:after="0" w:line="240" w:lineRule="auto"/>
        <w:ind w:firstLine="709"/>
        <w:jc w:val="both"/>
      </w:pPr>
      <w:r>
        <w:rPr>
          <w:rFonts w:ascii="Times New Roman" w:eastAsia="Times New Roman" w:hAnsi="Times New Roman" w:cs="Times New Roman"/>
        </w:rPr>
        <w:t xml:space="preserve">Sob a ótica da teoria contábil, </w:t>
      </w:r>
      <w:r w:rsidRPr="00A7594D">
        <w:rPr>
          <w:rFonts w:ascii="Times New Roman" w:eastAsia="Times New Roman" w:hAnsi="Times New Roman" w:cs="Times New Roman"/>
        </w:rPr>
        <w:t xml:space="preserve">a qualidade da evidenciação financeira é o principal mecanismo para </w:t>
      </w:r>
      <w:r>
        <w:rPr>
          <w:rFonts w:ascii="Times New Roman" w:eastAsia="Times New Roman" w:hAnsi="Times New Roman" w:cs="Times New Roman"/>
        </w:rPr>
        <w:t>suprir a necessidade de informações públicas</w:t>
      </w:r>
      <w:r w:rsidRPr="00A7594D">
        <w:rPr>
          <w:rFonts w:ascii="Times New Roman" w:eastAsia="Times New Roman" w:hAnsi="Times New Roman" w:cs="Times New Roman"/>
        </w:rPr>
        <w:t>. Conforme aponta Gandia (20</w:t>
      </w:r>
      <w:r w:rsidR="005047F5">
        <w:rPr>
          <w:rFonts w:ascii="Times New Roman" w:eastAsia="Times New Roman" w:hAnsi="Times New Roman" w:cs="Times New Roman"/>
        </w:rPr>
        <w:t>11</w:t>
      </w:r>
      <w:r w:rsidRPr="00A7594D">
        <w:rPr>
          <w:rFonts w:ascii="Times New Roman" w:eastAsia="Times New Roman" w:hAnsi="Times New Roman" w:cs="Times New Roman"/>
        </w:rPr>
        <w:t>), a adoção de modelos de </w:t>
      </w:r>
      <w:r w:rsidRPr="00A7594D">
        <w:rPr>
          <w:rFonts w:ascii="Times New Roman" w:eastAsia="Times New Roman" w:hAnsi="Times New Roman" w:cs="Times New Roman"/>
          <w:i/>
          <w:iCs/>
        </w:rPr>
        <w:t>disclosure</w:t>
      </w:r>
      <w:r w:rsidRPr="00A7594D">
        <w:rPr>
          <w:rFonts w:ascii="Times New Roman" w:eastAsia="Times New Roman" w:hAnsi="Times New Roman" w:cs="Times New Roman"/>
        </w:rPr>
        <w:t xml:space="preserve"> robustos permite que a entidade demonstre não apenas o montante de suas receitas, mas a conformidade de sua gestão com os objetivos </w:t>
      </w:r>
      <w:r>
        <w:rPr>
          <w:rFonts w:ascii="Times New Roman" w:eastAsia="Times New Roman" w:hAnsi="Times New Roman" w:cs="Times New Roman"/>
        </w:rPr>
        <w:t>finais da instituição</w:t>
      </w:r>
      <w:r w:rsidRPr="00A7594D">
        <w:rPr>
          <w:rFonts w:ascii="Times New Roman" w:eastAsia="Times New Roman" w:hAnsi="Times New Roman" w:cs="Times New Roman"/>
        </w:rPr>
        <w:t>. Nesse sentido, Iudícibus et al. (20</w:t>
      </w:r>
      <w:r w:rsidR="000D73DE">
        <w:rPr>
          <w:rFonts w:ascii="Times New Roman" w:eastAsia="Times New Roman" w:hAnsi="Times New Roman" w:cs="Times New Roman"/>
        </w:rPr>
        <w:t>22</w:t>
      </w:r>
      <w:r w:rsidRPr="00A7594D">
        <w:rPr>
          <w:rFonts w:ascii="Times New Roman" w:eastAsia="Times New Roman" w:hAnsi="Times New Roman" w:cs="Times New Roman"/>
        </w:rPr>
        <w:t xml:space="preserve">) salientam que a evidenciação plena e tempestiva </w:t>
      </w:r>
      <w:r>
        <w:rPr>
          <w:rFonts w:ascii="Times New Roman" w:eastAsia="Times New Roman" w:hAnsi="Times New Roman" w:cs="Times New Roman"/>
        </w:rPr>
        <w:t xml:space="preserve">também </w:t>
      </w:r>
      <w:r w:rsidRPr="00A7594D">
        <w:rPr>
          <w:rFonts w:ascii="Times New Roman" w:eastAsia="Times New Roman" w:hAnsi="Times New Roman" w:cs="Times New Roman"/>
        </w:rPr>
        <w:t xml:space="preserve">é indispensável para reduzir o </w:t>
      </w:r>
      <w:r w:rsidRPr="002D4CE2">
        <w:rPr>
          <w:rFonts w:ascii="Times New Roman" w:eastAsia="Times New Roman" w:hAnsi="Times New Roman" w:cs="Times New Roman"/>
          <w:i/>
          <w:iCs/>
        </w:rPr>
        <w:t>gap</w:t>
      </w:r>
      <w:r w:rsidRPr="00A7594D">
        <w:rPr>
          <w:rFonts w:ascii="Times New Roman" w:eastAsia="Times New Roman" w:hAnsi="Times New Roman" w:cs="Times New Roman"/>
        </w:rPr>
        <w:t xml:space="preserve"> informacional entre gestores e doadores, assegurando que o usuário da informação tenha acesso a dados fidedignos e comparáveis, independentemente das limitações orçamentárias ou estruturais da organização.</w:t>
      </w:r>
    </w:p>
    <w:p w14:paraId="26D2A2D7" w14:textId="37FA0544" w:rsidR="00946FEE" w:rsidRDefault="37EB9A2E" w:rsidP="30909213">
      <w:pPr>
        <w:spacing w:after="0" w:line="240" w:lineRule="auto"/>
        <w:ind w:firstLine="709"/>
        <w:jc w:val="both"/>
      </w:pPr>
      <w:r w:rsidRPr="30909213">
        <w:rPr>
          <w:rFonts w:ascii="Times New Roman" w:eastAsia="Times New Roman" w:hAnsi="Times New Roman" w:cs="Times New Roman"/>
        </w:rPr>
        <w:t xml:space="preserve">Em termos metodológicos, </w:t>
      </w:r>
      <w:r w:rsidR="00A7594D">
        <w:rPr>
          <w:rFonts w:ascii="Times New Roman" w:eastAsia="Times New Roman" w:hAnsi="Times New Roman" w:cs="Times New Roman"/>
        </w:rPr>
        <w:t>esta</w:t>
      </w:r>
      <w:r w:rsidRPr="30909213">
        <w:rPr>
          <w:rFonts w:ascii="Times New Roman" w:eastAsia="Times New Roman" w:hAnsi="Times New Roman" w:cs="Times New Roman"/>
        </w:rPr>
        <w:t xml:space="preserve"> pesquisa aplicou estatística descritiva e testes não paramétricos, processados em linguagem Python. A partir dessas técnicas, quantificou-se o nível de transparência em três categorias: Informações Gerais, Governança e Informações Financeiras, e Apresentação e Navegação. Sequencialmente, utilizaram-se os testes de correlação de Spearman e de Kruskal-Wallis para aferir as hipóteses propostas.</w:t>
      </w:r>
    </w:p>
    <w:p w14:paraId="6F5BF912" w14:textId="33C566C4" w:rsidR="00946FEE" w:rsidRDefault="37EB9A2E" w:rsidP="30909213">
      <w:pPr>
        <w:spacing w:after="0" w:line="240" w:lineRule="auto"/>
        <w:ind w:firstLine="709"/>
        <w:jc w:val="both"/>
      </w:pPr>
      <w:r w:rsidRPr="30909213">
        <w:rPr>
          <w:rFonts w:ascii="Times New Roman" w:eastAsia="Times New Roman" w:hAnsi="Times New Roman" w:cs="Times New Roman"/>
        </w:rPr>
        <w:t xml:space="preserve">Por fim, os resultados avançam em relação às pesquisas anteriores ao cruzar métricas financeiras de dependência com avaliações de governança e recortes geográficos. Dessa forma, as descobertas auxiliam gestores e reguladores na compreensão das dinâmicas do </w:t>
      </w:r>
      <w:r w:rsidRPr="002D4CE2">
        <w:rPr>
          <w:rFonts w:ascii="Times New Roman" w:eastAsia="Times New Roman" w:hAnsi="Times New Roman" w:cs="Times New Roman"/>
          <w:i/>
          <w:iCs/>
        </w:rPr>
        <w:t>disclosure</w:t>
      </w:r>
      <w:r w:rsidRPr="30909213">
        <w:rPr>
          <w:rFonts w:ascii="Times New Roman" w:eastAsia="Times New Roman" w:hAnsi="Times New Roman" w:cs="Times New Roman"/>
        </w:rPr>
        <w:t xml:space="preserve"> no terceiro setor. Além disso, os achados fornecem subsídios para o aprimoramento de políticas de controle social, desvinculando a transparência da arrecadação financeira e associando-a à maturidade institucional.</w:t>
      </w:r>
    </w:p>
    <w:p w14:paraId="07F95BB4" w14:textId="4233832E" w:rsidR="00946FEE" w:rsidRDefault="00946FEE" w:rsidP="30909213">
      <w:pPr>
        <w:spacing w:after="0" w:line="240" w:lineRule="auto"/>
        <w:jc w:val="both"/>
        <w:rPr>
          <w:rFonts w:ascii="Times New Roman" w:eastAsia="Times New Roman" w:hAnsi="Times New Roman" w:cs="Times New Roman"/>
          <w:color w:val="FF0000"/>
        </w:rPr>
      </w:pPr>
    </w:p>
    <w:p w14:paraId="758EBBC6" w14:textId="0131EEF7" w:rsidR="241D4344" w:rsidRDefault="241D4344" w:rsidP="7C64760A">
      <w:pPr>
        <w:spacing w:after="0" w:line="240" w:lineRule="auto"/>
        <w:jc w:val="both"/>
        <w:rPr>
          <w:rFonts w:ascii="Times New Roman" w:eastAsia="Times New Roman" w:hAnsi="Times New Roman" w:cs="Times New Roman"/>
        </w:rPr>
      </w:pPr>
      <w:r w:rsidRPr="7C64760A">
        <w:rPr>
          <w:rFonts w:ascii="Times New Roman" w:eastAsia="Times New Roman" w:hAnsi="Times New Roman" w:cs="Times New Roman"/>
          <w:b/>
          <w:bCs/>
        </w:rPr>
        <w:t xml:space="preserve">2. </w:t>
      </w:r>
      <w:r w:rsidR="6CADC444" w:rsidRPr="7C64760A">
        <w:rPr>
          <w:rFonts w:ascii="Times New Roman" w:eastAsia="Times New Roman" w:hAnsi="Times New Roman" w:cs="Times New Roman"/>
          <w:b/>
          <w:bCs/>
        </w:rPr>
        <w:t>Revisão da Literatura</w:t>
      </w:r>
    </w:p>
    <w:p w14:paraId="4455DBA0" w14:textId="417ADE66" w:rsidR="00946FEE" w:rsidRDefault="7BFCE2D3" w:rsidP="30909213">
      <w:pPr>
        <w:spacing w:after="0" w:line="240" w:lineRule="auto"/>
        <w:jc w:val="both"/>
        <w:rPr>
          <w:rFonts w:ascii="Times New Roman" w:eastAsia="Times New Roman" w:hAnsi="Times New Roman" w:cs="Times New Roman"/>
        </w:rPr>
      </w:pPr>
      <w:r w:rsidRPr="30909213">
        <w:rPr>
          <w:rFonts w:ascii="Times New Roman" w:eastAsia="Times New Roman" w:hAnsi="Times New Roman" w:cs="Times New Roman"/>
          <w:b/>
          <w:bCs/>
        </w:rPr>
        <w:t>2.1 Modelos de divulgação de informações</w:t>
      </w:r>
    </w:p>
    <w:p w14:paraId="703C8D0B" w14:textId="47C01803" w:rsidR="00946FEE" w:rsidRDefault="241D4344" w:rsidP="7C64760A">
      <w:pPr>
        <w:spacing w:after="0" w:line="240" w:lineRule="auto"/>
        <w:ind w:firstLine="709"/>
        <w:jc w:val="both"/>
        <w:rPr>
          <w:rFonts w:ascii="Times New Roman" w:eastAsia="Times New Roman" w:hAnsi="Times New Roman" w:cs="Times New Roman"/>
        </w:rPr>
      </w:pPr>
      <w:r w:rsidRPr="7C64760A">
        <w:rPr>
          <w:rFonts w:ascii="Times New Roman" w:eastAsia="Times New Roman" w:hAnsi="Times New Roman" w:cs="Times New Roman"/>
        </w:rPr>
        <w:t>A literatura atual nos mostra que há diferentes modelos de divulgação de informações e diferentes mecanismos de análise da transparência das informações prestadas (Verrecchia, 2001). Ressalta-se nesse estudo o modelo proposto por Gandia (20</w:t>
      </w:r>
      <w:r w:rsidR="2928CCC0" w:rsidRPr="7C64760A">
        <w:rPr>
          <w:rFonts w:ascii="Times New Roman" w:eastAsia="Times New Roman" w:hAnsi="Times New Roman" w:cs="Times New Roman"/>
        </w:rPr>
        <w:t>11</w:t>
      </w:r>
      <w:r w:rsidRPr="7C64760A">
        <w:rPr>
          <w:rFonts w:ascii="Times New Roman" w:eastAsia="Times New Roman" w:hAnsi="Times New Roman" w:cs="Times New Roman"/>
        </w:rPr>
        <w:t>), o qual é utilizado na metodologia deste estudo.</w:t>
      </w:r>
    </w:p>
    <w:p w14:paraId="799F7AE2" w14:textId="5A616E04" w:rsidR="00946FEE" w:rsidRDefault="241D4344" w:rsidP="7C64760A">
      <w:pPr>
        <w:spacing w:after="0" w:line="240" w:lineRule="auto"/>
        <w:ind w:firstLine="709"/>
        <w:jc w:val="both"/>
        <w:rPr>
          <w:rFonts w:ascii="Times New Roman" w:eastAsia="Times New Roman" w:hAnsi="Times New Roman" w:cs="Times New Roman"/>
        </w:rPr>
      </w:pPr>
      <w:r w:rsidRPr="7C64760A">
        <w:rPr>
          <w:rFonts w:ascii="Times New Roman" w:eastAsia="Times New Roman" w:hAnsi="Times New Roman" w:cs="Times New Roman"/>
        </w:rPr>
        <w:t>A aplicação do modelo de divulgação de informações proposto por Gandia (20</w:t>
      </w:r>
      <w:r w:rsidR="6127FDD5" w:rsidRPr="7C64760A">
        <w:rPr>
          <w:rFonts w:ascii="Times New Roman" w:eastAsia="Times New Roman" w:hAnsi="Times New Roman" w:cs="Times New Roman"/>
        </w:rPr>
        <w:t>11</w:t>
      </w:r>
      <w:r w:rsidRPr="7C64760A">
        <w:rPr>
          <w:rFonts w:ascii="Times New Roman" w:eastAsia="Times New Roman" w:hAnsi="Times New Roman" w:cs="Times New Roman"/>
        </w:rPr>
        <w:t>) tem contribuído para a análise e compreensão do contexto do terceiro setor, particularmente no que se refere à transparência e prestação de contas das organizações. Esse modelo reconhece que a divulgação de informações vai além das obrigações legais e contábeis, sendo influenciada por diversos fatores internos e externos que afetam a tomada de decisões e a legitimidade das organizações.</w:t>
      </w:r>
    </w:p>
    <w:p w14:paraId="059A9669" w14:textId="087FCB17" w:rsidR="00946FEE" w:rsidRDefault="7BFCE2D3" w:rsidP="30909213">
      <w:pPr>
        <w:spacing w:after="0" w:line="240" w:lineRule="auto"/>
        <w:ind w:firstLine="709"/>
        <w:jc w:val="both"/>
        <w:rPr>
          <w:rFonts w:ascii="Times New Roman" w:eastAsia="Times New Roman" w:hAnsi="Times New Roman" w:cs="Times New Roman"/>
        </w:rPr>
      </w:pPr>
      <w:r w:rsidRPr="30909213">
        <w:rPr>
          <w:rFonts w:ascii="Times New Roman" w:eastAsia="Times New Roman" w:hAnsi="Times New Roman" w:cs="Times New Roman"/>
        </w:rPr>
        <w:t>Ao considerar variáveis como tamanho, complexidade, diversidade de fontes de financiamento e pressão social, o modelo de Gandia destaca a importância de compreender as particularidades de cada organização do terceiro setor no processo de divulgação de informações. Por exemplo, organizações maiores e mais complexas tendem a enfrentar desafios adicionais na gestão da informação e na prestação de contas, devido à maior diversidade de atividades e fontes de financiamento envolvidas (Gandia, 2011).</w:t>
      </w:r>
    </w:p>
    <w:p w14:paraId="17358149" w14:textId="2C0700C3" w:rsidR="00946FEE" w:rsidRDefault="7BFCE2D3" w:rsidP="30909213">
      <w:pPr>
        <w:spacing w:after="0" w:line="240" w:lineRule="auto"/>
        <w:ind w:firstLine="709"/>
        <w:jc w:val="both"/>
        <w:rPr>
          <w:rFonts w:ascii="Times New Roman" w:eastAsia="Times New Roman" w:hAnsi="Times New Roman" w:cs="Times New Roman"/>
        </w:rPr>
      </w:pPr>
      <w:r w:rsidRPr="30909213">
        <w:rPr>
          <w:rFonts w:ascii="Times New Roman" w:eastAsia="Times New Roman" w:hAnsi="Times New Roman" w:cs="Times New Roman"/>
        </w:rPr>
        <w:t>Gandia (2011) ressalta ainda a relevância de considerar a pressão social exercida sobre a organização na análise do nível de divulgação das organizações, uma vez que a demanda por transparência e responsabilidade tem se tornado cada vez mais importante na sociedade contemporânea, sendo uma ferramenta teórica valiosa para entender os fatores que influenciam o nível de divulgação de informações e prestação de contas. Ao incorporar a dimensão da pressão social às características das organizações na análise do nível de divulgação de informações, tem-se uma base sólida para compreensão das práticas de divulgação de informações.</w:t>
      </w:r>
    </w:p>
    <w:p w14:paraId="3DC0C5C6" w14:textId="69BBB78C" w:rsidR="00946FEE" w:rsidRDefault="7BFCE2D3" w:rsidP="30909213">
      <w:pPr>
        <w:spacing w:after="0" w:line="240" w:lineRule="auto"/>
        <w:ind w:firstLine="709"/>
        <w:jc w:val="both"/>
        <w:rPr>
          <w:rFonts w:ascii="Times New Roman" w:eastAsia="Times New Roman" w:hAnsi="Times New Roman" w:cs="Times New Roman"/>
        </w:rPr>
      </w:pPr>
      <w:r w:rsidRPr="30909213">
        <w:rPr>
          <w:rFonts w:ascii="Times New Roman" w:eastAsia="Times New Roman" w:hAnsi="Times New Roman" w:cs="Times New Roman"/>
        </w:rPr>
        <w:t xml:space="preserve">O modelo proposto por Verrecchia (2001) também traz importantes contribuições para a pesquisa sobre divulgação de informações. Para ele, a divulgação de informações pode ser </w:t>
      </w:r>
      <w:r w:rsidRPr="30909213">
        <w:rPr>
          <w:rFonts w:ascii="Times New Roman" w:eastAsia="Times New Roman" w:hAnsi="Times New Roman" w:cs="Times New Roman"/>
        </w:rPr>
        <w:lastRenderedPageBreak/>
        <w:t>categorizada em três modelos matemáticos distintos, baseados na análise da associação, julgamento e eficiência.</w:t>
      </w:r>
    </w:p>
    <w:p w14:paraId="36EF26C3" w14:textId="72E5A42D" w:rsidR="00946FEE" w:rsidRDefault="7BFCE2D3" w:rsidP="30909213">
      <w:pPr>
        <w:spacing w:after="0" w:line="240" w:lineRule="auto"/>
        <w:ind w:firstLine="709"/>
        <w:jc w:val="both"/>
        <w:rPr>
          <w:rFonts w:ascii="Times New Roman" w:eastAsia="Times New Roman" w:hAnsi="Times New Roman" w:cs="Times New Roman"/>
        </w:rPr>
      </w:pPr>
      <w:r w:rsidRPr="30909213">
        <w:rPr>
          <w:rFonts w:ascii="Times New Roman" w:eastAsia="Times New Roman" w:hAnsi="Times New Roman" w:cs="Times New Roman"/>
        </w:rPr>
        <w:t>O modelo baseado em associação se concentra na análise das relações entre as informações divulgadas e as mudanças no comportamento dos investidores. Nesse tipo de pesquisa, os estudiosos buscam entender como a disponibilização de determinadas informações afeta as decisões dos investidores, sejam elas relacionadas à compra ou venda de ativos ou ao comportamento no mercado financeiro (Verrecchia, 2001).</w:t>
      </w:r>
    </w:p>
    <w:p w14:paraId="356E240C" w14:textId="758C0073" w:rsidR="00946FEE" w:rsidRDefault="7BFCE2D3" w:rsidP="30909213">
      <w:pPr>
        <w:spacing w:after="0" w:line="240" w:lineRule="auto"/>
        <w:ind w:firstLine="709"/>
        <w:jc w:val="both"/>
        <w:rPr>
          <w:rFonts w:ascii="Times New Roman" w:eastAsia="Times New Roman" w:hAnsi="Times New Roman" w:cs="Times New Roman"/>
        </w:rPr>
      </w:pPr>
      <w:r w:rsidRPr="30909213">
        <w:rPr>
          <w:rFonts w:ascii="Times New Roman" w:eastAsia="Times New Roman" w:hAnsi="Times New Roman" w:cs="Times New Roman"/>
        </w:rPr>
        <w:t>O modelo baseado em julgamento investiga como os gestores e/ou empresas decidem divulgar ou não determinadas informações. Nesse contexto, os pesquisadores analisam os critérios utilizados pelos gestores na tomada de decisão sobre quais informações devem ser tornadas públicas e quais devem ser mantidas em sigilo. Essa abordagem permite uma compreensão mais aprofundada dos fatores que influenciam as escolhas de divulgação das empresas e dos possíveis impactos dessas decisões no mercado e nos investidores (Verrecchia, 2001).</w:t>
      </w:r>
    </w:p>
    <w:p w14:paraId="5DD2C874" w14:textId="7B37341C" w:rsidR="00946FEE" w:rsidRDefault="7BFCE2D3" w:rsidP="30909213">
      <w:pPr>
        <w:spacing w:after="0" w:line="240" w:lineRule="auto"/>
        <w:ind w:firstLine="709"/>
        <w:jc w:val="both"/>
        <w:rPr>
          <w:rFonts w:ascii="Times New Roman" w:eastAsia="Times New Roman" w:hAnsi="Times New Roman" w:cs="Times New Roman"/>
        </w:rPr>
      </w:pPr>
      <w:r w:rsidRPr="30909213">
        <w:rPr>
          <w:rFonts w:ascii="Times New Roman" w:eastAsia="Times New Roman" w:hAnsi="Times New Roman" w:cs="Times New Roman"/>
        </w:rPr>
        <w:t>Por fim, o modelo baseado em eficiência explora qual conjunto de informações é preferido na ausência de conhecimento prévio sobre elas. Nesse tipo de pesquisa, os estudiosos buscam identificar as características que tornam uma divulgação mais eficiente em termos de transmissão de informação aos investidores. Através da análise de diferentes conjuntos de evidenciação, os pesquisadores podem entender quais tipos de informações são mais relevantes e úteis para os investidores na tomada de decisão. Essa abordagem contribui para aprimorar a eficiência da divulgação de informações nas empresas e no mercado como um todo (Verrecchia, 2001).</w:t>
      </w:r>
    </w:p>
    <w:p w14:paraId="00063B6E" w14:textId="30C2DF6E" w:rsidR="00946FEE" w:rsidRDefault="7BFCE2D3" w:rsidP="30909213">
      <w:pPr>
        <w:spacing w:after="0" w:line="240" w:lineRule="auto"/>
        <w:ind w:firstLine="709"/>
        <w:jc w:val="both"/>
        <w:rPr>
          <w:rFonts w:ascii="Times New Roman" w:eastAsia="Times New Roman" w:hAnsi="Times New Roman" w:cs="Times New Roman"/>
        </w:rPr>
      </w:pPr>
      <w:r w:rsidRPr="30909213">
        <w:rPr>
          <w:rFonts w:ascii="Times New Roman" w:eastAsia="Times New Roman" w:hAnsi="Times New Roman" w:cs="Times New Roman"/>
        </w:rPr>
        <w:t>A seção seguinte apresenta aspectos sobre a importância da transparência informativa.</w:t>
      </w:r>
    </w:p>
    <w:p w14:paraId="06DC4F5D" w14:textId="5523DD55" w:rsidR="00946FEE" w:rsidRDefault="00946FEE" w:rsidP="30909213">
      <w:pPr>
        <w:spacing w:after="0" w:line="240" w:lineRule="auto"/>
        <w:jc w:val="both"/>
        <w:rPr>
          <w:rFonts w:ascii="Times New Roman" w:eastAsia="Times New Roman" w:hAnsi="Times New Roman" w:cs="Times New Roman"/>
        </w:rPr>
      </w:pPr>
    </w:p>
    <w:p w14:paraId="0958954B" w14:textId="1E2691E8" w:rsidR="00946FEE" w:rsidRDefault="7BFCE2D3" w:rsidP="30909213">
      <w:pPr>
        <w:spacing w:after="0" w:line="240" w:lineRule="auto"/>
        <w:jc w:val="both"/>
        <w:rPr>
          <w:rFonts w:ascii="Times New Roman" w:eastAsia="Times New Roman" w:hAnsi="Times New Roman" w:cs="Times New Roman"/>
        </w:rPr>
      </w:pPr>
      <w:r w:rsidRPr="30909213">
        <w:rPr>
          <w:rFonts w:ascii="Times New Roman" w:eastAsia="Times New Roman" w:hAnsi="Times New Roman" w:cs="Times New Roman"/>
          <w:b/>
          <w:bCs/>
        </w:rPr>
        <w:t>2.2 Importância da transparência informativa</w:t>
      </w:r>
    </w:p>
    <w:p w14:paraId="5FFBB1AF" w14:textId="6113F6B3" w:rsidR="00946FEE" w:rsidRDefault="7BFCE2D3" w:rsidP="30909213">
      <w:pPr>
        <w:spacing w:after="0" w:line="240" w:lineRule="auto"/>
        <w:ind w:firstLine="708"/>
        <w:jc w:val="both"/>
        <w:rPr>
          <w:rFonts w:ascii="Times New Roman" w:eastAsia="Times New Roman" w:hAnsi="Times New Roman" w:cs="Times New Roman"/>
        </w:rPr>
      </w:pPr>
      <w:r w:rsidRPr="30909213">
        <w:rPr>
          <w:rFonts w:ascii="Times New Roman" w:eastAsia="Times New Roman" w:hAnsi="Times New Roman" w:cs="Times New Roman"/>
        </w:rPr>
        <w:t>A transparência informativa desempenha um papel fundamental no fortalecimento do terceiro setor e na criação de confiança entre doadores e a sociedade em geral (Almeida, 2014; Nascimento et al., 2020). Nesse sentido, ao adotar uma prestação de contas transparente, as fundações de apoio à pesquisa conseguem demonstrar de forma clara e precisa como os recursos recebidos estão sendo utilizados, garantindo a eficiência e a eficácia de suas ações.</w:t>
      </w:r>
    </w:p>
    <w:p w14:paraId="071879F1" w14:textId="56123757" w:rsidR="00946FEE" w:rsidRDefault="7BFCE2D3" w:rsidP="30909213">
      <w:pPr>
        <w:spacing w:after="0" w:line="240" w:lineRule="auto"/>
        <w:ind w:firstLine="708"/>
        <w:jc w:val="both"/>
        <w:rPr>
          <w:rFonts w:ascii="Times New Roman" w:eastAsia="Times New Roman" w:hAnsi="Times New Roman" w:cs="Times New Roman"/>
        </w:rPr>
      </w:pPr>
      <w:r w:rsidRPr="30909213">
        <w:rPr>
          <w:rFonts w:ascii="Times New Roman" w:eastAsia="Times New Roman" w:hAnsi="Times New Roman" w:cs="Times New Roman"/>
        </w:rPr>
        <w:t xml:space="preserve">Almeida (2014) também aponta para o fato de que a transparência informativa se torna um elemento chave para promover a </w:t>
      </w:r>
      <w:r w:rsidRPr="30909213">
        <w:rPr>
          <w:rFonts w:ascii="Times New Roman" w:eastAsia="Times New Roman" w:hAnsi="Times New Roman" w:cs="Times New Roman"/>
          <w:i/>
          <w:iCs/>
        </w:rPr>
        <w:t>accountability</w:t>
      </w:r>
      <w:r w:rsidRPr="30909213">
        <w:rPr>
          <w:rFonts w:ascii="Times New Roman" w:eastAsia="Times New Roman" w:hAnsi="Times New Roman" w:cs="Times New Roman"/>
        </w:rPr>
        <w:t xml:space="preserve"> e garantir o bom funcionamento das organizações e, com isso, concebe-se que a transparência também possibilita o monitoramento e a avaliação das atividades desenvolvidas pelas fundações, o que permite identificar práticas inadequadas e buscar melhorias na gestão.</w:t>
      </w:r>
    </w:p>
    <w:p w14:paraId="25E0C9BF" w14:textId="745E7A3F" w:rsidR="00946FEE" w:rsidRDefault="7BFCE2D3" w:rsidP="30909213">
      <w:pPr>
        <w:spacing w:after="0" w:line="240" w:lineRule="auto"/>
        <w:ind w:firstLine="708"/>
        <w:jc w:val="both"/>
        <w:rPr>
          <w:rFonts w:ascii="Times New Roman" w:eastAsia="Times New Roman" w:hAnsi="Times New Roman" w:cs="Times New Roman"/>
        </w:rPr>
      </w:pPr>
      <w:r w:rsidRPr="30909213">
        <w:rPr>
          <w:rFonts w:ascii="Times New Roman" w:eastAsia="Times New Roman" w:hAnsi="Times New Roman" w:cs="Times New Roman"/>
        </w:rPr>
        <w:t>As questões relacionadas à transparência discutidas no contexto da governança corporativa são igualmente relevantes e devem ser consideradas nos estudos sobre divulgação voluntária de responsabilidade social corporativa (Nascimento et al., 2020). A divulgação voluntária de informações busca estabelecer a transparência máxima da empresa em relação à sociedade, fornecendo uma oportunidade para ser mais conhecida e avaliada pelo público investidor, clientes, fornecedores e credores (Almeida, 2014).</w:t>
      </w:r>
    </w:p>
    <w:p w14:paraId="56F73BE9" w14:textId="6B05A525" w:rsidR="00946FEE" w:rsidRDefault="241D4344"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A divulgação de informações pode ser motivada tanto por exigências legais, tornando-se obrigatória, quanto por iniciativa voluntária, com o objetivo de reduzir a assimetria de informações e fornecer maior segurança aos doadores (Nascimento et al., 2020), além do mais, organizações que adotam estratégias superiores de responsabilidade social enfrentam menos restrições na obtenção de capital, de modo que o envolvimento das partes interessadas e uma melhor transparência no desempenho da responsabilidade sócio-corporativa são fatores importantes na redução dessas restrições de capital (Cheng, Ioannou e Serafeim, 2014).</w:t>
      </w:r>
    </w:p>
    <w:p w14:paraId="7B8CFF15" w14:textId="5BC5239F" w:rsidR="00946FEE" w:rsidRDefault="7BFCE2D3" w:rsidP="30909213">
      <w:pPr>
        <w:spacing w:after="0" w:line="240" w:lineRule="auto"/>
        <w:ind w:firstLine="708"/>
        <w:jc w:val="both"/>
        <w:rPr>
          <w:rFonts w:ascii="Times New Roman" w:eastAsia="Times New Roman" w:hAnsi="Times New Roman" w:cs="Times New Roman"/>
        </w:rPr>
      </w:pPr>
      <w:r w:rsidRPr="30909213">
        <w:rPr>
          <w:rFonts w:ascii="Times New Roman" w:eastAsia="Times New Roman" w:hAnsi="Times New Roman" w:cs="Times New Roman"/>
        </w:rPr>
        <w:t>A seção seguinte apresenta aspectos sobre a relação entre divulgação e receitas e/ou transferências recebidas.</w:t>
      </w:r>
    </w:p>
    <w:p w14:paraId="284A9D23" w14:textId="6C6E0DBF" w:rsidR="00946FEE" w:rsidRDefault="00946FEE" w:rsidP="30909213">
      <w:pPr>
        <w:spacing w:after="0" w:line="240" w:lineRule="auto"/>
        <w:jc w:val="both"/>
        <w:rPr>
          <w:rFonts w:ascii="Times New Roman" w:eastAsia="Times New Roman" w:hAnsi="Times New Roman" w:cs="Times New Roman"/>
        </w:rPr>
      </w:pPr>
    </w:p>
    <w:p w14:paraId="5A147540" w14:textId="408F9992" w:rsidR="00946FEE" w:rsidRDefault="7BFCE2D3" w:rsidP="30909213">
      <w:pPr>
        <w:spacing w:after="0" w:line="240" w:lineRule="auto"/>
        <w:jc w:val="both"/>
        <w:rPr>
          <w:rFonts w:ascii="Times New Roman" w:eastAsia="Times New Roman" w:hAnsi="Times New Roman" w:cs="Times New Roman"/>
        </w:rPr>
      </w:pPr>
      <w:r w:rsidRPr="30909213">
        <w:rPr>
          <w:rFonts w:ascii="Times New Roman" w:eastAsia="Times New Roman" w:hAnsi="Times New Roman" w:cs="Times New Roman"/>
          <w:b/>
          <w:bCs/>
        </w:rPr>
        <w:t>2.3 Relação entre divulgação e receitas/transferências</w:t>
      </w:r>
    </w:p>
    <w:p w14:paraId="6BE6DA7E" w14:textId="7559C7D2" w:rsidR="00946FEE" w:rsidRDefault="241D4344"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No contexto das entidades do terceiro setor, a dependência de recursos públicos pode exercer uma influência significativa sobre a transparência das organizações (Castro et. al, 2022). Isso ocorre devido à maior expectativa de prestação de contas quando se trata de recursos provenientes do setor público (Baldissera, 20</w:t>
      </w:r>
      <w:r w:rsidR="362CE7D9" w:rsidRPr="7C64760A">
        <w:rPr>
          <w:rFonts w:ascii="Times New Roman" w:eastAsia="Times New Roman" w:hAnsi="Times New Roman" w:cs="Times New Roman"/>
        </w:rPr>
        <w:t>20</w:t>
      </w:r>
      <w:r w:rsidRPr="7C64760A">
        <w:rPr>
          <w:rFonts w:ascii="Times New Roman" w:eastAsia="Times New Roman" w:hAnsi="Times New Roman" w:cs="Times New Roman"/>
        </w:rPr>
        <w:t>). Nesse sentido, fatores como a diversidade de fontes de financiamento e o volume das receitas podem impactar diretamente a capacidade e intencionalidade das organizações em fornecer informações claras e detalhadas sobre sua atuação.</w:t>
      </w:r>
    </w:p>
    <w:p w14:paraId="6C160941" w14:textId="12930AF2" w:rsidR="00946FEE" w:rsidRDefault="241D4344"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A dependência de recursos públicos é um fator que desperta a atenção dos pesquisadores quando se trata da transparência (Castro et. al, 2022). Isso ocorre porque, ao receber financiamento proveniente do setor público, essas organizações têm uma responsabilidade ainda maior de prestar contas à sociedade. Os órgãos governamentais e a população em geral esperam um nível mais elevado de transparência em relação à forma como os recursos são utilizados e quais resultados são alcançados (Baldissera, 20</w:t>
      </w:r>
      <w:r w:rsidR="560F1D93" w:rsidRPr="7C64760A">
        <w:rPr>
          <w:rFonts w:ascii="Times New Roman" w:eastAsia="Times New Roman" w:hAnsi="Times New Roman" w:cs="Times New Roman"/>
        </w:rPr>
        <w:t>20</w:t>
      </w:r>
      <w:r w:rsidRPr="7C64760A">
        <w:rPr>
          <w:rFonts w:ascii="Times New Roman" w:eastAsia="Times New Roman" w:hAnsi="Times New Roman" w:cs="Times New Roman"/>
        </w:rPr>
        <w:t>).</w:t>
      </w:r>
    </w:p>
    <w:p w14:paraId="76E13E61" w14:textId="6C26CC8D" w:rsidR="00946FEE" w:rsidRDefault="7BFCE2D3" w:rsidP="30909213">
      <w:pPr>
        <w:spacing w:after="0" w:line="240" w:lineRule="auto"/>
        <w:ind w:firstLine="708"/>
        <w:jc w:val="both"/>
        <w:rPr>
          <w:rFonts w:ascii="Times New Roman" w:eastAsia="Times New Roman" w:hAnsi="Times New Roman" w:cs="Times New Roman"/>
        </w:rPr>
      </w:pPr>
      <w:r w:rsidRPr="30909213">
        <w:rPr>
          <w:rFonts w:ascii="Times New Roman" w:eastAsia="Times New Roman" w:hAnsi="Times New Roman" w:cs="Times New Roman"/>
        </w:rPr>
        <w:t>Além disso, a diversidade de fontes de financiamento também desempenha um papel crucial na prestação de contas. À medida que o número de fontes de recursos aumenta, as demandas por relatórios e informações detalhadas também se multiplicam (Khieng, 2014). Assim, as fundações acabam enfrentando o desafio de atender a essas diferentes expectativas e fornecer um panorama claro de suas atividades, tornando-se um exercício complexo e que demanda uma gestão eficiente.</w:t>
      </w:r>
    </w:p>
    <w:p w14:paraId="123D9ABF" w14:textId="77777777" w:rsidR="00F92722" w:rsidRDefault="7BFCE2D3" w:rsidP="00F92722">
      <w:pPr>
        <w:spacing w:after="0" w:line="240" w:lineRule="auto"/>
        <w:ind w:firstLine="708"/>
        <w:jc w:val="both"/>
        <w:rPr>
          <w:rFonts w:ascii="Times New Roman" w:eastAsia="Times New Roman" w:hAnsi="Times New Roman" w:cs="Times New Roman"/>
        </w:rPr>
      </w:pPr>
      <w:r w:rsidRPr="30909213">
        <w:rPr>
          <w:rFonts w:ascii="Times New Roman" w:eastAsia="Times New Roman" w:hAnsi="Times New Roman" w:cs="Times New Roman"/>
        </w:rPr>
        <w:t xml:space="preserve">Outro fator que merece destaque é o volume das receitas recebidas. Quanto maior o montante financeiro envolvido, mais importante se torna a divulgação de informações para garantir a transparência e a </w:t>
      </w:r>
      <w:r w:rsidRPr="30909213">
        <w:rPr>
          <w:rFonts w:ascii="Times New Roman" w:eastAsia="Times New Roman" w:hAnsi="Times New Roman" w:cs="Times New Roman"/>
          <w:i/>
          <w:iCs/>
        </w:rPr>
        <w:t xml:space="preserve">accountability </w:t>
      </w:r>
      <w:r w:rsidRPr="30909213">
        <w:rPr>
          <w:rFonts w:ascii="Times New Roman" w:eastAsia="Times New Roman" w:hAnsi="Times New Roman" w:cs="Times New Roman"/>
        </w:rPr>
        <w:t>(Santos et al., 2017). Recursos substanciais exigem uma prestação de contas ainda mais rigorosa, uma vez que a sociedade espera resultados proporcionais aos investimentos feitos (Borges &amp; Serrão, 2005).</w:t>
      </w:r>
    </w:p>
    <w:p w14:paraId="40F2CC14" w14:textId="77777777" w:rsidR="00F92722" w:rsidRDefault="241D4344" w:rsidP="00F92722">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Assim, a dependência por recursos públicos, a diversidade de fontes de financiamento e o volume das receitas são fatores que influenciam diretamente a maneira como essas organizações apresentam suas atividades à sociedade. É essencial que as entidades do terceiro setor em geral estejam conscientes dessas relações e adotem práticas de transparência e prestação de contas adequadas, garantindo assim a confiança da população e o cumprimento de sua missão de promover o bem-estar social e contribuir para o desenvolvimento econômico e social (Baldissera, 20</w:t>
      </w:r>
      <w:r w:rsidR="2972C073" w:rsidRPr="7C64760A">
        <w:rPr>
          <w:rFonts w:ascii="Times New Roman" w:eastAsia="Times New Roman" w:hAnsi="Times New Roman" w:cs="Times New Roman"/>
        </w:rPr>
        <w:t>20</w:t>
      </w:r>
      <w:r w:rsidRPr="7C64760A">
        <w:rPr>
          <w:rFonts w:ascii="Times New Roman" w:eastAsia="Times New Roman" w:hAnsi="Times New Roman" w:cs="Times New Roman"/>
        </w:rPr>
        <w:t>, Khieng, 2014, Borges &amp; Serrão, 2005).</w:t>
      </w:r>
    </w:p>
    <w:p w14:paraId="45AE3337" w14:textId="4D1F32F5" w:rsidR="00946FEE" w:rsidRDefault="7BFCE2D3" w:rsidP="00F92722">
      <w:pPr>
        <w:spacing w:after="0" w:line="240" w:lineRule="auto"/>
        <w:ind w:firstLine="708"/>
        <w:jc w:val="both"/>
        <w:rPr>
          <w:rFonts w:ascii="Times New Roman" w:eastAsia="Times New Roman" w:hAnsi="Times New Roman" w:cs="Times New Roman"/>
        </w:rPr>
      </w:pPr>
      <w:r w:rsidRPr="30909213">
        <w:rPr>
          <w:rFonts w:ascii="Times New Roman" w:eastAsia="Times New Roman" w:hAnsi="Times New Roman" w:cs="Times New Roman"/>
        </w:rPr>
        <w:t>A seção seguinte apresenta os métodos escolhidos para desenvolvimento deste estudo.</w:t>
      </w:r>
    </w:p>
    <w:p w14:paraId="3377DB26" w14:textId="0AD89CEC" w:rsidR="00946FEE" w:rsidRDefault="00946FEE" w:rsidP="30909213">
      <w:pPr>
        <w:spacing w:after="0" w:line="240" w:lineRule="auto"/>
        <w:jc w:val="both"/>
        <w:rPr>
          <w:rFonts w:ascii="Times New Roman" w:eastAsia="Times New Roman" w:hAnsi="Times New Roman" w:cs="Times New Roman"/>
          <w:color w:val="FF0000"/>
        </w:rPr>
      </w:pPr>
    </w:p>
    <w:p w14:paraId="671485C6" w14:textId="71C49123" w:rsidR="00946FEE" w:rsidRDefault="36E4BC8F" w:rsidP="7C64760A">
      <w:pPr>
        <w:spacing w:after="0" w:line="240" w:lineRule="auto"/>
        <w:jc w:val="both"/>
        <w:rPr>
          <w:rFonts w:ascii="Times New Roman" w:eastAsia="Times New Roman" w:hAnsi="Times New Roman" w:cs="Times New Roman"/>
        </w:rPr>
      </w:pPr>
      <w:r w:rsidRPr="7C64760A">
        <w:rPr>
          <w:rFonts w:ascii="Times New Roman" w:eastAsia="Times New Roman" w:hAnsi="Times New Roman" w:cs="Times New Roman"/>
          <w:b/>
          <w:bCs/>
        </w:rPr>
        <w:t>2</w:t>
      </w:r>
      <w:r w:rsidR="241D4344" w:rsidRPr="7C64760A">
        <w:rPr>
          <w:rFonts w:ascii="Times New Roman" w:eastAsia="Times New Roman" w:hAnsi="Times New Roman" w:cs="Times New Roman"/>
          <w:b/>
          <w:bCs/>
        </w:rPr>
        <w:t>.</w:t>
      </w:r>
      <w:r w:rsidR="223C3151" w:rsidRPr="7C64760A">
        <w:rPr>
          <w:rFonts w:ascii="Times New Roman" w:eastAsia="Times New Roman" w:hAnsi="Times New Roman" w:cs="Times New Roman"/>
          <w:b/>
          <w:bCs/>
        </w:rPr>
        <w:t>4</w:t>
      </w:r>
      <w:r w:rsidR="241D4344" w:rsidRPr="7C64760A">
        <w:rPr>
          <w:rFonts w:ascii="Times New Roman" w:eastAsia="Times New Roman" w:hAnsi="Times New Roman" w:cs="Times New Roman"/>
          <w:b/>
          <w:bCs/>
        </w:rPr>
        <w:t xml:space="preserve"> </w:t>
      </w:r>
      <w:r w:rsidR="3DF0E3C4" w:rsidRPr="7C64760A">
        <w:rPr>
          <w:rFonts w:ascii="Times New Roman" w:eastAsia="Times New Roman" w:hAnsi="Times New Roman" w:cs="Times New Roman"/>
          <w:b/>
          <w:bCs/>
        </w:rPr>
        <w:t>Construção das Hipóteses de Pesquisa</w:t>
      </w:r>
    </w:p>
    <w:p w14:paraId="318065FC" w14:textId="3D9B31A5" w:rsidR="00946FEE" w:rsidRDefault="75653867" w:rsidP="30909213">
      <w:pPr>
        <w:spacing w:after="0" w:line="240" w:lineRule="auto"/>
        <w:ind w:firstLine="708"/>
        <w:jc w:val="both"/>
        <w:rPr>
          <w:rFonts w:ascii="Times New Roman" w:eastAsia="Times New Roman" w:hAnsi="Times New Roman" w:cs="Times New Roman"/>
        </w:rPr>
      </w:pPr>
      <w:r w:rsidRPr="30909213">
        <w:rPr>
          <w:rFonts w:ascii="Times New Roman" w:eastAsia="Times New Roman" w:hAnsi="Times New Roman" w:cs="Times New Roman"/>
        </w:rPr>
        <w:t xml:space="preserve">Para analisar os fatores que influenciam o nível de </w:t>
      </w:r>
      <w:r w:rsidRPr="002D4CE2">
        <w:rPr>
          <w:rFonts w:ascii="Times New Roman" w:eastAsia="Times New Roman" w:hAnsi="Times New Roman" w:cs="Times New Roman"/>
          <w:i/>
          <w:iCs/>
        </w:rPr>
        <w:t>disclosure</w:t>
      </w:r>
      <w:r w:rsidRPr="30909213">
        <w:rPr>
          <w:rFonts w:ascii="Times New Roman" w:eastAsia="Times New Roman" w:hAnsi="Times New Roman" w:cs="Times New Roman"/>
        </w:rPr>
        <w:t xml:space="preserve"> das fundações de apoio à pesquisa, as hipóteses deste estudo foram divididas em duas dimensões: a Dimensão Financeira (Tamanho, Dependência e Diversidade) e a Dimensão Estrutural e Institucional (Fatores Regionais e Maturidade de Governança).</w:t>
      </w:r>
    </w:p>
    <w:p w14:paraId="09B4F047" w14:textId="6A12A71E" w:rsidR="00946FEE" w:rsidRDefault="00946FEE" w:rsidP="30909213">
      <w:pPr>
        <w:spacing w:after="0" w:line="240" w:lineRule="auto"/>
        <w:jc w:val="both"/>
        <w:rPr>
          <w:rFonts w:ascii="Times New Roman" w:eastAsia="Times New Roman" w:hAnsi="Times New Roman" w:cs="Times New Roman"/>
        </w:rPr>
      </w:pPr>
    </w:p>
    <w:p w14:paraId="60566A83" w14:textId="11013ABF" w:rsidR="00946FEE" w:rsidRDefault="6632F274" w:rsidP="7C64760A">
      <w:pPr>
        <w:spacing w:after="0" w:line="240" w:lineRule="auto"/>
        <w:jc w:val="both"/>
        <w:rPr>
          <w:rFonts w:ascii="Times New Roman" w:eastAsia="Times New Roman" w:hAnsi="Times New Roman" w:cs="Times New Roman"/>
          <w:b/>
          <w:bCs/>
        </w:rPr>
      </w:pPr>
      <w:r w:rsidRPr="7C64760A">
        <w:rPr>
          <w:rFonts w:ascii="Times New Roman" w:eastAsia="Times New Roman" w:hAnsi="Times New Roman" w:cs="Times New Roman"/>
          <w:b/>
          <w:bCs/>
        </w:rPr>
        <w:t>2.4</w:t>
      </w:r>
      <w:r w:rsidR="4A149B45" w:rsidRPr="7C64760A">
        <w:rPr>
          <w:rFonts w:ascii="Times New Roman" w:eastAsia="Times New Roman" w:hAnsi="Times New Roman" w:cs="Times New Roman"/>
          <w:b/>
          <w:bCs/>
        </w:rPr>
        <w:t>.1 Dimensão Financeira: O papel das Receitas</w:t>
      </w:r>
    </w:p>
    <w:p w14:paraId="270469BD" w14:textId="560AA1D8" w:rsidR="00946FEE" w:rsidRDefault="75653867" w:rsidP="30909213">
      <w:pPr>
        <w:spacing w:after="0" w:line="240" w:lineRule="auto"/>
        <w:jc w:val="both"/>
      </w:pPr>
      <w:r w:rsidRPr="30909213">
        <w:rPr>
          <w:rFonts w:ascii="Times New Roman" w:eastAsia="Times New Roman" w:hAnsi="Times New Roman" w:cs="Times New Roman"/>
        </w:rPr>
        <w:t xml:space="preserve">H1: Existe uma relação positiva entre o volume total de recursos administrados (tamanho financeiro) pelas fundações de apoio e o seu nível geral de divulgação de informações. </w:t>
      </w:r>
    </w:p>
    <w:p w14:paraId="2320B9A7" w14:textId="658E8A8B" w:rsidR="00946FEE" w:rsidRDefault="00946FEE" w:rsidP="30909213">
      <w:pPr>
        <w:spacing w:after="0" w:line="240" w:lineRule="auto"/>
        <w:jc w:val="both"/>
        <w:rPr>
          <w:rFonts w:ascii="Times New Roman" w:eastAsia="Times New Roman" w:hAnsi="Times New Roman" w:cs="Times New Roman"/>
        </w:rPr>
      </w:pPr>
    </w:p>
    <w:p w14:paraId="211AB504" w14:textId="2D4456BE" w:rsidR="00946FEE" w:rsidRDefault="75653867" w:rsidP="30909213">
      <w:pPr>
        <w:spacing w:after="0" w:line="240" w:lineRule="auto"/>
        <w:ind w:firstLine="708"/>
        <w:jc w:val="both"/>
      </w:pPr>
      <w:r w:rsidRPr="30909213">
        <w:rPr>
          <w:rFonts w:ascii="Times New Roman" w:eastAsia="Times New Roman" w:hAnsi="Times New Roman" w:cs="Times New Roman"/>
        </w:rPr>
        <w:t>A literatura sugere que o volume das receitas recebidas impacta a transparência.  Segundo Santos et al. (2017) e Borges &amp; Serrão (2005), quanto maior o montante financeiro envolvido e o tamanho da organização, mais rigorosa tende a ser a exigência por prestação de contas, uma vez que a sociedade espera resultados proporcionais aos investimentos realizados.</w:t>
      </w:r>
    </w:p>
    <w:p w14:paraId="2C9A185D" w14:textId="2DE46F12" w:rsidR="00946FEE" w:rsidRDefault="00946FEE" w:rsidP="30909213">
      <w:pPr>
        <w:spacing w:after="0" w:line="240" w:lineRule="auto"/>
        <w:jc w:val="both"/>
        <w:rPr>
          <w:rFonts w:ascii="Times New Roman" w:eastAsia="Times New Roman" w:hAnsi="Times New Roman" w:cs="Times New Roman"/>
        </w:rPr>
      </w:pPr>
    </w:p>
    <w:p w14:paraId="04F3CD3B" w14:textId="29503346" w:rsidR="00946FEE" w:rsidRDefault="75653867" w:rsidP="30909213">
      <w:pPr>
        <w:spacing w:after="0" w:line="240" w:lineRule="auto"/>
        <w:jc w:val="both"/>
      </w:pPr>
      <w:r w:rsidRPr="30909213">
        <w:rPr>
          <w:rFonts w:ascii="Times New Roman" w:eastAsia="Times New Roman" w:hAnsi="Times New Roman" w:cs="Times New Roman"/>
        </w:rPr>
        <w:lastRenderedPageBreak/>
        <w:t xml:space="preserve">H2: Existe uma relação positiva entre o grau de dependência de repasses públicos (proporção de transferências governamentais em relação à receita total) e o nível de divulgação de informações. </w:t>
      </w:r>
    </w:p>
    <w:p w14:paraId="6C244A49" w14:textId="17684145" w:rsidR="00946FEE" w:rsidRDefault="00946FEE" w:rsidP="30909213">
      <w:pPr>
        <w:spacing w:after="0" w:line="240" w:lineRule="auto"/>
        <w:jc w:val="both"/>
        <w:rPr>
          <w:rFonts w:ascii="Times New Roman" w:eastAsia="Times New Roman" w:hAnsi="Times New Roman" w:cs="Times New Roman"/>
        </w:rPr>
      </w:pPr>
    </w:p>
    <w:p w14:paraId="33BF8F1E" w14:textId="619A24AC" w:rsidR="00946FEE" w:rsidRDefault="4A149B45" w:rsidP="30909213">
      <w:pPr>
        <w:spacing w:after="0" w:line="240" w:lineRule="auto"/>
        <w:ind w:firstLine="708"/>
        <w:jc w:val="both"/>
      </w:pPr>
      <w:r w:rsidRPr="7C64760A">
        <w:rPr>
          <w:rFonts w:ascii="Times New Roman" w:eastAsia="Times New Roman" w:hAnsi="Times New Roman" w:cs="Times New Roman"/>
        </w:rPr>
        <w:t>No contexto do terceiro setor, a dependência de recursos públicos pode exercer influência significativa sobre a transparência, devido à maior expectativa de accountability exigida pelos órgãos de controle (Castro et al., 2022; Baldissera, 20</w:t>
      </w:r>
      <w:r w:rsidR="130B9D01" w:rsidRPr="7C64760A">
        <w:rPr>
          <w:rFonts w:ascii="Times New Roman" w:eastAsia="Times New Roman" w:hAnsi="Times New Roman" w:cs="Times New Roman"/>
        </w:rPr>
        <w:t>20</w:t>
      </w:r>
      <w:r w:rsidRPr="7C64760A">
        <w:rPr>
          <w:rFonts w:ascii="Times New Roman" w:eastAsia="Times New Roman" w:hAnsi="Times New Roman" w:cs="Times New Roman"/>
        </w:rPr>
        <w:t xml:space="preserve">). Organizações com alta concentração de financiamento estatal estariam, em tese, mais propensas a elevar seus níveis de </w:t>
      </w:r>
      <w:r w:rsidRPr="002D4CE2">
        <w:rPr>
          <w:rFonts w:ascii="Times New Roman" w:eastAsia="Times New Roman" w:hAnsi="Times New Roman" w:cs="Times New Roman"/>
          <w:i/>
          <w:iCs/>
        </w:rPr>
        <w:t>disclosure</w:t>
      </w:r>
      <w:r w:rsidRPr="7C64760A">
        <w:rPr>
          <w:rFonts w:ascii="Times New Roman" w:eastAsia="Times New Roman" w:hAnsi="Times New Roman" w:cs="Times New Roman"/>
        </w:rPr>
        <w:t>.</w:t>
      </w:r>
    </w:p>
    <w:p w14:paraId="0B6F00DF" w14:textId="38EFC533" w:rsidR="00946FEE" w:rsidRDefault="00946FEE" w:rsidP="30909213">
      <w:pPr>
        <w:spacing w:after="0" w:line="240" w:lineRule="auto"/>
        <w:jc w:val="both"/>
        <w:rPr>
          <w:rFonts w:ascii="Times New Roman" w:eastAsia="Times New Roman" w:hAnsi="Times New Roman" w:cs="Times New Roman"/>
        </w:rPr>
      </w:pPr>
    </w:p>
    <w:p w14:paraId="1E7F875D" w14:textId="36C2A4F7" w:rsidR="00946FEE" w:rsidRDefault="75653867" w:rsidP="30909213">
      <w:pPr>
        <w:spacing w:after="0" w:line="240" w:lineRule="auto"/>
        <w:jc w:val="both"/>
      </w:pPr>
      <w:r w:rsidRPr="30909213">
        <w:rPr>
          <w:rFonts w:ascii="Times New Roman" w:eastAsia="Times New Roman" w:hAnsi="Times New Roman" w:cs="Times New Roman"/>
        </w:rPr>
        <w:t xml:space="preserve">H3: O nível de transparência das fundações de apoio está positivamente associado à diversidade de suas fontes de financiamento. </w:t>
      </w:r>
    </w:p>
    <w:p w14:paraId="1B2EA6DF" w14:textId="62F118DC" w:rsidR="00946FEE" w:rsidRDefault="00946FEE" w:rsidP="30909213">
      <w:pPr>
        <w:spacing w:after="0" w:line="240" w:lineRule="auto"/>
        <w:jc w:val="both"/>
        <w:rPr>
          <w:rFonts w:ascii="Times New Roman" w:eastAsia="Times New Roman" w:hAnsi="Times New Roman" w:cs="Times New Roman"/>
        </w:rPr>
      </w:pPr>
    </w:p>
    <w:p w14:paraId="46E85965" w14:textId="3560112E" w:rsidR="00946FEE" w:rsidRDefault="4A149B45" w:rsidP="30909213">
      <w:pPr>
        <w:spacing w:after="0" w:line="240" w:lineRule="auto"/>
        <w:ind w:firstLine="708"/>
        <w:jc w:val="both"/>
      </w:pPr>
      <w:r w:rsidRPr="7C64760A">
        <w:rPr>
          <w:rFonts w:ascii="Times New Roman" w:eastAsia="Times New Roman" w:hAnsi="Times New Roman" w:cs="Times New Roman"/>
        </w:rPr>
        <w:t>Conforme postulado por Gandia (20</w:t>
      </w:r>
      <w:r w:rsidR="3615B0F5" w:rsidRPr="7C64760A">
        <w:rPr>
          <w:rFonts w:ascii="Times New Roman" w:eastAsia="Times New Roman" w:hAnsi="Times New Roman" w:cs="Times New Roman"/>
        </w:rPr>
        <w:t>11</w:t>
      </w:r>
      <w:r w:rsidRPr="7C64760A">
        <w:rPr>
          <w:rFonts w:ascii="Times New Roman" w:eastAsia="Times New Roman" w:hAnsi="Times New Roman" w:cs="Times New Roman"/>
        </w:rPr>
        <w:t>) e Khieng (2014), a diversidade de fontes de recursos (públicas, privadas, internacionais) aumenta a pressão social e as demandas por relatórios detalhados, uma vez que a fundação precisa atender a diferentes normativas e expectativas de uma pluralidade de financiadores.</w:t>
      </w:r>
    </w:p>
    <w:p w14:paraId="369B78AD" w14:textId="3E9F1EE3" w:rsidR="00946FEE" w:rsidRDefault="00946FEE" w:rsidP="30909213">
      <w:pPr>
        <w:spacing w:after="0" w:line="240" w:lineRule="auto"/>
        <w:jc w:val="both"/>
        <w:rPr>
          <w:rFonts w:ascii="Times New Roman" w:eastAsia="Times New Roman" w:hAnsi="Times New Roman" w:cs="Times New Roman"/>
        </w:rPr>
      </w:pPr>
    </w:p>
    <w:p w14:paraId="74540957" w14:textId="266B39B0" w:rsidR="00946FEE" w:rsidRDefault="2304D047" w:rsidP="7C64760A">
      <w:pPr>
        <w:spacing w:after="0" w:line="240" w:lineRule="auto"/>
        <w:jc w:val="both"/>
        <w:rPr>
          <w:rFonts w:ascii="Times New Roman" w:eastAsia="Times New Roman" w:hAnsi="Times New Roman" w:cs="Times New Roman"/>
          <w:b/>
          <w:bCs/>
        </w:rPr>
      </w:pPr>
      <w:r w:rsidRPr="7C64760A">
        <w:rPr>
          <w:rFonts w:ascii="Times New Roman" w:eastAsia="Times New Roman" w:hAnsi="Times New Roman" w:cs="Times New Roman"/>
          <w:b/>
          <w:bCs/>
        </w:rPr>
        <w:t>2.4</w:t>
      </w:r>
      <w:r w:rsidR="4A149B45" w:rsidRPr="7C64760A">
        <w:rPr>
          <w:rFonts w:ascii="Times New Roman" w:eastAsia="Times New Roman" w:hAnsi="Times New Roman" w:cs="Times New Roman"/>
          <w:b/>
          <w:bCs/>
        </w:rPr>
        <w:t>.2 Dimensão Estrutural e Institucional: Governança e Contexto</w:t>
      </w:r>
    </w:p>
    <w:p w14:paraId="7132F5CC" w14:textId="62FD4202" w:rsidR="00946FEE" w:rsidRDefault="75653867" w:rsidP="30909213">
      <w:pPr>
        <w:spacing w:after="0" w:line="240" w:lineRule="auto"/>
        <w:jc w:val="both"/>
      </w:pPr>
      <w:r w:rsidRPr="30909213">
        <w:rPr>
          <w:rFonts w:ascii="Times New Roman" w:eastAsia="Times New Roman" w:hAnsi="Times New Roman" w:cs="Times New Roman"/>
        </w:rPr>
        <w:t xml:space="preserve">H4: Existem diferenças estatisticamente significativas no nível de divulgação de informações das fundações a depender da sua região geográfica de atuação. </w:t>
      </w:r>
    </w:p>
    <w:p w14:paraId="3AFD4270" w14:textId="64F20EA3" w:rsidR="00946FEE" w:rsidRDefault="00946FEE" w:rsidP="30909213">
      <w:pPr>
        <w:spacing w:after="0" w:line="240" w:lineRule="auto"/>
        <w:jc w:val="both"/>
        <w:rPr>
          <w:rFonts w:ascii="Times New Roman" w:eastAsia="Times New Roman" w:hAnsi="Times New Roman" w:cs="Times New Roman"/>
        </w:rPr>
      </w:pPr>
    </w:p>
    <w:p w14:paraId="73FF6DD8" w14:textId="0F4DBA05" w:rsidR="00946FEE" w:rsidRDefault="75653867" w:rsidP="30909213">
      <w:pPr>
        <w:spacing w:after="0" w:line="240" w:lineRule="auto"/>
        <w:ind w:firstLine="708"/>
        <w:jc w:val="both"/>
      </w:pPr>
      <w:r w:rsidRPr="30909213">
        <w:rPr>
          <w:rFonts w:ascii="Times New Roman" w:eastAsia="Times New Roman" w:hAnsi="Times New Roman" w:cs="Times New Roman"/>
        </w:rPr>
        <w:t xml:space="preserve">A aplicação do modelo de Gandia (2011) ressalta a relevância de se considerar a "pressão social" e o contexto ambiental na análise do </w:t>
      </w:r>
      <w:r w:rsidRPr="002D4CE2">
        <w:rPr>
          <w:rFonts w:ascii="Times New Roman" w:eastAsia="Times New Roman" w:hAnsi="Times New Roman" w:cs="Times New Roman"/>
          <w:i/>
          <w:iCs/>
        </w:rPr>
        <w:t>disclosure</w:t>
      </w:r>
      <w:r w:rsidRPr="30909213">
        <w:rPr>
          <w:rFonts w:ascii="Times New Roman" w:eastAsia="Times New Roman" w:hAnsi="Times New Roman" w:cs="Times New Roman"/>
        </w:rPr>
        <w:t>. Pressupõe-se que assimetrias regionais em termos de densidade de ecossistemas de pesquisa, atuação da mídia local e exigências de controle externo possam gerar níveis desiguais de transparência entre as diferentes regiões do Brasil.</w:t>
      </w:r>
    </w:p>
    <w:p w14:paraId="1024DAB3" w14:textId="05ECDACD" w:rsidR="00946FEE" w:rsidRDefault="00946FEE" w:rsidP="30909213">
      <w:pPr>
        <w:spacing w:after="0" w:line="240" w:lineRule="auto"/>
        <w:jc w:val="both"/>
        <w:rPr>
          <w:rFonts w:ascii="Times New Roman" w:eastAsia="Times New Roman" w:hAnsi="Times New Roman" w:cs="Times New Roman"/>
        </w:rPr>
      </w:pPr>
    </w:p>
    <w:p w14:paraId="72193AA3" w14:textId="1CFB8B98" w:rsidR="00946FEE" w:rsidRDefault="75653867" w:rsidP="30909213">
      <w:pPr>
        <w:spacing w:after="0" w:line="240" w:lineRule="auto"/>
        <w:jc w:val="both"/>
      </w:pPr>
      <w:r w:rsidRPr="30909213">
        <w:rPr>
          <w:rFonts w:ascii="Times New Roman" w:eastAsia="Times New Roman" w:hAnsi="Times New Roman" w:cs="Times New Roman"/>
        </w:rPr>
        <w:t xml:space="preserve">H5: Existe uma correlação positiva e significativa entre a clareza do planejamento estratégico (Informação Geral) e o nível de transparência em Governança e Finanças. </w:t>
      </w:r>
    </w:p>
    <w:p w14:paraId="77F8C0A2" w14:textId="21FCC5CE" w:rsidR="00946FEE" w:rsidRDefault="00946FEE" w:rsidP="30909213">
      <w:pPr>
        <w:spacing w:after="0" w:line="240" w:lineRule="auto"/>
        <w:jc w:val="both"/>
        <w:rPr>
          <w:rFonts w:ascii="Times New Roman" w:eastAsia="Times New Roman" w:hAnsi="Times New Roman" w:cs="Times New Roman"/>
        </w:rPr>
      </w:pPr>
    </w:p>
    <w:p w14:paraId="42E51445" w14:textId="290B4F1E" w:rsidR="00946FEE" w:rsidRDefault="75653867" w:rsidP="30909213">
      <w:pPr>
        <w:spacing w:after="0" w:line="240" w:lineRule="auto"/>
        <w:ind w:firstLine="708"/>
        <w:jc w:val="both"/>
      </w:pPr>
      <w:r w:rsidRPr="30909213">
        <w:rPr>
          <w:rFonts w:ascii="Times New Roman" w:eastAsia="Times New Roman" w:hAnsi="Times New Roman" w:cs="Times New Roman"/>
        </w:rPr>
        <w:t>A divulgação de informações é um reflexo da estrutura de governança corporativa (Almeida, 2014; Nascimento et al., 2020). Relatórios de gestão do setor apontam que a transparência atua como uma engrenagem complementar à estratégia: organizações que possuem Missão, Visão e Valores consolidados também tendem a desenvolver mecanismos robustos de controle (auditorias, comitês de compliance e conselhos fiscais ativos), garantindo que a execução orçamentária reflita fidedignamente o propósito institucional.</w:t>
      </w:r>
    </w:p>
    <w:p w14:paraId="485C942F" w14:textId="4419D8CF" w:rsidR="00946FEE" w:rsidRDefault="00946FEE" w:rsidP="30909213">
      <w:pPr>
        <w:spacing w:after="0" w:line="240" w:lineRule="auto"/>
        <w:jc w:val="both"/>
        <w:rPr>
          <w:rFonts w:ascii="Times New Roman" w:eastAsia="Times New Roman" w:hAnsi="Times New Roman" w:cs="Times New Roman"/>
        </w:rPr>
      </w:pPr>
    </w:p>
    <w:p w14:paraId="5A5C8D8D" w14:textId="54D909E6" w:rsidR="00946FEE" w:rsidRDefault="75653867" w:rsidP="30909213">
      <w:pPr>
        <w:spacing w:after="0" w:line="240" w:lineRule="auto"/>
        <w:jc w:val="both"/>
      </w:pPr>
      <w:r w:rsidRPr="30909213">
        <w:rPr>
          <w:rFonts w:ascii="Times New Roman" w:eastAsia="Times New Roman" w:hAnsi="Times New Roman" w:cs="Times New Roman"/>
        </w:rPr>
        <w:t xml:space="preserve">H6: O nível de transparência em Governança e Finanças reflete-se positivamente na qualidade de Apresentação, Navegação e Acessibilidade digital dos portais. </w:t>
      </w:r>
    </w:p>
    <w:p w14:paraId="76F214E4" w14:textId="0138A655" w:rsidR="00946FEE" w:rsidRDefault="00946FEE" w:rsidP="30909213">
      <w:pPr>
        <w:spacing w:after="0" w:line="240" w:lineRule="auto"/>
        <w:jc w:val="both"/>
        <w:rPr>
          <w:rFonts w:ascii="Times New Roman" w:eastAsia="Times New Roman" w:hAnsi="Times New Roman" w:cs="Times New Roman"/>
        </w:rPr>
      </w:pPr>
    </w:p>
    <w:p w14:paraId="4BA33B4A" w14:textId="02546201" w:rsidR="00946FEE" w:rsidRDefault="75653867" w:rsidP="30909213">
      <w:pPr>
        <w:spacing w:after="0" w:line="240" w:lineRule="auto"/>
        <w:ind w:firstLine="708"/>
        <w:jc w:val="both"/>
      </w:pPr>
      <w:r w:rsidRPr="30909213">
        <w:rPr>
          <w:rFonts w:ascii="Times New Roman" w:eastAsia="Times New Roman" w:hAnsi="Times New Roman" w:cs="Times New Roman"/>
        </w:rPr>
        <w:t>A divulgação voluntária de informações busca estabelecer a transparência máxima em relação à sociedade, democratizando o acesso aos dados (Almeida, 2014). Portanto, espera-se que fundações com alta maturidade em controles internos (D2) consigam traduzir essa eficiência em plataformas digitais responsivas, com linguagem cidadã e sistemas de busca acessíveis (D3), promovendo o controle social efetivo.</w:t>
      </w:r>
    </w:p>
    <w:p w14:paraId="3FB82F84" w14:textId="7345AF9F" w:rsidR="00946FEE" w:rsidRDefault="00946FEE" w:rsidP="30909213">
      <w:pPr>
        <w:spacing w:after="0" w:line="240" w:lineRule="auto"/>
        <w:jc w:val="both"/>
        <w:rPr>
          <w:rFonts w:ascii="Times New Roman" w:eastAsia="Times New Roman" w:hAnsi="Times New Roman" w:cs="Times New Roman"/>
        </w:rPr>
      </w:pPr>
    </w:p>
    <w:p w14:paraId="1F16257F" w14:textId="2941D1A6" w:rsidR="00946FEE" w:rsidRDefault="150EDE28" w:rsidP="7C64760A">
      <w:pPr>
        <w:spacing w:after="0" w:line="240" w:lineRule="auto"/>
        <w:jc w:val="both"/>
        <w:rPr>
          <w:rFonts w:ascii="Times New Roman" w:eastAsia="Times New Roman" w:hAnsi="Times New Roman" w:cs="Times New Roman"/>
          <w:color w:val="000000" w:themeColor="text1"/>
        </w:rPr>
      </w:pPr>
      <w:r w:rsidRPr="7C64760A">
        <w:rPr>
          <w:rFonts w:ascii="Times New Roman" w:eastAsia="Times New Roman" w:hAnsi="Times New Roman" w:cs="Times New Roman"/>
          <w:b/>
          <w:bCs/>
          <w:color w:val="000000" w:themeColor="text1"/>
        </w:rPr>
        <w:t>3</w:t>
      </w:r>
      <w:r w:rsidR="0C4F459B" w:rsidRPr="7C64760A">
        <w:rPr>
          <w:rFonts w:ascii="Times New Roman" w:eastAsia="Times New Roman" w:hAnsi="Times New Roman" w:cs="Times New Roman"/>
          <w:b/>
          <w:bCs/>
          <w:color w:val="000000" w:themeColor="text1"/>
        </w:rPr>
        <w:t>. Procedimentos Metodológicos</w:t>
      </w:r>
    </w:p>
    <w:p w14:paraId="6D83BD12" w14:textId="06E7154B" w:rsidR="05102DAF" w:rsidRDefault="05102DAF" w:rsidP="7C64760A">
      <w:pPr>
        <w:spacing w:after="0" w:line="240" w:lineRule="auto"/>
        <w:jc w:val="both"/>
        <w:rPr>
          <w:rFonts w:ascii="Times New Roman" w:eastAsia="Times New Roman" w:hAnsi="Times New Roman" w:cs="Times New Roman"/>
          <w:b/>
          <w:bCs/>
        </w:rPr>
      </w:pPr>
      <w:r w:rsidRPr="7C64760A">
        <w:rPr>
          <w:rFonts w:ascii="Times New Roman" w:eastAsia="Times New Roman" w:hAnsi="Times New Roman" w:cs="Times New Roman"/>
          <w:b/>
          <w:bCs/>
        </w:rPr>
        <w:t>3.1 Estratégia e Método da Pesquisa</w:t>
      </w:r>
    </w:p>
    <w:p w14:paraId="57142F9B" w14:textId="602370C0" w:rsidR="5C92C798" w:rsidRDefault="5C92C798"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lastRenderedPageBreak/>
        <w:t xml:space="preserve">Trata-se de uma pesquisa de natureza quantitativa, com abordagem descritiva e correlacional, desenhada para analisar o nível de </w:t>
      </w:r>
      <w:r w:rsidRPr="002D4CE2">
        <w:rPr>
          <w:rFonts w:ascii="Times New Roman" w:eastAsia="Times New Roman" w:hAnsi="Times New Roman" w:cs="Times New Roman"/>
          <w:i/>
          <w:iCs/>
        </w:rPr>
        <w:t>disclosure</w:t>
      </w:r>
      <w:r w:rsidRPr="7C64760A">
        <w:rPr>
          <w:rFonts w:ascii="Times New Roman" w:eastAsia="Times New Roman" w:hAnsi="Times New Roman" w:cs="Times New Roman"/>
        </w:rPr>
        <w:t xml:space="preserve"> (divulgação de informações) das fundações de apoio às instituições de ensino superior e de pesquisa científica e tecnológica no Brasil. A coleta de dados caracterizou-se como estritamente documental, não havendo a realização de entrevistas, baseando-se exclusivamente nas informações disponibilizadas nos portais institucionais e relatórios das entidades.</w:t>
      </w:r>
    </w:p>
    <w:p w14:paraId="526FF537" w14:textId="56D6846E" w:rsidR="5C92C798" w:rsidRDefault="5C92C798"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Para quantificar o nível de transparência, a pesquisa utilizou a técnica de análise de conteúdo dos portais e relatórios. O instrumento de coleta baseou-se no modelo validado por Gandia (2009), cujo escopo original contempla 75 pontos de verificação. Para atender aos objetivos deste estudo e refletir as particularidades das exigências de controle interno e externo do terceiro setor brasileiro, o modelo original foi adaptado e expandido para 82 pontos de análise. Estes pontos foram distribuídos em três categorias principais: D1 (Informação Geral, com 19 itens), D2 (Governança e Informações Financeiras, com 32 itens) e D3 (Apresentação e Navegação, com 31 itens). A quantificação ocorreu por meio da atribuição de variáveis categóricas dummy, conferindo-se o valor 1 para a presença irrestrita da informação no portal ou relatório, e o valor 0 para a sua ausência ou incompletude.</w:t>
      </w:r>
    </w:p>
    <w:p w14:paraId="16C0F4DB" w14:textId="4C65AA5D" w:rsidR="7C64760A" w:rsidRDefault="7C64760A" w:rsidP="7C64760A">
      <w:pPr>
        <w:spacing w:after="0" w:line="240" w:lineRule="auto"/>
        <w:jc w:val="both"/>
        <w:rPr>
          <w:rFonts w:ascii="Times New Roman" w:eastAsia="Times New Roman" w:hAnsi="Times New Roman" w:cs="Times New Roman"/>
        </w:rPr>
      </w:pPr>
    </w:p>
    <w:p w14:paraId="48A19637" w14:textId="782E32C7" w:rsidR="7C64760A" w:rsidRDefault="7C64760A" w:rsidP="7C64760A">
      <w:pPr>
        <w:spacing w:after="0" w:line="240" w:lineRule="auto"/>
        <w:jc w:val="both"/>
        <w:rPr>
          <w:rFonts w:ascii="Times New Roman" w:eastAsia="Times New Roman" w:hAnsi="Times New Roman" w:cs="Times New Roman"/>
        </w:rPr>
      </w:pPr>
    </w:p>
    <w:p w14:paraId="038C9984" w14:textId="742BD2D8" w:rsidR="05102DAF" w:rsidRDefault="05102DAF" w:rsidP="7C64760A">
      <w:pPr>
        <w:spacing w:after="0" w:line="240" w:lineRule="auto"/>
        <w:jc w:val="both"/>
        <w:rPr>
          <w:rFonts w:ascii="Times New Roman" w:eastAsia="Times New Roman" w:hAnsi="Times New Roman" w:cs="Times New Roman"/>
          <w:b/>
          <w:bCs/>
        </w:rPr>
      </w:pPr>
      <w:r w:rsidRPr="7C64760A">
        <w:rPr>
          <w:rFonts w:ascii="Times New Roman" w:eastAsia="Times New Roman" w:hAnsi="Times New Roman" w:cs="Times New Roman"/>
          <w:b/>
          <w:bCs/>
        </w:rPr>
        <w:t>3.2 População ou Amostra</w:t>
      </w:r>
    </w:p>
    <w:p w14:paraId="3EF3E6DF" w14:textId="7BE51EFE" w:rsidR="6366CADA" w:rsidRDefault="6366CADA"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O universo do estudo compreendeu as Fundações de Apoio registradas no Conselho Nacional das Fundações de Apoio às Instituições de Ensino Superior e de Pesquisa Científica e Tecnológica (CONFIES). Utilizando como data de corte o mês de março de 2023, o conselho registrava 98 fundações ativas no país. Ressalta-se que, por exigência normativa da Lei nº 8.958/1994, todas as fundações de apoio caracterizam-se como entidades com personalidade jurídica de direito privado, sem fins lucrativos, ainda que prestem suporte direto a instituições públicas.</w:t>
      </w:r>
    </w:p>
    <w:p w14:paraId="67C9ADF1" w14:textId="4198181E" w:rsidR="6366CADA" w:rsidRDefault="6366CADA"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Optou-se por uma amostra não probabilística intencional, composta por uma fundação de apoio de cada Unidade da Federação brasileira (26 estados e um Distrito Federal), totalizando 27 fundações analisadas. O critério para a seleção de uma única representante por estado, nos casos em que havia mais de uma fundação registrada, baseou-se em dois fatores: (i) o maior volume de recursos administrados, indicando maior representatividade regional, e (ii) a disponibilidade integral dos relatórios de gestão e prestação de contas referentes ao exercício financeiro de 2022 em seus respectivos sítios eletrônicos. As fundações que compõem a amostra final estão detalhadas na Tabela 01.</w:t>
      </w:r>
    </w:p>
    <w:p w14:paraId="5DBD13A1" w14:textId="13203A63" w:rsidR="7C64760A" w:rsidRDefault="7C64760A" w:rsidP="7C64760A">
      <w:pPr>
        <w:spacing w:after="0" w:line="240" w:lineRule="auto"/>
        <w:jc w:val="both"/>
        <w:rPr>
          <w:rFonts w:ascii="Times New Roman" w:eastAsia="Times New Roman" w:hAnsi="Times New Roman" w:cs="Times New Roman"/>
        </w:rPr>
      </w:pPr>
    </w:p>
    <w:p w14:paraId="3CC3B0C9" w14:textId="04D86389" w:rsidR="6366CADA" w:rsidRDefault="6366CADA" w:rsidP="7C64760A">
      <w:pPr>
        <w:spacing w:after="0" w:line="240" w:lineRule="auto"/>
        <w:jc w:val="both"/>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b/>
          <w:bCs/>
          <w:color w:val="000000" w:themeColor="text1"/>
          <w:sz w:val="20"/>
          <w:szCs w:val="20"/>
        </w:rPr>
        <w:t>Tabela 01</w:t>
      </w:r>
    </w:p>
    <w:p w14:paraId="79C9DAB3" w14:textId="5E00ACE0" w:rsidR="6366CADA" w:rsidRDefault="6366CADA" w:rsidP="7C64760A">
      <w:pPr>
        <w:spacing w:after="0" w:line="240" w:lineRule="auto"/>
        <w:jc w:val="both"/>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i/>
          <w:iCs/>
          <w:color w:val="000000" w:themeColor="text1"/>
          <w:sz w:val="20"/>
          <w:szCs w:val="20"/>
        </w:rPr>
        <w:t>Amostra da pesquisa</w:t>
      </w:r>
    </w:p>
    <w:tbl>
      <w:tblPr>
        <w:tblStyle w:val="SimplesTabela2"/>
        <w:tblW w:w="0" w:type="auto"/>
        <w:tblLook w:val="04A0" w:firstRow="1" w:lastRow="0" w:firstColumn="1" w:lastColumn="0" w:noHBand="0" w:noVBand="1"/>
      </w:tblPr>
      <w:tblGrid>
        <w:gridCol w:w="960"/>
        <w:gridCol w:w="1150"/>
        <w:gridCol w:w="2888"/>
        <w:gridCol w:w="4035"/>
      </w:tblGrid>
      <w:tr w:rsidR="7C64760A" w14:paraId="5293A7BB" w14:textId="77777777" w:rsidTr="7C64760A">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960" w:type="dxa"/>
          </w:tcPr>
          <w:p w14:paraId="36D55353" w14:textId="6A1F3DE4"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color w:val="000000" w:themeColor="text1"/>
                <w:sz w:val="20"/>
                <w:szCs w:val="20"/>
              </w:rPr>
              <w:t>Estado</w:t>
            </w:r>
          </w:p>
        </w:tc>
        <w:tc>
          <w:tcPr>
            <w:tcW w:w="1140" w:type="dxa"/>
          </w:tcPr>
          <w:p w14:paraId="6F8826C5" w14:textId="4AD18697" w:rsidR="7C64760A" w:rsidRDefault="7C64760A" w:rsidP="7C64760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Fundação</w:t>
            </w:r>
          </w:p>
        </w:tc>
        <w:tc>
          <w:tcPr>
            <w:tcW w:w="2880" w:type="dxa"/>
          </w:tcPr>
          <w:p w14:paraId="41233E6B" w14:textId="02F9774F" w:rsidR="7C64760A" w:rsidRDefault="7C64760A" w:rsidP="7C64760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Sítio</w:t>
            </w:r>
          </w:p>
        </w:tc>
        <w:tc>
          <w:tcPr>
            <w:tcW w:w="4035" w:type="dxa"/>
          </w:tcPr>
          <w:p w14:paraId="621D0F37" w14:textId="4AAA15C2" w:rsidR="7C64760A" w:rsidRDefault="7C64760A" w:rsidP="7C64760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Relatório</w:t>
            </w:r>
          </w:p>
        </w:tc>
      </w:tr>
      <w:tr w:rsidR="7C64760A" w14:paraId="03862DE0" w14:textId="77777777" w:rsidTr="7C6476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Pr>
          <w:p w14:paraId="4F3E9E32" w14:textId="53ABEB86"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AC</w:t>
            </w:r>
          </w:p>
        </w:tc>
        <w:tc>
          <w:tcPr>
            <w:tcW w:w="1140" w:type="dxa"/>
          </w:tcPr>
          <w:p w14:paraId="4EDE908C" w14:textId="69666F05"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FAPAC</w:t>
            </w:r>
          </w:p>
        </w:tc>
        <w:tc>
          <w:tcPr>
            <w:tcW w:w="2880" w:type="dxa"/>
          </w:tcPr>
          <w:p w14:paraId="526CE88A" w14:textId="744B8872" w:rsidR="7C64760A" w:rsidRDefault="7C64760A" w:rsidP="7C6476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5">
              <w:r w:rsidRPr="7C64760A">
                <w:rPr>
                  <w:rStyle w:val="Hyperlink"/>
                  <w:rFonts w:ascii="Times New Roman" w:eastAsia="Times New Roman" w:hAnsi="Times New Roman" w:cs="Times New Roman"/>
                  <w:sz w:val="20"/>
                  <w:szCs w:val="20"/>
                </w:rPr>
                <w:t>http://fapac.acre.gov.br/</w:t>
              </w:r>
            </w:hyperlink>
          </w:p>
        </w:tc>
        <w:tc>
          <w:tcPr>
            <w:tcW w:w="4035" w:type="dxa"/>
          </w:tcPr>
          <w:p w14:paraId="2ED18688" w14:textId="66E144AA"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prestação de contas</w:t>
            </w:r>
          </w:p>
        </w:tc>
      </w:tr>
      <w:tr w:rsidR="7C64760A" w14:paraId="545CE532" w14:textId="77777777" w:rsidTr="7C64760A">
        <w:trPr>
          <w:trHeight w:val="300"/>
        </w:trPr>
        <w:tc>
          <w:tcPr>
            <w:cnfStyle w:val="001000000000" w:firstRow="0" w:lastRow="0" w:firstColumn="1" w:lastColumn="0" w:oddVBand="0" w:evenVBand="0" w:oddHBand="0" w:evenHBand="0" w:firstRowFirstColumn="0" w:firstRowLastColumn="0" w:lastRowFirstColumn="0" w:lastRowLastColumn="0"/>
            <w:tcW w:w="960" w:type="dxa"/>
          </w:tcPr>
          <w:p w14:paraId="20206D0D" w14:textId="1F2B5A1A"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AL</w:t>
            </w:r>
          </w:p>
        </w:tc>
        <w:tc>
          <w:tcPr>
            <w:tcW w:w="1140" w:type="dxa"/>
          </w:tcPr>
          <w:p w14:paraId="302961BC" w14:textId="6CD94725"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FAPEAL</w:t>
            </w:r>
          </w:p>
        </w:tc>
        <w:tc>
          <w:tcPr>
            <w:tcW w:w="2880" w:type="dxa"/>
          </w:tcPr>
          <w:p w14:paraId="74D53C87" w14:textId="4E1C5495" w:rsidR="7C64760A" w:rsidRDefault="7C64760A" w:rsidP="7C6476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6">
              <w:r w:rsidRPr="7C64760A">
                <w:rPr>
                  <w:rStyle w:val="Hyperlink"/>
                  <w:rFonts w:ascii="Times New Roman" w:eastAsia="Times New Roman" w:hAnsi="Times New Roman" w:cs="Times New Roman"/>
                  <w:sz w:val="20"/>
                  <w:szCs w:val="20"/>
                </w:rPr>
                <w:t>http://www.fapeal.br/</w:t>
              </w:r>
            </w:hyperlink>
          </w:p>
        </w:tc>
        <w:tc>
          <w:tcPr>
            <w:tcW w:w="4035" w:type="dxa"/>
          </w:tcPr>
          <w:p w14:paraId="222C93E0" w14:textId="591A84BC" w:rsidR="7C64760A" w:rsidRPr="002D4CE2"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gestão 2022</w:t>
            </w:r>
          </w:p>
        </w:tc>
      </w:tr>
      <w:tr w:rsidR="7C64760A" w14:paraId="11FC2E3F" w14:textId="77777777" w:rsidTr="7C6476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Pr>
          <w:p w14:paraId="4AC3C0DA" w14:textId="02880F66"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AP</w:t>
            </w:r>
          </w:p>
        </w:tc>
        <w:tc>
          <w:tcPr>
            <w:tcW w:w="1140" w:type="dxa"/>
          </w:tcPr>
          <w:p w14:paraId="3061D254" w14:textId="1D858F2E"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FAPEAP</w:t>
            </w:r>
          </w:p>
        </w:tc>
        <w:tc>
          <w:tcPr>
            <w:tcW w:w="2880" w:type="dxa"/>
          </w:tcPr>
          <w:p w14:paraId="76C900F7" w14:textId="4FE3DB4B" w:rsidR="7C64760A" w:rsidRDefault="7C64760A" w:rsidP="7C6476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7">
              <w:r w:rsidRPr="7C64760A">
                <w:rPr>
                  <w:rStyle w:val="Hyperlink"/>
                  <w:rFonts w:ascii="Times New Roman" w:eastAsia="Times New Roman" w:hAnsi="Times New Roman" w:cs="Times New Roman"/>
                  <w:sz w:val="20"/>
                  <w:szCs w:val="20"/>
                </w:rPr>
                <w:t>http://www.fapeap.ap.gov.br/</w:t>
              </w:r>
            </w:hyperlink>
          </w:p>
        </w:tc>
        <w:tc>
          <w:tcPr>
            <w:tcW w:w="4035" w:type="dxa"/>
          </w:tcPr>
          <w:p w14:paraId="4D09E2F5" w14:textId="4A685E75" w:rsidR="7C64760A" w:rsidRPr="002D4CE2"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prestação de contas</w:t>
            </w:r>
          </w:p>
        </w:tc>
      </w:tr>
      <w:tr w:rsidR="7C64760A" w14:paraId="57C39156" w14:textId="77777777" w:rsidTr="7C64760A">
        <w:trPr>
          <w:trHeight w:val="300"/>
        </w:trPr>
        <w:tc>
          <w:tcPr>
            <w:cnfStyle w:val="001000000000" w:firstRow="0" w:lastRow="0" w:firstColumn="1" w:lastColumn="0" w:oddVBand="0" w:evenVBand="0" w:oddHBand="0" w:evenHBand="0" w:firstRowFirstColumn="0" w:firstRowLastColumn="0" w:lastRowFirstColumn="0" w:lastRowLastColumn="0"/>
            <w:tcW w:w="960" w:type="dxa"/>
          </w:tcPr>
          <w:p w14:paraId="4D985A14" w14:textId="1157C729"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AM</w:t>
            </w:r>
          </w:p>
        </w:tc>
        <w:tc>
          <w:tcPr>
            <w:tcW w:w="1140" w:type="dxa"/>
          </w:tcPr>
          <w:p w14:paraId="50BF9CC2" w14:textId="611B39D3"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FAPEAM</w:t>
            </w:r>
          </w:p>
        </w:tc>
        <w:tc>
          <w:tcPr>
            <w:tcW w:w="2880" w:type="dxa"/>
          </w:tcPr>
          <w:p w14:paraId="27116993" w14:textId="1A6D0A78" w:rsidR="7C64760A" w:rsidRDefault="7C64760A" w:rsidP="7C6476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8">
              <w:r w:rsidRPr="7C64760A">
                <w:rPr>
                  <w:rStyle w:val="Hyperlink"/>
                  <w:rFonts w:ascii="Times New Roman" w:eastAsia="Times New Roman" w:hAnsi="Times New Roman" w:cs="Times New Roman"/>
                  <w:sz w:val="20"/>
                  <w:szCs w:val="20"/>
                </w:rPr>
                <w:t>http://www.fapeam.am.gov.br/</w:t>
              </w:r>
            </w:hyperlink>
          </w:p>
        </w:tc>
        <w:tc>
          <w:tcPr>
            <w:tcW w:w="4035" w:type="dxa"/>
          </w:tcPr>
          <w:p w14:paraId="20060BB6" w14:textId="2A7C8C07" w:rsidR="7C64760A" w:rsidRPr="002D4CE2"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prestação de contas</w:t>
            </w:r>
          </w:p>
        </w:tc>
      </w:tr>
      <w:tr w:rsidR="7C64760A" w14:paraId="1033D042" w14:textId="77777777" w:rsidTr="7C6476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Pr>
          <w:p w14:paraId="41F10053" w14:textId="0D49C3E7"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BA</w:t>
            </w:r>
          </w:p>
        </w:tc>
        <w:tc>
          <w:tcPr>
            <w:tcW w:w="1140" w:type="dxa"/>
          </w:tcPr>
          <w:p w14:paraId="1B8FCCA7" w14:textId="0EFE716A"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FAPESB</w:t>
            </w:r>
          </w:p>
        </w:tc>
        <w:tc>
          <w:tcPr>
            <w:tcW w:w="2880" w:type="dxa"/>
          </w:tcPr>
          <w:p w14:paraId="7C129860" w14:textId="0FD420D6" w:rsidR="7C64760A" w:rsidRDefault="7C64760A" w:rsidP="7C6476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9">
              <w:r w:rsidRPr="7C64760A">
                <w:rPr>
                  <w:rStyle w:val="Hyperlink"/>
                  <w:rFonts w:ascii="Times New Roman" w:eastAsia="Times New Roman" w:hAnsi="Times New Roman" w:cs="Times New Roman"/>
                  <w:sz w:val="20"/>
                  <w:szCs w:val="20"/>
                </w:rPr>
                <w:t>http://www.fapesb.ba.gov.br/</w:t>
              </w:r>
            </w:hyperlink>
          </w:p>
        </w:tc>
        <w:tc>
          <w:tcPr>
            <w:tcW w:w="4035" w:type="dxa"/>
          </w:tcPr>
          <w:p w14:paraId="2D611436" w14:textId="05661ECE" w:rsidR="7C64760A" w:rsidRPr="002D4CE2"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prestação de contas e gestão</w:t>
            </w:r>
          </w:p>
        </w:tc>
      </w:tr>
      <w:tr w:rsidR="7C64760A" w14:paraId="24051987" w14:textId="77777777" w:rsidTr="7C64760A">
        <w:trPr>
          <w:trHeight w:val="300"/>
        </w:trPr>
        <w:tc>
          <w:tcPr>
            <w:cnfStyle w:val="001000000000" w:firstRow="0" w:lastRow="0" w:firstColumn="1" w:lastColumn="0" w:oddVBand="0" w:evenVBand="0" w:oddHBand="0" w:evenHBand="0" w:firstRowFirstColumn="0" w:firstRowLastColumn="0" w:lastRowFirstColumn="0" w:lastRowLastColumn="0"/>
            <w:tcW w:w="960" w:type="dxa"/>
          </w:tcPr>
          <w:p w14:paraId="32C7E23A" w14:textId="60203BA1"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CE</w:t>
            </w:r>
          </w:p>
        </w:tc>
        <w:tc>
          <w:tcPr>
            <w:tcW w:w="1140" w:type="dxa"/>
          </w:tcPr>
          <w:p w14:paraId="559B5E95" w14:textId="70E379AE"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FUNCAP</w:t>
            </w:r>
          </w:p>
        </w:tc>
        <w:tc>
          <w:tcPr>
            <w:tcW w:w="2880" w:type="dxa"/>
          </w:tcPr>
          <w:p w14:paraId="1CAD8BC6" w14:textId="3295A91E" w:rsidR="7C64760A" w:rsidRDefault="7C64760A" w:rsidP="7C6476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10">
              <w:r w:rsidRPr="7C64760A">
                <w:rPr>
                  <w:rStyle w:val="Hyperlink"/>
                  <w:rFonts w:ascii="Times New Roman" w:eastAsia="Times New Roman" w:hAnsi="Times New Roman" w:cs="Times New Roman"/>
                  <w:sz w:val="20"/>
                  <w:szCs w:val="20"/>
                </w:rPr>
                <w:t>http://www.funcap.ce.gov.br/</w:t>
              </w:r>
            </w:hyperlink>
          </w:p>
        </w:tc>
        <w:tc>
          <w:tcPr>
            <w:tcW w:w="4035" w:type="dxa"/>
          </w:tcPr>
          <w:p w14:paraId="2B14E529" w14:textId="6F3F6F7B" w:rsidR="7C64760A" w:rsidRPr="002D4CE2"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gestão 2021</w:t>
            </w:r>
          </w:p>
        </w:tc>
      </w:tr>
      <w:tr w:rsidR="7C64760A" w14:paraId="13F0EF56" w14:textId="77777777" w:rsidTr="7C6476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Pr>
          <w:p w14:paraId="1AFA3DFD" w14:textId="54DFEB5D"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DF</w:t>
            </w:r>
          </w:p>
        </w:tc>
        <w:tc>
          <w:tcPr>
            <w:tcW w:w="1140" w:type="dxa"/>
          </w:tcPr>
          <w:p w14:paraId="76F90385" w14:textId="6E5001BD"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FAPDF</w:t>
            </w:r>
          </w:p>
        </w:tc>
        <w:tc>
          <w:tcPr>
            <w:tcW w:w="2880" w:type="dxa"/>
          </w:tcPr>
          <w:p w14:paraId="739F384C" w14:textId="58736600" w:rsidR="7C64760A" w:rsidRDefault="7C64760A" w:rsidP="7C6476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11">
              <w:r w:rsidRPr="7C64760A">
                <w:rPr>
                  <w:rStyle w:val="Hyperlink"/>
                  <w:rFonts w:ascii="Times New Roman" w:eastAsia="Times New Roman" w:hAnsi="Times New Roman" w:cs="Times New Roman"/>
                  <w:sz w:val="20"/>
                  <w:szCs w:val="20"/>
                </w:rPr>
                <w:t>http://www.fap.df.gov.br/</w:t>
              </w:r>
            </w:hyperlink>
          </w:p>
        </w:tc>
        <w:tc>
          <w:tcPr>
            <w:tcW w:w="4035" w:type="dxa"/>
          </w:tcPr>
          <w:p w14:paraId="2684B42F" w14:textId="79D0685D" w:rsidR="7C64760A" w:rsidRPr="002D4CE2"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gestão 2021</w:t>
            </w:r>
          </w:p>
        </w:tc>
      </w:tr>
      <w:tr w:rsidR="7C64760A" w14:paraId="1F4D3AA9" w14:textId="77777777" w:rsidTr="7C64760A">
        <w:trPr>
          <w:trHeight w:val="300"/>
        </w:trPr>
        <w:tc>
          <w:tcPr>
            <w:cnfStyle w:val="001000000000" w:firstRow="0" w:lastRow="0" w:firstColumn="1" w:lastColumn="0" w:oddVBand="0" w:evenVBand="0" w:oddHBand="0" w:evenHBand="0" w:firstRowFirstColumn="0" w:firstRowLastColumn="0" w:lastRowFirstColumn="0" w:lastRowLastColumn="0"/>
            <w:tcW w:w="960" w:type="dxa"/>
          </w:tcPr>
          <w:p w14:paraId="3D5BE825" w14:textId="215B10F7"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ES</w:t>
            </w:r>
          </w:p>
        </w:tc>
        <w:tc>
          <w:tcPr>
            <w:tcW w:w="1140" w:type="dxa"/>
          </w:tcPr>
          <w:p w14:paraId="6F62C0EB" w14:textId="7340A1D3"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FAPES</w:t>
            </w:r>
          </w:p>
        </w:tc>
        <w:tc>
          <w:tcPr>
            <w:tcW w:w="2880" w:type="dxa"/>
          </w:tcPr>
          <w:p w14:paraId="6EC3E137" w14:textId="4C18140A" w:rsidR="7C64760A" w:rsidRDefault="7C64760A" w:rsidP="7C6476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12">
              <w:r w:rsidRPr="7C64760A">
                <w:rPr>
                  <w:rStyle w:val="Hyperlink"/>
                  <w:rFonts w:ascii="Times New Roman" w:eastAsia="Times New Roman" w:hAnsi="Times New Roman" w:cs="Times New Roman"/>
                  <w:sz w:val="20"/>
                  <w:szCs w:val="20"/>
                </w:rPr>
                <w:t>http://www.fapes.es.gov.br/</w:t>
              </w:r>
            </w:hyperlink>
          </w:p>
        </w:tc>
        <w:tc>
          <w:tcPr>
            <w:tcW w:w="4035" w:type="dxa"/>
          </w:tcPr>
          <w:p w14:paraId="73A1EEB0" w14:textId="4B66926D" w:rsidR="7C64760A" w:rsidRPr="002D4CE2"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ordenador de despesas 2022 e de atividades2020</w:t>
            </w:r>
          </w:p>
        </w:tc>
      </w:tr>
      <w:tr w:rsidR="7C64760A" w14:paraId="24FB4177" w14:textId="77777777" w:rsidTr="7C6476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Pr>
          <w:p w14:paraId="71CB2906" w14:textId="06B68ECC"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GO</w:t>
            </w:r>
          </w:p>
        </w:tc>
        <w:tc>
          <w:tcPr>
            <w:tcW w:w="1140" w:type="dxa"/>
          </w:tcPr>
          <w:p w14:paraId="19EC5DBB" w14:textId="2B6BD7E3"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FAPEG</w:t>
            </w:r>
          </w:p>
        </w:tc>
        <w:tc>
          <w:tcPr>
            <w:tcW w:w="2880" w:type="dxa"/>
          </w:tcPr>
          <w:p w14:paraId="43509CDA" w14:textId="371C1698" w:rsidR="7C64760A" w:rsidRDefault="7C64760A" w:rsidP="7C6476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13">
              <w:r w:rsidRPr="7C64760A">
                <w:rPr>
                  <w:rStyle w:val="Hyperlink"/>
                  <w:rFonts w:ascii="Times New Roman" w:eastAsia="Times New Roman" w:hAnsi="Times New Roman" w:cs="Times New Roman"/>
                  <w:sz w:val="20"/>
                  <w:szCs w:val="20"/>
                </w:rPr>
                <w:t>http://www.fapeg.go.gov.br/</w:t>
              </w:r>
            </w:hyperlink>
          </w:p>
        </w:tc>
        <w:tc>
          <w:tcPr>
            <w:tcW w:w="4035" w:type="dxa"/>
          </w:tcPr>
          <w:p w14:paraId="2AD89568" w14:textId="7087ED2F" w:rsidR="7C64760A" w:rsidRPr="002D4CE2"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gestão 2020</w:t>
            </w:r>
          </w:p>
        </w:tc>
      </w:tr>
      <w:tr w:rsidR="7C64760A" w14:paraId="6980F44F" w14:textId="77777777" w:rsidTr="7C64760A">
        <w:trPr>
          <w:trHeight w:val="300"/>
        </w:trPr>
        <w:tc>
          <w:tcPr>
            <w:cnfStyle w:val="001000000000" w:firstRow="0" w:lastRow="0" w:firstColumn="1" w:lastColumn="0" w:oddVBand="0" w:evenVBand="0" w:oddHBand="0" w:evenHBand="0" w:firstRowFirstColumn="0" w:firstRowLastColumn="0" w:lastRowFirstColumn="0" w:lastRowLastColumn="0"/>
            <w:tcW w:w="960" w:type="dxa"/>
          </w:tcPr>
          <w:p w14:paraId="2DB6F209" w14:textId="296DD642"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MA</w:t>
            </w:r>
          </w:p>
        </w:tc>
        <w:tc>
          <w:tcPr>
            <w:tcW w:w="1140" w:type="dxa"/>
          </w:tcPr>
          <w:p w14:paraId="1DDE7AD1" w14:textId="538AF9E8"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FAPEMA</w:t>
            </w:r>
          </w:p>
        </w:tc>
        <w:tc>
          <w:tcPr>
            <w:tcW w:w="2880" w:type="dxa"/>
          </w:tcPr>
          <w:p w14:paraId="55E7EC4F" w14:textId="38AB268B" w:rsidR="7C64760A" w:rsidRDefault="7C64760A" w:rsidP="7C6476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14">
              <w:r w:rsidRPr="7C64760A">
                <w:rPr>
                  <w:rStyle w:val="Hyperlink"/>
                  <w:rFonts w:ascii="Times New Roman" w:eastAsia="Times New Roman" w:hAnsi="Times New Roman" w:cs="Times New Roman"/>
                  <w:sz w:val="20"/>
                  <w:szCs w:val="20"/>
                </w:rPr>
                <w:t>http://www.fapema.br/</w:t>
              </w:r>
            </w:hyperlink>
          </w:p>
        </w:tc>
        <w:tc>
          <w:tcPr>
            <w:tcW w:w="4035" w:type="dxa"/>
          </w:tcPr>
          <w:p w14:paraId="64B699F1" w14:textId="4E717478" w:rsidR="7C64760A" w:rsidRPr="002D4CE2"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gestão 2022</w:t>
            </w:r>
          </w:p>
        </w:tc>
      </w:tr>
      <w:tr w:rsidR="7C64760A" w14:paraId="4C553BBF" w14:textId="77777777" w:rsidTr="7C64760A">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960" w:type="dxa"/>
          </w:tcPr>
          <w:p w14:paraId="0813B138" w14:textId="7290DE0D"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MT</w:t>
            </w:r>
          </w:p>
        </w:tc>
        <w:tc>
          <w:tcPr>
            <w:tcW w:w="1140" w:type="dxa"/>
          </w:tcPr>
          <w:p w14:paraId="2A072802" w14:textId="0D0A9865"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FAPEMAT</w:t>
            </w:r>
          </w:p>
        </w:tc>
        <w:tc>
          <w:tcPr>
            <w:tcW w:w="2880" w:type="dxa"/>
          </w:tcPr>
          <w:p w14:paraId="19C0DA5A" w14:textId="2CBA8B0A" w:rsidR="7C64760A" w:rsidRDefault="7C64760A" w:rsidP="7C6476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15">
              <w:r w:rsidRPr="7C64760A">
                <w:rPr>
                  <w:rStyle w:val="Hyperlink"/>
                  <w:rFonts w:ascii="Times New Roman" w:eastAsia="Times New Roman" w:hAnsi="Times New Roman" w:cs="Times New Roman"/>
                  <w:sz w:val="20"/>
                  <w:szCs w:val="20"/>
                </w:rPr>
                <w:t>https://www.fapemat.mt.gov.br/</w:t>
              </w:r>
            </w:hyperlink>
          </w:p>
        </w:tc>
        <w:tc>
          <w:tcPr>
            <w:tcW w:w="4035" w:type="dxa"/>
          </w:tcPr>
          <w:p w14:paraId="36175F29" w14:textId="332E1D95" w:rsidR="7C64760A" w:rsidRPr="002D4CE2"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relatório de ações</w:t>
            </w:r>
          </w:p>
        </w:tc>
      </w:tr>
      <w:tr w:rsidR="7C64760A" w14:paraId="24387F75" w14:textId="77777777" w:rsidTr="7C64760A">
        <w:trPr>
          <w:trHeight w:val="60"/>
        </w:trPr>
        <w:tc>
          <w:tcPr>
            <w:cnfStyle w:val="001000000000" w:firstRow="0" w:lastRow="0" w:firstColumn="1" w:lastColumn="0" w:oddVBand="0" w:evenVBand="0" w:oddHBand="0" w:evenHBand="0" w:firstRowFirstColumn="0" w:firstRowLastColumn="0" w:lastRowFirstColumn="0" w:lastRowLastColumn="0"/>
            <w:tcW w:w="960" w:type="dxa"/>
          </w:tcPr>
          <w:p w14:paraId="695FC013" w14:textId="001BF246"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lastRenderedPageBreak/>
              <w:t>MS</w:t>
            </w:r>
          </w:p>
        </w:tc>
        <w:tc>
          <w:tcPr>
            <w:tcW w:w="1140" w:type="dxa"/>
          </w:tcPr>
          <w:p w14:paraId="5F79FA4D" w14:textId="79AA24EC"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FUNDECT</w:t>
            </w:r>
          </w:p>
        </w:tc>
        <w:tc>
          <w:tcPr>
            <w:tcW w:w="2880" w:type="dxa"/>
          </w:tcPr>
          <w:p w14:paraId="5742B9DC" w14:textId="51550153" w:rsidR="7C64760A" w:rsidRDefault="7C64760A" w:rsidP="7C6476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16">
              <w:r w:rsidRPr="7C64760A">
                <w:rPr>
                  <w:rStyle w:val="Hyperlink"/>
                  <w:rFonts w:ascii="Times New Roman" w:eastAsia="Times New Roman" w:hAnsi="Times New Roman" w:cs="Times New Roman"/>
                  <w:sz w:val="20"/>
                  <w:szCs w:val="20"/>
                </w:rPr>
                <w:t>http://www.fundect.ms.gov.br/</w:t>
              </w:r>
            </w:hyperlink>
          </w:p>
        </w:tc>
        <w:tc>
          <w:tcPr>
            <w:tcW w:w="4035" w:type="dxa"/>
          </w:tcPr>
          <w:p w14:paraId="2AFB6988" w14:textId="6A3EFF3E" w:rsidR="7C64760A" w:rsidRPr="002D4CE2"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gestão 2022</w:t>
            </w:r>
          </w:p>
        </w:tc>
      </w:tr>
      <w:tr w:rsidR="7C64760A" w14:paraId="0F2CAC43" w14:textId="77777777" w:rsidTr="7C64760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960" w:type="dxa"/>
          </w:tcPr>
          <w:p w14:paraId="3A53D45F" w14:textId="7EB5ADF2"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MG</w:t>
            </w:r>
          </w:p>
        </w:tc>
        <w:tc>
          <w:tcPr>
            <w:tcW w:w="1140" w:type="dxa"/>
          </w:tcPr>
          <w:p w14:paraId="29D5A9EE" w14:textId="3D4032C4"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FAPEMIG</w:t>
            </w:r>
          </w:p>
        </w:tc>
        <w:tc>
          <w:tcPr>
            <w:tcW w:w="2880" w:type="dxa"/>
          </w:tcPr>
          <w:p w14:paraId="4F87EFD9" w14:textId="0E5B3970" w:rsidR="7C64760A" w:rsidRDefault="7C64760A" w:rsidP="7C6476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17">
              <w:r w:rsidRPr="7C64760A">
                <w:rPr>
                  <w:rStyle w:val="Hyperlink"/>
                  <w:rFonts w:ascii="Times New Roman" w:eastAsia="Times New Roman" w:hAnsi="Times New Roman" w:cs="Times New Roman"/>
                  <w:sz w:val="20"/>
                  <w:szCs w:val="20"/>
                </w:rPr>
                <w:t>http://www.fapemig.br/</w:t>
              </w:r>
            </w:hyperlink>
          </w:p>
        </w:tc>
        <w:tc>
          <w:tcPr>
            <w:tcW w:w="4035" w:type="dxa"/>
          </w:tcPr>
          <w:p w14:paraId="5EAE24F2" w14:textId="1E61451F" w:rsidR="7C64760A" w:rsidRPr="002D4CE2"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integridade 2021</w:t>
            </w:r>
          </w:p>
        </w:tc>
      </w:tr>
      <w:tr w:rsidR="7C64760A" w14:paraId="3281E23F" w14:textId="77777777" w:rsidTr="7C64760A">
        <w:trPr>
          <w:trHeight w:val="60"/>
        </w:trPr>
        <w:tc>
          <w:tcPr>
            <w:cnfStyle w:val="001000000000" w:firstRow="0" w:lastRow="0" w:firstColumn="1" w:lastColumn="0" w:oddVBand="0" w:evenVBand="0" w:oddHBand="0" w:evenHBand="0" w:firstRowFirstColumn="0" w:firstRowLastColumn="0" w:lastRowFirstColumn="0" w:lastRowLastColumn="0"/>
            <w:tcW w:w="960" w:type="dxa"/>
          </w:tcPr>
          <w:p w14:paraId="4169CA8C" w14:textId="111148DB"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PA</w:t>
            </w:r>
          </w:p>
        </w:tc>
        <w:tc>
          <w:tcPr>
            <w:tcW w:w="1140" w:type="dxa"/>
          </w:tcPr>
          <w:p w14:paraId="659A8D7B" w14:textId="2DEEFF6A"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FAPESPA</w:t>
            </w:r>
          </w:p>
        </w:tc>
        <w:tc>
          <w:tcPr>
            <w:tcW w:w="2880" w:type="dxa"/>
          </w:tcPr>
          <w:p w14:paraId="1F95D693" w14:textId="366D396D" w:rsidR="7C64760A" w:rsidRDefault="7C64760A" w:rsidP="7C6476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18">
              <w:r w:rsidRPr="7C64760A">
                <w:rPr>
                  <w:rStyle w:val="Hyperlink"/>
                  <w:rFonts w:ascii="Times New Roman" w:eastAsia="Times New Roman" w:hAnsi="Times New Roman" w:cs="Times New Roman"/>
                  <w:sz w:val="20"/>
                  <w:szCs w:val="20"/>
                </w:rPr>
                <w:t>http://www.fapespa.pa.gov.br/</w:t>
              </w:r>
            </w:hyperlink>
          </w:p>
        </w:tc>
        <w:tc>
          <w:tcPr>
            <w:tcW w:w="4035" w:type="dxa"/>
          </w:tcPr>
          <w:p w14:paraId="107B20EF" w14:textId="4AA62AB5" w:rsidR="7C64760A" w:rsidRPr="002D4CE2"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gestão 2022</w:t>
            </w:r>
          </w:p>
        </w:tc>
      </w:tr>
      <w:tr w:rsidR="7C64760A" w14:paraId="60EF87C9" w14:textId="77777777" w:rsidTr="7C64760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960" w:type="dxa"/>
          </w:tcPr>
          <w:p w14:paraId="28E3F026" w14:textId="407E0DD4"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PB</w:t>
            </w:r>
          </w:p>
        </w:tc>
        <w:tc>
          <w:tcPr>
            <w:tcW w:w="1140" w:type="dxa"/>
          </w:tcPr>
          <w:p w14:paraId="6CAA28BB" w14:textId="20A8ABDE"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FAPESQ</w:t>
            </w:r>
          </w:p>
        </w:tc>
        <w:tc>
          <w:tcPr>
            <w:tcW w:w="2880" w:type="dxa"/>
          </w:tcPr>
          <w:p w14:paraId="38D0BA08" w14:textId="29EE230C" w:rsidR="7C64760A" w:rsidRDefault="7C64760A" w:rsidP="7C6476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19">
              <w:r w:rsidRPr="7C64760A">
                <w:rPr>
                  <w:rStyle w:val="Hyperlink"/>
                  <w:rFonts w:ascii="Times New Roman" w:eastAsia="Times New Roman" w:hAnsi="Times New Roman" w:cs="Times New Roman"/>
                  <w:sz w:val="20"/>
                  <w:szCs w:val="20"/>
                </w:rPr>
                <w:t>http://www.fapesq.rpp.br/</w:t>
              </w:r>
            </w:hyperlink>
          </w:p>
        </w:tc>
        <w:tc>
          <w:tcPr>
            <w:tcW w:w="4035" w:type="dxa"/>
          </w:tcPr>
          <w:p w14:paraId="7381EF7B" w14:textId="501C7741" w:rsidR="7C64760A" w:rsidRPr="002D4CE2"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planejamento estratégico</w:t>
            </w:r>
          </w:p>
        </w:tc>
      </w:tr>
      <w:tr w:rsidR="7C64760A" w14:paraId="6C1162AF" w14:textId="77777777" w:rsidTr="7C64760A">
        <w:trPr>
          <w:trHeight w:val="60"/>
        </w:trPr>
        <w:tc>
          <w:tcPr>
            <w:cnfStyle w:val="001000000000" w:firstRow="0" w:lastRow="0" w:firstColumn="1" w:lastColumn="0" w:oddVBand="0" w:evenVBand="0" w:oddHBand="0" w:evenHBand="0" w:firstRowFirstColumn="0" w:firstRowLastColumn="0" w:lastRowFirstColumn="0" w:lastRowLastColumn="0"/>
            <w:tcW w:w="960" w:type="dxa"/>
          </w:tcPr>
          <w:p w14:paraId="5DE6C0ED" w14:textId="5855CBD0"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PR</w:t>
            </w:r>
          </w:p>
        </w:tc>
        <w:tc>
          <w:tcPr>
            <w:tcW w:w="1140" w:type="dxa"/>
          </w:tcPr>
          <w:p w14:paraId="61D3ADA1" w14:textId="7CD3C2A1"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w:t>
            </w:r>
          </w:p>
        </w:tc>
        <w:tc>
          <w:tcPr>
            <w:tcW w:w="2880" w:type="dxa"/>
          </w:tcPr>
          <w:p w14:paraId="0D539FA9" w14:textId="66D33C63" w:rsidR="7C64760A" w:rsidRDefault="7C64760A" w:rsidP="7C6476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20">
              <w:r w:rsidRPr="7C64760A">
                <w:rPr>
                  <w:rStyle w:val="Hyperlink"/>
                  <w:rFonts w:ascii="Times New Roman" w:eastAsia="Times New Roman" w:hAnsi="Times New Roman" w:cs="Times New Roman"/>
                  <w:sz w:val="20"/>
                  <w:szCs w:val="20"/>
                </w:rPr>
                <w:t>http://www.fappr.pr.gov.br/</w:t>
              </w:r>
            </w:hyperlink>
          </w:p>
        </w:tc>
        <w:tc>
          <w:tcPr>
            <w:tcW w:w="4035" w:type="dxa"/>
          </w:tcPr>
          <w:p w14:paraId="5CB841FE" w14:textId="09E41E5E" w:rsidR="7C64760A" w:rsidRPr="002D4CE2"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relatório de gestão e prestação de contas</w:t>
            </w:r>
          </w:p>
        </w:tc>
      </w:tr>
      <w:tr w:rsidR="7C64760A" w14:paraId="698BF234" w14:textId="77777777" w:rsidTr="7C6476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Pr>
          <w:p w14:paraId="41F3123A" w14:textId="3CFD8101"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PE</w:t>
            </w:r>
          </w:p>
        </w:tc>
        <w:tc>
          <w:tcPr>
            <w:tcW w:w="1140" w:type="dxa"/>
          </w:tcPr>
          <w:p w14:paraId="70598EC0" w14:textId="23D2CDE1"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FACEPE</w:t>
            </w:r>
          </w:p>
        </w:tc>
        <w:tc>
          <w:tcPr>
            <w:tcW w:w="2880" w:type="dxa"/>
          </w:tcPr>
          <w:p w14:paraId="76E3AA28" w14:textId="62821563" w:rsidR="7C64760A" w:rsidRDefault="7C64760A" w:rsidP="7C6476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21">
              <w:r w:rsidRPr="7C64760A">
                <w:rPr>
                  <w:rStyle w:val="Hyperlink"/>
                  <w:rFonts w:ascii="Times New Roman" w:eastAsia="Times New Roman" w:hAnsi="Times New Roman" w:cs="Times New Roman"/>
                  <w:sz w:val="20"/>
                  <w:szCs w:val="20"/>
                </w:rPr>
                <w:t>http://www.facepe.br/</w:t>
              </w:r>
            </w:hyperlink>
          </w:p>
        </w:tc>
        <w:tc>
          <w:tcPr>
            <w:tcW w:w="4035" w:type="dxa"/>
          </w:tcPr>
          <w:p w14:paraId="357B2053" w14:textId="22F38C3E" w:rsidR="7C64760A" w:rsidRPr="002D4CE2"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relatório de atividades</w:t>
            </w:r>
          </w:p>
        </w:tc>
      </w:tr>
      <w:tr w:rsidR="7C64760A" w14:paraId="3A831CBF" w14:textId="77777777" w:rsidTr="7C64760A">
        <w:trPr>
          <w:trHeight w:val="300"/>
        </w:trPr>
        <w:tc>
          <w:tcPr>
            <w:cnfStyle w:val="001000000000" w:firstRow="0" w:lastRow="0" w:firstColumn="1" w:lastColumn="0" w:oddVBand="0" w:evenVBand="0" w:oddHBand="0" w:evenHBand="0" w:firstRowFirstColumn="0" w:firstRowLastColumn="0" w:lastRowFirstColumn="0" w:lastRowLastColumn="0"/>
            <w:tcW w:w="960" w:type="dxa"/>
          </w:tcPr>
          <w:p w14:paraId="196F3092" w14:textId="1A3795B5"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PI</w:t>
            </w:r>
          </w:p>
        </w:tc>
        <w:tc>
          <w:tcPr>
            <w:tcW w:w="1140" w:type="dxa"/>
          </w:tcPr>
          <w:p w14:paraId="36D8F138" w14:textId="01CAF730"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FAPEPI</w:t>
            </w:r>
          </w:p>
        </w:tc>
        <w:tc>
          <w:tcPr>
            <w:tcW w:w="2880" w:type="dxa"/>
          </w:tcPr>
          <w:p w14:paraId="5A56621E" w14:textId="5175DE70" w:rsidR="7C64760A" w:rsidRDefault="7C64760A" w:rsidP="7C6476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22">
              <w:r w:rsidRPr="7C64760A">
                <w:rPr>
                  <w:rStyle w:val="Hyperlink"/>
                  <w:rFonts w:ascii="Times New Roman" w:eastAsia="Times New Roman" w:hAnsi="Times New Roman" w:cs="Times New Roman"/>
                  <w:sz w:val="20"/>
                  <w:szCs w:val="20"/>
                </w:rPr>
                <w:t>http://www.fapepi.pi.gov.br/</w:t>
              </w:r>
            </w:hyperlink>
          </w:p>
        </w:tc>
        <w:tc>
          <w:tcPr>
            <w:tcW w:w="4035" w:type="dxa"/>
          </w:tcPr>
          <w:p w14:paraId="5787BB86" w14:textId="7DF9546F" w:rsidR="7C64760A" w:rsidRPr="002D4CE2"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gestão 2022</w:t>
            </w:r>
          </w:p>
        </w:tc>
      </w:tr>
      <w:tr w:rsidR="7C64760A" w14:paraId="41C990C2" w14:textId="77777777" w:rsidTr="7C6476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Pr>
          <w:p w14:paraId="10334FBA" w14:textId="7AC79497"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RJ</w:t>
            </w:r>
          </w:p>
        </w:tc>
        <w:tc>
          <w:tcPr>
            <w:tcW w:w="1140" w:type="dxa"/>
          </w:tcPr>
          <w:p w14:paraId="533AD893" w14:textId="66327392"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FAPERJ</w:t>
            </w:r>
          </w:p>
        </w:tc>
        <w:tc>
          <w:tcPr>
            <w:tcW w:w="2880" w:type="dxa"/>
          </w:tcPr>
          <w:p w14:paraId="1D628648" w14:textId="50B6DCFC" w:rsidR="7C64760A" w:rsidRDefault="7C64760A" w:rsidP="7C6476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23">
              <w:r w:rsidRPr="7C64760A">
                <w:rPr>
                  <w:rStyle w:val="Hyperlink"/>
                  <w:rFonts w:ascii="Times New Roman" w:eastAsia="Times New Roman" w:hAnsi="Times New Roman" w:cs="Times New Roman"/>
                  <w:sz w:val="20"/>
                  <w:szCs w:val="20"/>
                </w:rPr>
                <w:t>http://www.faperj.br/</w:t>
              </w:r>
            </w:hyperlink>
          </w:p>
        </w:tc>
        <w:tc>
          <w:tcPr>
            <w:tcW w:w="4035" w:type="dxa"/>
          </w:tcPr>
          <w:p w14:paraId="7B899433" w14:textId="7D26BAB3" w:rsidR="7C64760A" w:rsidRPr="002D4CE2"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portal da transparência</w:t>
            </w:r>
          </w:p>
        </w:tc>
      </w:tr>
      <w:tr w:rsidR="7C64760A" w14:paraId="7BAA9369" w14:textId="77777777" w:rsidTr="7C64760A">
        <w:trPr>
          <w:trHeight w:val="300"/>
        </w:trPr>
        <w:tc>
          <w:tcPr>
            <w:cnfStyle w:val="001000000000" w:firstRow="0" w:lastRow="0" w:firstColumn="1" w:lastColumn="0" w:oddVBand="0" w:evenVBand="0" w:oddHBand="0" w:evenHBand="0" w:firstRowFirstColumn="0" w:firstRowLastColumn="0" w:lastRowFirstColumn="0" w:lastRowLastColumn="0"/>
            <w:tcW w:w="960" w:type="dxa"/>
          </w:tcPr>
          <w:p w14:paraId="5A8E96C8" w14:textId="67CDF30E"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RS</w:t>
            </w:r>
          </w:p>
        </w:tc>
        <w:tc>
          <w:tcPr>
            <w:tcW w:w="1140" w:type="dxa"/>
          </w:tcPr>
          <w:p w14:paraId="17ABBED5" w14:textId="7B2D1F95"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FAPERGS</w:t>
            </w:r>
          </w:p>
        </w:tc>
        <w:tc>
          <w:tcPr>
            <w:tcW w:w="2880" w:type="dxa"/>
          </w:tcPr>
          <w:p w14:paraId="47CCE821" w14:textId="1DFF69FF" w:rsidR="7C64760A" w:rsidRDefault="7C64760A" w:rsidP="7C6476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24">
              <w:r w:rsidRPr="7C64760A">
                <w:rPr>
                  <w:rStyle w:val="Hyperlink"/>
                  <w:rFonts w:ascii="Times New Roman" w:eastAsia="Times New Roman" w:hAnsi="Times New Roman" w:cs="Times New Roman"/>
                  <w:sz w:val="20"/>
                  <w:szCs w:val="20"/>
                </w:rPr>
                <w:t>http://www.fapergs.rs.gov.br/</w:t>
              </w:r>
            </w:hyperlink>
          </w:p>
        </w:tc>
        <w:tc>
          <w:tcPr>
            <w:tcW w:w="4035" w:type="dxa"/>
          </w:tcPr>
          <w:p w14:paraId="6F22E97B" w14:textId="7DDAE4FA" w:rsidR="7C64760A" w:rsidRPr="002D4CE2"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gestão 2021</w:t>
            </w:r>
          </w:p>
        </w:tc>
      </w:tr>
      <w:tr w:rsidR="7C64760A" w14:paraId="5B2C60CF" w14:textId="77777777" w:rsidTr="7C6476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Pr>
          <w:p w14:paraId="7E3141DB" w14:textId="5382B458"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SC</w:t>
            </w:r>
          </w:p>
        </w:tc>
        <w:tc>
          <w:tcPr>
            <w:tcW w:w="1140" w:type="dxa"/>
          </w:tcPr>
          <w:p w14:paraId="2CA658A4" w14:textId="535B2723"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FAPESC</w:t>
            </w:r>
          </w:p>
        </w:tc>
        <w:tc>
          <w:tcPr>
            <w:tcW w:w="2880" w:type="dxa"/>
          </w:tcPr>
          <w:p w14:paraId="4F2B1643" w14:textId="0FEE013D" w:rsidR="7C64760A" w:rsidRDefault="7C64760A" w:rsidP="7C6476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25">
              <w:r w:rsidRPr="7C64760A">
                <w:rPr>
                  <w:rStyle w:val="Hyperlink"/>
                  <w:rFonts w:ascii="Times New Roman" w:eastAsia="Times New Roman" w:hAnsi="Times New Roman" w:cs="Times New Roman"/>
                  <w:sz w:val="20"/>
                  <w:szCs w:val="20"/>
                </w:rPr>
                <w:t>http://www.fapesc.sc.gov.br/</w:t>
              </w:r>
            </w:hyperlink>
          </w:p>
        </w:tc>
        <w:tc>
          <w:tcPr>
            <w:tcW w:w="4035" w:type="dxa"/>
          </w:tcPr>
          <w:p w14:paraId="7B17F780" w14:textId="1EBE6F01" w:rsidR="7C64760A" w:rsidRPr="002D4CE2"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gestão 2022</w:t>
            </w:r>
          </w:p>
        </w:tc>
      </w:tr>
      <w:tr w:rsidR="7C64760A" w14:paraId="3C4A42BF" w14:textId="77777777" w:rsidTr="7C64760A">
        <w:trPr>
          <w:trHeight w:val="300"/>
        </w:trPr>
        <w:tc>
          <w:tcPr>
            <w:cnfStyle w:val="001000000000" w:firstRow="0" w:lastRow="0" w:firstColumn="1" w:lastColumn="0" w:oddVBand="0" w:evenVBand="0" w:oddHBand="0" w:evenHBand="0" w:firstRowFirstColumn="0" w:firstRowLastColumn="0" w:lastRowFirstColumn="0" w:lastRowLastColumn="0"/>
            <w:tcW w:w="960" w:type="dxa"/>
          </w:tcPr>
          <w:p w14:paraId="3DF5AC41" w14:textId="44EB4C18"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SP</w:t>
            </w:r>
          </w:p>
        </w:tc>
        <w:tc>
          <w:tcPr>
            <w:tcW w:w="1140" w:type="dxa"/>
          </w:tcPr>
          <w:p w14:paraId="7268C5EF" w14:textId="4565E639"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FAPESP</w:t>
            </w:r>
          </w:p>
        </w:tc>
        <w:tc>
          <w:tcPr>
            <w:tcW w:w="2880" w:type="dxa"/>
          </w:tcPr>
          <w:p w14:paraId="599D43FF" w14:textId="1363CCA9" w:rsidR="7C64760A" w:rsidRDefault="7C64760A" w:rsidP="7C6476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26">
              <w:r w:rsidRPr="7C64760A">
                <w:rPr>
                  <w:rStyle w:val="Hyperlink"/>
                  <w:rFonts w:ascii="Times New Roman" w:eastAsia="Times New Roman" w:hAnsi="Times New Roman" w:cs="Times New Roman"/>
                  <w:sz w:val="20"/>
                  <w:szCs w:val="20"/>
                </w:rPr>
                <w:t>http://www.fapesp.br/</w:t>
              </w:r>
            </w:hyperlink>
          </w:p>
        </w:tc>
        <w:tc>
          <w:tcPr>
            <w:tcW w:w="4035" w:type="dxa"/>
          </w:tcPr>
          <w:p w14:paraId="0F41D5BB" w14:textId="7F83403D" w:rsidR="7C64760A" w:rsidRPr="002D4CE2"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gestão 2021</w:t>
            </w:r>
          </w:p>
        </w:tc>
      </w:tr>
      <w:tr w:rsidR="7C64760A" w14:paraId="199A3320" w14:textId="77777777" w:rsidTr="7C6476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Pr>
          <w:p w14:paraId="313214FF" w14:textId="76F38440"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SE</w:t>
            </w:r>
          </w:p>
        </w:tc>
        <w:tc>
          <w:tcPr>
            <w:tcW w:w="1140" w:type="dxa"/>
          </w:tcPr>
          <w:p w14:paraId="788D12AB" w14:textId="7B38E2E3"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FAPITEC</w:t>
            </w:r>
          </w:p>
        </w:tc>
        <w:tc>
          <w:tcPr>
            <w:tcW w:w="2880" w:type="dxa"/>
          </w:tcPr>
          <w:p w14:paraId="6353D813" w14:textId="3689BAEE" w:rsidR="7C64760A" w:rsidRDefault="7C64760A" w:rsidP="7C6476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27">
              <w:r w:rsidRPr="7C64760A">
                <w:rPr>
                  <w:rStyle w:val="Hyperlink"/>
                  <w:rFonts w:ascii="Times New Roman" w:eastAsia="Times New Roman" w:hAnsi="Times New Roman" w:cs="Times New Roman"/>
                  <w:sz w:val="20"/>
                  <w:szCs w:val="20"/>
                </w:rPr>
                <w:t>http://www.fapitec.se.gov.br/</w:t>
              </w:r>
            </w:hyperlink>
          </w:p>
        </w:tc>
        <w:tc>
          <w:tcPr>
            <w:tcW w:w="4035" w:type="dxa"/>
          </w:tcPr>
          <w:p w14:paraId="6C087A54" w14:textId="789B1236" w:rsidR="7C64760A" w:rsidRPr="002D4CE2"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2D4CE2">
              <w:rPr>
                <w:rFonts w:ascii="Times New Roman" w:eastAsia="Times New Roman" w:hAnsi="Times New Roman" w:cs="Times New Roman"/>
                <w:color w:val="000000" w:themeColor="text1"/>
                <w:sz w:val="20"/>
                <w:szCs w:val="20"/>
              </w:rPr>
              <w:t>atividades e balanço</w:t>
            </w:r>
          </w:p>
        </w:tc>
      </w:tr>
      <w:tr w:rsidR="7C64760A" w14:paraId="47CD57FE" w14:textId="77777777" w:rsidTr="7C64760A">
        <w:trPr>
          <w:trHeight w:val="300"/>
        </w:trPr>
        <w:tc>
          <w:tcPr>
            <w:cnfStyle w:val="001000000000" w:firstRow="0" w:lastRow="0" w:firstColumn="1" w:lastColumn="0" w:oddVBand="0" w:evenVBand="0" w:oddHBand="0" w:evenHBand="0" w:firstRowFirstColumn="0" w:firstRowLastColumn="0" w:lastRowFirstColumn="0" w:lastRowLastColumn="0"/>
            <w:tcW w:w="960" w:type="dxa"/>
          </w:tcPr>
          <w:p w14:paraId="34D2EF12" w14:textId="42961240"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TO</w:t>
            </w:r>
          </w:p>
        </w:tc>
        <w:tc>
          <w:tcPr>
            <w:tcW w:w="1140" w:type="dxa"/>
          </w:tcPr>
          <w:p w14:paraId="0016E966" w14:textId="2DC83445"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FAPT</w:t>
            </w:r>
          </w:p>
        </w:tc>
        <w:tc>
          <w:tcPr>
            <w:tcW w:w="2880" w:type="dxa"/>
          </w:tcPr>
          <w:p w14:paraId="6E3EB661" w14:textId="24BBECE6" w:rsidR="7C64760A" w:rsidRDefault="7C64760A" w:rsidP="7C6476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28">
              <w:r w:rsidRPr="7C64760A">
                <w:rPr>
                  <w:rStyle w:val="Hyperlink"/>
                  <w:rFonts w:ascii="Times New Roman" w:eastAsia="Times New Roman" w:hAnsi="Times New Roman" w:cs="Times New Roman"/>
                  <w:sz w:val="20"/>
                  <w:szCs w:val="20"/>
                </w:rPr>
                <w:t>http://www.fapt.to.gov.br/</w:t>
              </w:r>
            </w:hyperlink>
          </w:p>
        </w:tc>
        <w:tc>
          <w:tcPr>
            <w:tcW w:w="4035" w:type="dxa"/>
          </w:tcPr>
          <w:p w14:paraId="206D5F89" w14:textId="1B45F8DE"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portal da transparência</w:t>
            </w:r>
          </w:p>
        </w:tc>
      </w:tr>
      <w:tr w:rsidR="7C64760A" w14:paraId="1166722F" w14:textId="77777777" w:rsidTr="7C6476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Pr>
          <w:p w14:paraId="7EB53EA3" w14:textId="1C53719F"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RO</w:t>
            </w:r>
          </w:p>
        </w:tc>
        <w:tc>
          <w:tcPr>
            <w:tcW w:w="1140" w:type="dxa"/>
          </w:tcPr>
          <w:p w14:paraId="26D843A5" w14:textId="71CE3FD3"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FAPERO</w:t>
            </w:r>
          </w:p>
        </w:tc>
        <w:tc>
          <w:tcPr>
            <w:tcW w:w="2880" w:type="dxa"/>
          </w:tcPr>
          <w:p w14:paraId="58F565F3" w14:textId="3AA8A4EA" w:rsidR="7C64760A" w:rsidRDefault="7C64760A" w:rsidP="7C6476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29">
              <w:r w:rsidRPr="7C64760A">
                <w:rPr>
                  <w:rStyle w:val="Hyperlink"/>
                  <w:rFonts w:ascii="Times New Roman" w:eastAsia="Times New Roman" w:hAnsi="Times New Roman" w:cs="Times New Roman"/>
                  <w:sz w:val="20"/>
                  <w:szCs w:val="20"/>
                </w:rPr>
                <w:t>https://rondonia.ro.gov.br/fapero/</w:t>
              </w:r>
            </w:hyperlink>
          </w:p>
        </w:tc>
        <w:tc>
          <w:tcPr>
            <w:tcW w:w="4035" w:type="dxa"/>
          </w:tcPr>
          <w:p w14:paraId="1404692B" w14:textId="6066CB61"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portal da transparência</w:t>
            </w:r>
          </w:p>
        </w:tc>
      </w:tr>
      <w:tr w:rsidR="7C64760A" w14:paraId="19679C35" w14:textId="77777777" w:rsidTr="7C64760A">
        <w:trPr>
          <w:trHeight w:val="300"/>
        </w:trPr>
        <w:tc>
          <w:tcPr>
            <w:cnfStyle w:val="001000000000" w:firstRow="0" w:lastRow="0" w:firstColumn="1" w:lastColumn="0" w:oddVBand="0" w:evenVBand="0" w:oddHBand="0" w:evenHBand="0" w:firstRowFirstColumn="0" w:firstRowLastColumn="0" w:lastRowFirstColumn="0" w:lastRowLastColumn="0"/>
            <w:tcW w:w="960" w:type="dxa"/>
          </w:tcPr>
          <w:p w14:paraId="094F729C" w14:textId="2058A727"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RR</w:t>
            </w:r>
          </w:p>
        </w:tc>
        <w:tc>
          <w:tcPr>
            <w:tcW w:w="1140" w:type="dxa"/>
          </w:tcPr>
          <w:p w14:paraId="45AA07CC" w14:textId="066C14A1"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FAPERR</w:t>
            </w:r>
          </w:p>
        </w:tc>
        <w:tc>
          <w:tcPr>
            <w:tcW w:w="2880" w:type="dxa"/>
          </w:tcPr>
          <w:p w14:paraId="65176F54" w14:textId="3B72E2C2" w:rsidR="7C64760A" w:rsidRDefault="7C64760A" w:rsidP="7C6476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30">
              <w:r w:rsidRPr="7C64760A">
                <w:rPr>
                  <w:rStyle w:val="Hyperlink"/>
                  <w:rFonts w:ascii="Times New Roman" w:eastAsia="Times New Roman" w:hAnsi="Times New Roman" w:cs="Times New Roman"/>
                  <w:sz w:val="20"/>
                  <w:szCs w:val="20"/>
                </w:rPr>
                <w:t>https://www.faperr.rr.gov.br/</w:t>
              </w:r>
            </w:hyperlink>
          </w:p>
        </w:tc>
        <w:tc>
          <w:tcPr>
            <w:tcW w:w="4035" w:type="dxa"/>
          </w:tcPr>
          <w:p w14:paraId="71A54349" w14:textId="0C3EDB6A" w:rsidR="7C64760A" w:rsidRDefault="7C64760A"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portal da transparência</w:t>
            </w:r>
          </w:p>
        </w:tc>
      </w:tr>
      <w:tr w:rsidR="7C64760A" w14:paraId="0D07765A" w14:textId="77777777" w:rsidTr="7C6476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Pr>
          <w:p w14:paraId="223C3998" w14:textId="3DAE032A" w:rsidR="7C64760A" w:rsidRDefault="7C64760A" w:rsidP="7C64760A">
            <w:pPr>
              <w:jc w:val="center"/>
              <w:rPr>
                <w:rFonts w:ascii="Times New Roman" w:eastAsia="Times New Roman" w:hAnsi="Times New Roman" w:cs="Times New Roman"/>
                <w:b w:val="0"/>
                <w:bCs w:val="0"/>
                <w:color w:val="000000" w:themeColor="text1"/>
                <w:sz w:val="20"/>
                <w:szCs w:val="20"/>
              </w:rPr>
            </w:pPr>
            <w:r w:rsidRPr="7C64760A">
              <w:rPr>
                <w:rFonts w:ascii="Times New Roman" w:eastAsia="Times New Roman" w:hAnsi="Times New Roman" w:cs="Times New Roman"/>
                <w:b w:val="0"/>
                <w:bCs w:val="0"/>
                <w:color w:val="000000" w:themeColor="text1"/>
                <w:sz w:val="20"/>
                <w:szCs w:val="20"/>
              </w:rPr>
              <w:t>RN</w:t>
            </w:r>
          </w:p>
        </w:tc>
        <w:tc>
          <w:tcPr>
            <w:tcW w:w="1140" w:type="dxa"/>
          </w:tcPr>
          <w:p w14:paraId="5AFC2FA8" w14:textId="5CF8718F"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FAPERN</w:t>
            </w:r>
          </w:p>
        </w:tc>
        <w:tc>
          <w:tcPr>
            <w:tcW w:w="2880" w:type="dxa"/>
          </w:tcPr>
          <w:p w14:paraId="6172194F" w14:textId="10A3877E" w:rsidR="7C64760A" w:rsidRDefault="7C64760A" w:rsidP="7C6476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hyperlink r:id="rId31">
              <w:r w:rsidRPr="7C64760A">
                <w:rPr>
                  <w:rStyle w:val="Hyperlink"/>
                  <w:rFonts w:ascii="Times New Roman" w:eastAsia="Times New Roman" w:hAnsi="Times New Roman" w:cs="Times New Roman"/>
                  <w:sz w:val="20"/>
                  <w:szCs w:val="20"/>
                </w:rPr>
                <w:t>http://www.fapern.rn.gov.br/</w:t>
              </w:r>
            </w:hyperlink>
          </w:p>
        </w:tc>
        <w:tc>
          <w:tcPr>
            <w:tcW w:w="4035" w:type="dxa"/>
          </w:tcPr>
          <w:p w14:paraId="2F8B2513" w14:textId="0E3A9A3A" w:rsidR="7C64760A" w:rsidRDefault="7C64760A"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gestão 2022</w:t>
            </w:r>
          </w:p>
        </w:tc>
      </w:tr>
    </w:tbl>
    <w:p w14:paraId="41189167" w14:textId="6FCAEF39" w:rsidR="2EFC6082" w:rsidRDefault="2EFC6082" w:rsidP="7C64760A">
      <w:pPr>
        <w:spacing w:after="0" w:line="240" w:lineRule="auto"/>
        <w:jc w:val="both"/>
        <w:rPr>
          <w:rFonts w:ascii="Times New Roman" w:eastAsia="Times New Roman" w:hAnsi="Times New Roman" w:cs="Times New Roman"/>
          <w:color w:val="000000" w:themeColor="text1"/>
          <w:sz w:val="20"/>
          <w:szCs w:val="20"/>
        </w:rPr>
      </w:pPr>
      <w:r w:rsidRPr="7C64760A">
        <w:rPr>
          <w:rFonts w:ascii="Times New Roman" w:eastAsia="Times New Roman" w:hAnsi="Times New Roman" w:cs="Times New Roman"/>
          <w:color w:val="000000" w:themeColor="text1"/>
          <w:sz w:val="20"/>
          <w:szCs w:val="20"/>
        </w:rPr>
        <w:t>Fonte: Elaborado pelos autores.</w:t>
      </w:r>
    </w:p>
    <w:p w14:paraId="3E454390" w14:textId="098B9AAC" w:rsidR="7C64760A" w:rsidRDefault="7C64760A" w:rsidP="7C64760A">
      <w:pPr>
        <w:spacing w:after="0" w:line="240" w:lineRule="auto"/>
        <w:jc w:val="both"/>
        <w:rPr>
          <w:rFonts w:ascii="Times New Roman" w:eastAsia="Times New Roman" w:hAnsi="Times New Roman" w:cs="Times New Roman"/>
        </w:rPr>
      </w:pPr>
    </w:p>
    <w:p w14:paraId="7B45437B" w14:textId="201B5AD9" w:rsidR="7C64760A" w:rsidRDefault="7C64760A" w:rsidP="7C64760A">
      <w:pPr>
        <w:spacing w:after="0" w:line="240" w:lineRule="auto"/>
        <w:jc w:val="both"/>
        <w:rPr>
          <w:rFonts w:ascii="Times New Roman" w:eastAsia="Times New Roman" w:hAnsi="Times New Roman" w:cs="Times New Roman"/>
        </w:rPr>
      </w:pPr>
    </w:p>
    <w:p w14:paraId="573F677E" w14:textId="089A90F8" w:rsidR="05102DAF" w:rsidRDefault="05102DAF" w:rsidP="7C64760A">
      <w:pPr>
        <w:spacing w:after="0" w:line="240" w:lineRule="auto"/>
        <w:jc w:val="both"/>
        <w:rPr>
          <w:rFonts w:ascii="Times New Roman" w:eastAsia="Times New Roman" w:hAnsi="Times New Roman" w:cs="Times New Roman"/>
          <w:b/>
          <w:bCs/>
        </w:rPr>
      </w:pPr>
      <w:r w:rsidRPr="7C64760A">
        <w:rPr>
          <w:rFonts w:ascii="Times New Roman" w:eastAsia="Times New Roman" w:hAnsi="Times New Roman" w:cs="Times New Roman"/>
          <w:b/>
          <w:bCs/>
        </w:rPr>
        <w:t>3.3 Definição de Variáveis e Base de Dados</w:t>
      </w:r>
    </w:p>
    <w:p w14:paraId="1B18B7A8" w14:textId="6B7EAB82" w:rsidR="367159B0" w:rsidRDefault="367159B0"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Em relação às variáveis independentes (receitas financeiras), o levantamento foi realizado a partir das demonstrações contábeis e notas explicativas publicadas pelas fundações, todas tendo como ano de referência o exercício financeiro de 2022. Diferentemente do índice de transparência, as receitas não foram tratadas como variáveis dummy. Elas foram coletadas como variáveis quantitativas contínuas, representadas em milhões de reais, e posteriormente classificadas em cinco tipologias de arrecadação: Transferências Públicas, Transferências Internacionais, Receitas Próprias, Receitas de Pessoas Físicas e Jurídicas, e Outras Receitas.</w:t>
      </w:r>
    </w:p>
    <w:p w14:paraId="4AA6666E" w14:textId="70552939" w:rsidR="7C64760A" w:rsidRDefault="7C64760A" w:rsidP="7C64760A">
      <w:pPr>
        <w:spacing w:after="0" w:line="240" w:lineRule="auto"/>
        <w:jc w:val="both"/>
        <w:rPr>
          <w:rFonts w:ascii="Times New Roman" w:eastAsia="Times New Roman" w:hAnsi="Times New Roman" w:cs="Times New Roman"/>
        </w:rPr>
      </w:pPr>
    </w:p>
    <w:p w14:paraId="6E064514" w14:textId="198B6895" w:rsidR="05102DAF" w:rsidRDefault="05102DAF" w:rsidP="7C64760A">
      <w:pPr>
        <w:spacing w:after="0" w:line="240" w:lineRule="auto"/>
        <w:jc w:val="both"/>
        <w:rPr>
          <w:rFonts w:ascii="Times New Roman" w:eastAsia="Times New Roman" w:hAnsi="Times New Roman" w:cs="Times New Roman"/>
          <w:b/>
          <w:bCs/>
        </w:rPr>
      </w:pPr>
      <w:r w:rsidRPr="7C64760A">
        <w:rPr>
          <w:rFonts w:ascii="Times New Roman" w:eastAsia="Times New Roman" w:hAnsi="Times New Roman" w:cs="Times New Roman"/>
          <w:b/>
          <w:bCs/>
        </w:rPr>
        <w:t>3.4 Técnica de Análise de Dados</w:t>
      </w:r>
    </w:p>
    <w:p w14:paraId="17A99B28" w14:textId="2961D318" w:rsidR="512D3BBA" w:rsidRDefault="512D3BBA" w:rsidP="7C64760A">
      <w:pPr>
        <w:spacing w:after="0" w:line="240" w:lineRule="auto"/>
        <w:ind w:firstLine="708"/>
        <w:jc w:val="both"/>
        <w:rPr>
          <w:rFonts w:ascii="Times New Roman" w:eastAsia="Times New Roman" w:hAnsi="Times New Roman" w:cs="Times New Roman"/>
          <w:color w:val="000000" w:themeColor="text1"/>
        </w:rPr>
      </w:pPr>
      <w:r w:rsidRPr="7C64760A">
        <w:rPr>
          <w:rFonts w:ascii="Times New Roman" w:eastAsia="Times New Roman" w:hAnsi="Times New Roman" w:cs="Times New Roman"/>
          <w:color w:val="000000" w:themeColor="text1"/>
        </w:rPr>
        <w:t>Para a tabulação, tratamento e geração das estatísticas descritivas, utilizou-se o pacote Pandas da linguagem Python. Por fim, para testar as hipóteses de pesquisa e examinar as relações estatísticas, aplicaram-se dois testes não paramétricos. A Correlação de Spearman (rho) foi utilizada para mensurar a associação entre o nível de transparência e as variáveis contínuas de receita e governança. A adoção deste teste justifica-se pela distribuição não normal dos dados financeiros e pela forte presença de valores extremos (outliers) na amostra de receitas (como o elevado volume gerido pela FAPESP), o que inviabilizaria a utilização da correlação de Pearson. Adicionalmente, empregou-se o teste de variância de Kruskal-Wallis para avaliar as diferenças estatisticamente significativas no nível de divulgação de informações a partir da variável categórica de agrupamento regional.</w:t>
      </w:r>
    </w:p>
    <w:p w14:paraId="33A2A27F" w14:textId="3ABACB62" w:rsidR="00946FEE" w:rsidRDefault="00946FEE" w:rsidP="30909213">
      <w:pPr>
        <w:spacing w:after="0" w:line="240" w:lineRule="auto"/>
        <w:jc w:val="both"/>
        <w:rPr>
          <w:rFonts w:ascii="Times New Roman" w:eastAsia="Times New Roman" w:hAnsi="Times New Roman" w:cs="Times New Roman"/>
          <w:color w:val="FF0000"/>
        </w:rPr>
      </w:pPr>
    </w:p>
    <w:p w14:paraId="1E12583E" w14:textId="4ACE3175" w:rsidR="72D0BDB0" w:rsidRDefault="72D0BDB0" w:rsidP="7C64760A">
      <w:pPr>
        <w:spacing w:after="0" w:line="240" w:lineRule="auto"/>
        <w:jc w:val="both"/>
        <w:rPr>
          <w:rFonts w:ascii="Times New Roman" w:eastAsia="Times New Roman" w:hAnsi="Times New Roman" w:cs="Times New Roman"/>
        </w:rPr>
      </w:pPr>
      <w:r w:rsidRPr="7C64760A">
        <w:rPr>
          <w:rFonts w:ascii="Times New Roman" w:eastAsia="Times New Roman" w:hAnsi="Times New Roman" w:cs="Times New Roman"/>
          <w:b/>
          <w:bCs/>
        </w:rPr>
        <w:t>4</w:t>
      </w:r>
      <w:r w:rsidR="0D26C32B" w:rsidRPr="7C64760A">
        <w:rPr>
          <w:rFonts w:ascii="Times New Roman" w:eastAsia="Times New Roman" w:hAnsi="Times New Roman" w:cs="Times New Roman"/>
          <w:b/>
          <w:bCs/>
        </w:rPr>
        <w:t xml:space="preserve">. </w:t>
      </w:r>
      <w:r w:rsidR="6F43A143" w:rsidRPr="7C64760A">
        <w:rPr>
          <w:rFonts w:ascii="Times New Roman" w:eastAsia="Times New Roman" w:hAnsi="Times New Roman" w:cs="Times New Roman"/>
          <w:b/>
          <w:bCs/>
        </w:rPr>
        <w:t>Resultados e Análises</w:t>
      </w:r>
    </w:p>
    <w:p w14:paraId="4CAB5A3A" w14:textId="417D07E2" w:rsidR="00946FEE" w:rsidRDefault="6F43A143" w:rsidP="0CF54B23">
      <w:pPr>
        <w:spacing w:after="0" w:line="240" w:lineRule="auto"/>
        <w:jc w:val="both"/>
        <w:rPr>
          <w:rFonts w:ascii="Times New Roman" w:eastAsia="Times New Roman" w:hAnsi="Times New Roman" w:cs="Times New Roman"/>
          <w:b/>
          <w:bCs/>
        </w:rPr>
      </w:pPr>
      <w:r w:rsidRPr="7C64760A">
        <w:rPr>
          <w:rFonts w:ascii="Times New Roman" w:eastAsia="Times New Roman" w:hAnsi="Times New Roman" w:cs="Times New Roman"/>
          <w:b/>
          <w:bCs/>
        </w:rPr>
        <w:t>4</w:t>
      </w:r>
      <w:r w:rsidR="250F4C7C" w:rsidRPr="7C64760A">
        <w:rPr>
          <w:rFonts w:ascii="Times New Roman" w:eastAsia="Times New Roman" w:hAnsi="Times New Roman" w:cs="Times New Roman"/>
          <w:b/>
          <w:bCs/>
        </w:rPr>
        <w:t>.1 Estatística Descritiva e Nível de Transparência</w:t>
      </w:r>
    </w:p>
    <w:p w14:paraId="1196853D" w14:textId="0870632E" w:rsidR="00946FEE" w:rsidRDefault="7DAF5BBF" w:rsidP="7C64760A">
      <w:pPr>
        <w:spacing w:after="0"/>
        <w:jc w:val="both"/>
        <w:rPr>
          <w:rFonts w:ascii="Times New Roman" w:eastAsia="Times New Roman" w:hAnsi="Times New Roman" w:cs="Times New Roman"/>
          <w:i/>
          <w:iCs/>
        </w:rPr>
      </w:pPr>
      <w:r w:rsidRPr="7C64760A">
        <w:rPr>
          <w:rFonts w:ascii="Times New Roman" w:eastAsia="Times New Roman" w:hAnsi="Times New Roman" w:cs="Times New Roman"/>
          <w:i/>
          <w:iCs/>
        </w:rPr>
        <w:t>4</w:t>
      </w:r>
      <w:r w:rsidR="1FCE1830" w:rsidRPr="7C64760A">
        <w:rPr>
          <w:rFonts w:ascii="Times New Roman" w:eastAsia="Times New Roman" w:hAnsi="Times New Roman" w:cs="Times New Roman"/>
          <w:i/>
          <w:iCs/>
        </w:rPr>
        <w:t>.1.1 O Índice Geral de Transparência</w:t>
      </w:r>
    </w:p>
    <w:p w14:paraId="12677425" w14:textId="1C4B3653" w:rsidR="00946FEE" w:rsidRDefault="1FCE1830"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A Tabela 0</w:t>
      </w:r>
      <w:r w:rsidR="4EFC57F6" w:rsidRPr="7C64760A">
        <w:rPr>
          <w:rFonts w:ascii="Times New Roman" w:eastAsia="Times New Roman" w:hAnsi="Times New Roman" w:cs="Times New Roman"/>
        </w:rPr>
        <w:t>2</w:t>
      </w:r>
      <w:r w:rsidRPr="7C64760A">
        <w:rPr>
          <w:rFonts w:ascii="Times New Roman" w:eastAsia="Times New Roman" w:hAnsi="Times New Roman" w:cs="Times New Roman"/>
        </w:rPr>
        <w:t xml:space="preserve"> apresenta o Índice Geral de Transparência (</w:t>
      </w:r>
      <w:r w:rsidRPr="7C64760A">
        <w:rPr>
          <w:rFonts w:ascii="Times New Roman" w:eastAsia="Times New Roman" w:hAnsi="Times New Roman" w:cs="Times New Roman"/>
          <w:i/>
          <w:iCs/>
        </w:rPr>
        <w:t>disclosure</w:t>
      </w:r>
      <w:r w:rsidRPr="7C64760A">
        <w:rPr>
          <w:rFonts w:ascii="Times New Roman" w:eastAsia="Times New Roman" w:hAnsi="Times New Roman" w:cs="Times New Roman"/>
        </w:rPr>
        <w:t>) alcançado pelas 27 fundações de apoio analisadas, segmentadas por Unidade da Federação e região geográfica. O índice obedece a uma escala de 0 a 1, na qual os valores mais próximos a 1 indicam maior conformidade com os 82 critérios de evidenciação definidos pelo modelo da pesquisa. A partir da compilação estatística, a média geral do nível de transparência da amostra situou-se em 0,5506.</w:t>
      </w:r>
    </w:p>
    <w:p w14:paraId="754788EB" w14:textId="2500AC3E" w:rsidR="00946FEE" w:rsidRDefault="00946FEE" w:rsidP="0CF54B23">
      <w:pPr>
        <w:spacing w:after="0" w:line="240" w:lineRule="auto"/>
        <w:jc w:val="both"/>
        <w:rPr>
          <w:rFonts w:ascii="Times New Roman" w:eastAsia="Times New Roman" w:hAnsi="Times New Roman" w:cs="Times New Roman"/>
        </w:rPr>
      </w:pPr>
    </w:p>
    <w:p w14:paraId="34C7F4FB" w14:textId="2A4FCDC8" w:rsidR="00946FEE" w:rsidRDefault="1FCE1830" w:rsidP="0CF54B23">
      <w:pPr>
        <w:spacing w:after="0" w:line="240" w:lineRule="auto"/>
        <w:jc w:val="both"/>
        <w:rPr>
          <w:rFonts w:ascii="Times New Roman" w:eastAsia="Times New Roman" w:hAnsi="Times New Roman" w:cs="Times New Roman"/>
          <w:sz w:val="20"/>
          <w:szCs w:val="20"/>
        </w:rPr>
      </w:pPr>
      <w:r w:rsidRPr="7C64760A">
        <w:rPr>
          <w:rFonts w:ascii="Times New Roman" w:eastAsia="Times New Roman" w:hAnsi="Times New Roman" w:cs="Times New Roman"/>
          <w:b/>
          <w:bCs/>
          <w:sz w:val="20"/>
          <w:szCs w:val="20"/>
        </w:rPr>
        <w:lastRenderedPageBreak/>
        <w:t>Tabela 0</w:t>
      </w:r>
      <w:r w:rsidR="50993277" w:rsidRPr="7C64760A">
        <w:rPr>
          <w:rFonts w:ascii="Times New Roman" w:eastAsia="Times New Roman" w:hAnsi="Times New Roman" w:cs="Times New Roman"/>
          <w:b/>
          <w:bCs/>
          <w:sz w:val="20"/>
          <w:szCs w:val="20"/>
        </w:rPr>
        <w:t>2</w:t>
      </w:r>
    </w:p>
    <w:p w14:paraId="35B11D9C" w14:textId="33F4969F" w:rsidR="00946FEE" w:rsidRDefault="6B9533B5" w:rsidP="0CF54B23">
      <w:pPr>
        <w:spacing w:after="0" w:line="240" w:lineRule="auto"/>
        <w:jc w:val="both"/>
        <w:rPr>
          <w:rFonts w:ascii="Times New Roman" w:eastAsia="Times New Roman" w:hAnsi="Times New Roman" w:cs="Times New Roman"/>
          <w:i/>
          <w:iCs/>
          <w:sz w:val="20"/>
          <w:szCs w:val="20"/>
        </w:rPr>
      </w:pPr>
      <w:r w:rsidRPr="0CF54B23">
        <w:rPr>
          <w:rFonts w:ascii="Times New Roman" w:eastAsia="Times New Roman" w:hAnsi="Times New Roman" w:cs="Times New Roman"/>
          <w:i/>
          <w:iCs/>
          <w:sz w:val="20"/>
          <w:szCs w:val="20"/>
        </w:rPr>
        <w:t>Índice Geral de Transparência das Fundações de Apoio por Estado e Região (2022)</w:t>
      </w:r>
    </w:p>
    <w:tbl>
      <w:tblPr>
        <w:tblStyle w:val="SimplesTabela2"/>
        <w:tblW w:w="0" w:type="auto"/>
        <w:tblLook w:val="06A0" w:firstRow="1" w:lastRow="0" w:firstColumn="1" w:lastColumn="0" w:noHBand="1" w:noVBand="1"/>
      </w:tblPr>
      <w:tblGrid>
        <w:gridCol w:w="2269"/>
        <w:gridCol w:w="2266"/>
        <w:gridCol w:w="2267"/>
        <w:gridCol w:w="2269"/>
      </w:tblGrid>
      <w:tr w:rsidR="0CF54B23" w14:paraId="4CF5AC5C" w14:textId="77777777" w:rsidTr="0CF54B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63B961A3" w14:textId="0BC9BAAB" w:rsidR="0CF54B23" w:rsidRDefault="0CF54B23" w:rsidP="0CF54B23">
            <w:pPr>
              <w:rPr>
                <w:sz w:val="20"/>
                <w:szCs w:val="20"/>
              </w:rPr>
            </w:pPr>
            <w:r w:rsidRPr="0CF54B23">
              <w:rPr>
                <w:sz w:val="20"/>
                <w:szCs w:val="20"/>
              </w:rPr>
              <w:t>Fundação</w:t>
            </w:r>
          </w:p>
        </w:tc>
        <w:tc>
          <w:tcPr>
            <w:tcW w:w="2273" w:type="dxa"/>
            <w:vAlign w:val="center"/>
          </w:tcPr>
          <w:p w14:paraId="188F9EEE" w14:textId="09DCA005"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Estado</w:t>
            </w:r>
          </w:p>
        </w:tc>
        <w:tc>
          <w:tcPr>
            <w:tcW w:w="2273" w:type="dxa"/>
            <w:vAlign w:val="center"/>
          </w:tcPr>
          <w:p w14:paraId="65AA6588" w14:textId="587C2D77"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Região</w:t>
            </w:r>
          </w:p>
        </w:tc>
        <w:tc>
          <w:tcPr>
            <w:tcW w:w="2273" w:type="dxa"/>
            <w:vAlign w:val="center"/>
          </w:tcPr>
          <w:p w14:paraId="72111581" w14:textId="41430FE2"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Índice Geral de Transparência</w:t>
            </w:r>
          </w:p>
        </w:tc>
      </w:tr>
      <w:tr w:rsidR="0CF54B23" w14:paraId="6863127F"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6CDD0EE9" w14:textId="31219161" w:rsidR="0CF54B23" w:rsidRDefault="0CF54B23" w:rsidP="0CF54B23">
            <w:pPr>
              <w:rPr>
                <w:sz w:val="20"/>
                <w:szCs w:val="20"/>
              </w:rPr>
            </w:pPr>
            <w:r w:rsidRPr="0CF54B23">
              <w:rPr>
                <w:sz w:val="20"/>
                <w:szCs w:val="20"/>
              </w:rPr>
              <w:t>FAPESP</w:t>
            </w:r>
          </w:p>
        </w:tc>
        <w:tc>
          <w:tcPr>
            <w:tcW w:w="2273" w:type="dxa"/>
            <w:vAlign w:val="center"/>
          </w:tcPr>
          <w:p w14:paraId="21A67FE3" w14:textId="293B052C"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SP</w:t>
            </w:r>
          </w:p>
        </w:tc>
        <w:tc>
          <w:tcPr>
            <w:tcW w:w="2273" w:type="dxa"/>
            <w:vAlign w:val="center"/>
          </w:tcPr>
          <w:p w14:paraId="25844685" w14:textId="0EFB0871"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tcW w:w="2273" w:type="dxa"/>
            <w:vAlign w:val="center"/>
          </w:tcPr>
          <w:p w14:paraId="28ABE4B1" w14:textId="21EEBAF7"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0,7805</w:t>
            </w:r>
          </w:p>
        </w:tc>
      </w:tr>
      <w:tr w:rsidR="0CF54B23" w14:paraId="3A6FE83E"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3C275DD6" w14:textId="247F64FC" w:rsidR="0CF54B23" w:rsidRDefault="0CF54B23" w:rsidP="0CF54B23">
            <w:pPr>
              <w:rPr>
                <w:sz w:val="20"/>
                <w:szCs w:val="20"/>
              </w:rPr>
            </w:pPr>
            <w:r w:rsidRPr="0CF54B23">
              <w:rPr>
                <w:sz w:val="20"/>
                <w:szCs w:val="20"/>
              </w:rPr>
              <w:t>FAPDF</w:t>
            </w:r>
          </w:p>
        </w:tc>
        <w:tc>
          <w:tcPr>
            <w:tcW w:w="2273" w:type="dxa"/>
            <w:vAlign w:val="center"/>
          </w:tcPr>
          <w:p w14:paraId="0814A092" w14:textId="46F35625"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DF</w:t>
            </w:r>
          </w:p>
        </w:tc>
        <w:tc>
          <w:tcPr>
            <w:tcW w:w="2273" w:type="dxa"/>
            <w:vAlign w:val="center"/>
          </w:tcPr>
          <w:p w14:paraId="42589CA8" w14:textId="4E820DC2"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tcW w:w="2273" w:type="dxa"/>
            <w:vAlign w:val="center"/>
          </w:tcPr>
          <w:p w14:paraId="1F7AD4FD" w14:textId="68127A3E"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0,7317</w:t>
            </w:r>
          </w:p>
        </w:tc>
      </w:tr>
      <w:tr w:rsidR="0CF54B23" w14:paraId="47C34423"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1B3869EF" w14:textId="019B2E31" w:rsidR="0CF54B23" w:rsidRDefault="0CF54B23" w:rsidP="0CF54B23">
            <w:pPr>
              <w:rPr>
                <w:sz w:val="20"/>
                <w:szCs w:val="20"/>
              </w:rPr>
            </w:pPr>
            <w:r w:rsidRPr="0CF54B23">
              <w:rPr>
                <w:sz w:val="20"/>
                <w:szCs w:val="20"/>
              </w:rPr>
              <w:t>FAPEMIG</w:t>
            </w:r>
          </w:p>
        </w:tc>
        <w:tc>
          <w:tcPr>
            <w:tcW w:w="2273" w:type="dxa"/>
            <w:vAlign w:val="center"/>
          </w:tcPr>
          <w:p w14:paraId="61579226" w14:textId="40EE9F5A"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MG</w:t>
            </w:r>
          </w:p>
        </w:tc>
        <w:tc>
          <w:tcPr>
            <w:tcW w:w="2273" w:type="dxa"/>
            <w:vAlign w:val="center"/>
          </w:tcPr>
          <w:p w14:paraId="442F206F" w14:textId="3F4290BA"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tcW w:w="2273" w:type="dxa"/>
            <w:vAlign w:val="center"/>
          </w:tcPr>
          <w:p w14:paraId="27564981" w14:textId="6D80A67A"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0,7195</w:t>
            </w:r>
          </w:p>
        </w:tc>
      </w:tr>
      <w:tr w:rsidR="0CF54B23" w14:paraId="1C452522"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1F8A9CB4" w14:textId="30EB66AA" w:rsidR="0CF54B23" w:rsidRDefault="0CF54B23" w:rsidP="0CF54B23">
            <w:pPr>
              <w:rPr>
                <w:sz w:val="20"/>
                <w:szCs w:val="20"/>
              </w:rPr>
            </w:pPr>
            <w:r w:rsidRPr="0CF54B23">
              <w:rPr>
                <w:sz w:val="20"/>
                <w:szCs w:val="20"/>
              </w:rPr>
              <w:t>FAPERGS</w:t>
            </w:r>
          </w:p>
        </w:tc>
        <w:tc>
          <w:tcPr>
            <w:tcW w:w="2273" w:type="dxa"/>
            <w:vAlign w:val="center"/>
          </w:tcPr>
          <w:p w14:paraId="3DFE3629" w14:textId="27E0EF77"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RS</w:t>
            </w:r>
          </w:p>
        </w:tc>
        <w:tc>
          <w:tcPr>
            <w:tcW w:w="2273" w:type="dxa"/>
            <w:vAlign w:val="center"/>
          </w:tcPr>
          <w:p w14:paraId="672A377F" w14:textId="04F59729"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tcW w:w="2273" w:type="dxa"/>
            <w:vAlign w:val="center"/>
          </w:tcPr>
          <w:p w14:paraId="30B87EAB" w14:textId="7FB5B250"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14:paraId="43BB3222"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13FA2101" w14:textId="4508ED19" w:rsidR="0CF54B23" w:rsidRDefault="0CF54B23" w:rsidP="0CF54B23">
            <w:pPr>
              <w:rPr>
                <w:sz w:val="20"/>
                <w:szCs w:val="20"/>
              </w:rPr>
            </w:pPr>
            <w:r w:rsidRPr="0CF54B23">
              <w:rPr>
                <w:sz w:val="20"/>
                <w:szCs w:val="20"/>
              </w:rPr>
              <w:t>PAFEAL</w:t>
            </w:r>
          </w:p>
        </w:tc>
        <w:tc>
          <w:tcPr>
            <w:tcW w:w="2273" w:type="dxa"/>
            <w:vAlign w:val="center"/>
          </w:tcPr>
          <w:p w14:paraId="36B8E109" w14:textId="2FF42712"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AL</w:t>
            </w:r>
          </w:p>
        </w:tc>
        <w:tc>
          <w:tcPr>
            <w:tcW w:w="2273" w:type="dxa"/>
            <w:vAlign w:val="center"/>
          </w:tcPr>
          <w:p w14:paraId="0BF32AFB" w14:textId="3F78A15D"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tcW w:w="2273" w:type="dxa"/>
            <w:vAlign w:val="center"/>
          </w:tcPr>
          <w:p w14:paraId="61C21EF6" w14:textId="73309D5F"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14:paraId="45697BD4"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5C58AEE4" w14:textId="7B103A49" w:rsidR="0CF54B23" w:rsidRDefault="0CF54B23" w:rsidP="0CF54B23">
            <w:pPr>
              <w:rPr>
                <w:sz w:val="20"/>
                <w:szCs w:val="20"/>
              </w:rPr>
            </w:pPr>
            <w:r w:rsidRPr="0CF54B23">
              <w:rPr>
                <w:sz w:val="20"/>
                <w:szCs w:val="20"/>
              </w:rPr>
              <w:t>FAPESPA</w:t>
            </w:r>
          </w:p>
        </w:tc>
        <w:tc>
          <w:tcPr>
            <w:tcW w:w="2273" w:type="dxa"/>
            <w:vAlign w:val="center"/>
          </w:tcPr>
          <w:p w14:paraId="75B4C1B2" w14:textId="2BC0DF32"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PA</w:t>
            </w:r>
          </w:p>
        </w:tc>
        <w:tc>
          <w:tcPr>
            <w:tcW w:w="2273" w:type="dxa"/>
            <w:vAlign w:val="center"/>
          </w:tcPr>
          <w:p w14:paraId="782A8422" w14:textId="2E49E9A2"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tcW w:w="2273" w:type="dxa"/>
            <w:vAlign w:val="center"/>
          </w:tcPr>
          <w:p w14:paraId="3DED4FB7" w14:textId="4CCFE622"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14:paraId="61305B3F"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66EC1636" w14:textId="57F3D6CF" w:rsidR="0CF54B23" w:rsidRDefault="0CF54B23" w:rsidP="0CF54B23">
            <w:pPr>
              <w:rPr>
                <w:sz w:val="20"/>
                <w:szCs w:val="20"/>
              </w:rPr>
            </w:pPr>
            <w:r w:rsidRPr="0CF54B23">
              <w:rPr>
                <w:sz w:val="20"/>
                <w:szCs w:val="20"/>
              </w:rPr>
              <w:t>FUNCAP</w:t>
            </w:r>
          </w:p>
        </w:tc>
        <w:tc>
          <w:tcPr>
            <w:tcW w:w="2273" w:type="dxa"/>
            <w:vAlign w:val="center"/>
          </w:tcPr>
          <w:p w14:paraId="72192D19" w14:textId="418B381C"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w:t>
            </w:r>
          </w:p>
        </w:tc>
        <w:tc>
          <w:tcPr>
            <w:tcW w:w="2273" w:type="dxa"/>
            <w:vAlign w:val="center"/>
          </w:tcPr>
          <w:p w14:paraId="2FFA2E95" w14:textId="5AB2ACE5"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tcW w:w="2273" w:type="dxa"/>
            <w:vAlign w:val="center"/>
          </w:tcPr>
          <w:p w14:paraId="0405F1AC" w14:textId="0DD80E19"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14:paraId="6B6F8BDF"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359C804D" w14:textId="04B8F286" w:rsidR="0CF54B23" w:rsidRDefault="0CF54B23" w:rsidP="0CF54B23">
            <w:pPr>
              <w:rPr>
                <w:sz w:val="20"/>
                <w:szCs w:val="20"/>
              </w:rPr>
            </w:pPr>
            <w:r w:rsidRPr="0CF54B23">
              <w:rPr>
                <w:sz w:val="20"/>
                <w:szCs w:val="20"/>
              </w:rPr>
              <w:t>FAPERN</w:t>
            </w:r>
          </w:p>
        </w:tc>
        <w:tc>
          <w:tcPr>
            <w:tcW w:w="2273" w:type="dxa"/>
            <w:vAlign w:val="center"/>
          </w:tcPr>
          <w:p w14:paraId="03B2B28E" w14:textId="335EAF4D"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RN</w:t>
            </w:r>
          </w:p>
        </w:tc>
        <w:tc>
          <w:tcPr>
            <w:tcW w:w="2273" w:type="dxa"/>
            <w:vAlign w:val="center"/>
          </w:tcPr>
          <w:p w14:paraId="178EE2C7" w14:textId="231305F5"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tcW w:w="2273" w:type="dxa"/>
            <w:vAlign w:val="center"/>
          </w:tcPr>
          <w:p w14:paraId="2ACCC573" w14:textId="337CEE4D"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0,6585</w:t>
            </w:r>
          </w:p>
        </w:tc>
      </w:tr>
      <w:tr w:rsidR="0CF54B23" w14:paraId="57825BB3"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044A2719" w14:textId="45522377" w:rsidR="0CF54B23" w:rsidRDefault="0CF54B23" w:rsidP="0CF54B23">
            <w:pPr>
              <w:rPr>
                <w:sz w:val="20"/>
                <w:szCs w:val="20"/>
              </w:rPr>
            </w:pPr>
            <w:r w:rsidRPr="0CF54B23">
              <w:rPr>
                <w:sz w:val="20"/>
                <w:szCs w:val="20"/>
              </w:rPr>
              <w:t>FUNDECT</w:t>
            </w:r>
          </w:p>
        </w:tc>
        <w:tc>
          <w:tcPr>
            <w:tcW w:w="2273" w:type="dxa"/>
            <w:vAlign w:val="center"/>
          </w:tcPr>
          <w:p w14:paraId="490D2BD5" w14:textId="4286E778"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MS</w:t>
            </w:r>
          </w:p>
        </w:tc>
        <w:tc>
          <w:tcPr>
            <w:tcW w:w="2273" w:type="dxa"/>
            <w:vAlign w:val="center"/>
          </w:tcPr>
          <w:p w14:paraId="63C481CE" w14:textId="7C84AF48"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tcW w:w="2273" w:type="dxa"/>
            <w:vAlign w:val="center"/>
          </w:tcPr>
          <w:p w14:paraId="00BBCDB4" w14:textId="0AD83652"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0,6463</w:t>
            </w:r>
          </w:p>
        </w:tc>
      </w:tr>
      <w:tr w:rsidR="0CF54B23" w14:paraId="190167A2"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2702AD40" w14:textId="68CC7DD8" w:rsidR="0CF54B23" w:rsidRDefault="0CF54B23" w:rsidP="0CF54B23">
            <w:pPr>
              <w:rPr>
                <w:sz w:val="20"/>
                <w:szCs w:val="20"/>
              </w:rPr>
            </w:pPr>
            <w:r w:rsidRPr="0CF54B23">
              <w:rPr>
                <w:sz w:val="20"/>
                <w:szCs w:val="20"/>
              </w:rPr>
              <w:t>FAPEMA</w:t>
            </w:r>
          </w:p>
        </w:tc>
        <w:tc>
          <w:tcPr>
            <w:tcW w:w="2273" w:type="dxa"/>
            <w:vAlign w:val="center"/>
          </w:tcPr>
          <w:p w14:paraId="4E767141" w14:textId="051279E0"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MA</w:t>
            </w:r>
          </w:p>
        </w:tc>
        <w:tc>
          <w:tcPr>
            <w:tcW w:w="2273" w:type="dxa"/>
            <w:vAlign w:val="center"/>
          </w:tcPr>
          <w:p w14:paraId="3CB609E5" w14:textId="6A7203ED"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tcW w:w="2273" w:type="dxa"/>
            <w:vAlign w:val="center"/>
          </w:tcPr>
          <w:p w14:paraId="6172B032" w14:textId="10DC5E12"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0,6220</w:t>
            </w:r>
          </w:p>
        </w:tc>
      </w:tr>
      <w:tr w:rsidR="0CF54B23" w14:paraId="7DF7A887"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5FD9FFBC" w14:textId="6379B2E8" w:rsidR="0CF54B23" w:rsidRDefault="0CF54B23" w:rsidP="0CF54B23">
            <w:pPr>
              <w:rPr>
                <w:sz w:val="20"/>
                <w:szCs w:val="20"/>
              </w:rPr>
            </w:pPr>
            <w:r w:rsidRPr="0CF54B23">
              <w:rPr>
                <w:sz w:val="20"/>
                <w:szCs w:val="20"/>
              </w:rPr>
              <w:t>FA</w:t>
            </w:r>
          </w:p>
        </w:tc>
        <w:tc>
          <w:tcPr>
            <w:tcW w:w="2273" w:type="dxa"/>
            <w:vAlign w:val="center"/>
          </w:tcPr>
          <w:p w14:paraId="2D04A883" w14:textId="151CDE10"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PR</w:t>
            </w:r>
          </w:p>
        </w:tc>
        <w:tc>
          <w:tcPr>
            <w:tcW w:w="2273" w:type="dxa"/>
            <w:vAlign w:val="center"/>
          </w:tcPr>
          <w:p w14:paraId="55D586C7" w14:textId="0B5AFFB2"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tcW w:w="2273" w:type="dxa"/>
            <w:vAlign w:val="center"/>
          </w:tcPr>
          <w:p w14:paraId="1EC3306E" w14:textId="1F5E4FFA"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0,5976</w:t>
            </w:r>
          </w:p>
        </w:tc>
      </w:tr>
      <w:tr w:rsidR="0CF54B23" w14:paraId="56294425"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46E9DD23" w14:textId="1BA581DD" w:rsidR="0CF54B23" w:rsidRDefault="0CF54B23" w:rsidP="0CF54B23">
            <w:pPr>
              <w:rPr>
                <w:sz w:val="20"/>
                <w:szCs w:val="20"/>
              </w:rPr>
            </w:pPr>
            <w:r w:rsidRPr="0CF54B23">
              <w:rPr>
                <w:sz w:val="20"/>
                <w:szCs w:val="20"/>
              </w:rPr>
              <w:t>FAPEPI</w:t>
            </w:r>
          </w:p>
        </w:tc>
        <w:tc>
          <w:tcPr>
            <w:tcW w:w="2273" w:type="dxa"/>
            <w:vAlign w:val="center"/>
          </w:tcPr>
          <w:p w14:paraId="673F9C02" w14:textId="38CA9831"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PI</w:t>
            </w:r>
          </w:p>
        </w:tc>
        <w:tc>
          <w:tcPr>
            <w:tcW w:w="2273" w:type="dxa"/>
            <w:vAlign w:val="center"/>
          </w:tcPr>
          <w:p w14:paraId="545BA531" w14:textId="44B31400"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tcW w:w="2273" w:type="dxa"/>
            <w:vAlign w:val="center"/>
          </w:tcPr>
          <w:p w14:paraId="7A970603" w14:textId="50F03F31"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0,5854</w:t>
            </w:r>
          </w:p>
        </w:tc>
      </w:tr>
      <w:tr w:rsidR="0CF54B23" w14:paraId="27351522"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1A256970" w14:textId="10861407" w:rsidR="0CF54B23" w:rsidRDefault="0CF54B23" w:rsidP="0CF54B23">
            <w:pPr>
              <w:rPr>
                <w:sz w:val="20"/>
                <w:szCs w:val="20"/>
              </w:rPr>
            </w:pPr>
            <w:r w:rsidRPr="0CF54B23">
              <w:rPr>
                <w:sz w:val="20"/>
                <w:szCs w:val="20"/>
              </w:rPr>
              <w:t>FAPEG</w:t>
            </w:r>
          </w:p>
        </w:tc>
        <w:tc>
          <w:tcPr>
            <w:tcW w:w="2273" w:type="dxa"/>
            <w:vAlign w:val="center"/>
          </w:tcPr>
          <w:p w14:paraId="296B2E11" w14:textId="5B6DB6F6"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w:t>
            </w:r>
          </w:p>
        </w:tc>
        <w:tc>
          <w:tcPr>
            <w:tcW w:w="2273" w:type="dxa"/>
            <w:vAlign w:val="center"/>
          </w:tcPr>
          <w:p w14:paraId="40BA8B11" w14:textId="75789FE8"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tcW w:w="2273" w:type="dxa"/>
            <w:vAlign w:val="center"/>
          </w:tcPr>
          <w:p w14:paraId="6FF42C09" w14:textId="03B06561"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0,5854</w:t>
            </w:r>
          </w:p>
        </w:tc>
      </w:tr>
      <w:tr w:rsidR="0CF54B23" w14:paraId="45609FB8"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1293B93F" w14:textId="1D9958B7" w:rsidR="0CF54B23" w:rsidRDefault="0CF54B23" w:rsidP="0CF54B23">
            <w:pPr>
              <w:rPr>
                <w:sz w:val="20"/>
                <w:szCs w:val="20"/>
              </w:rPr>
            </w:pPr>
            <w:r w:rsidRPr="0CF54B23">
              <w:rPr>
                <w:sz w:val="20"/>
                <w:szCs w:val="20"/>
              </w:rPr>
              <w:t>FAPESC</w:t>
            </w:r>
          </w:p>
        </w:tc>
        <w:tc>
          <w:tcPr>
            <w:tcW w:w="2273" w:type="dxa"/>
            <w:vAlign w:val="center"/>
          </w:tcPr>
          <w:p w14:paraId="5ED163F6" w14:textId="724B4115"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SC</w:t>
            </w:r>
          </w:p>
        </w:tc>
        <w:tc>
          <w:tcPr>
            <w:tcW w:w="2273" w:type="dxa"/>
            <w:vAlign w:val="center"/>
          </w:tcPr>
          <w:p w14:paraId="7B94082B" w14:textId="5FE45611"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tcW w:w="2273" w:type="dxa"/>
            <w:vAlign w:val="center"/>
          </w:tcPr>
          <w:p w14:paraId="68D8B567" w14:textId="755DAA13"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0,5732</w:t>
            </w:r>
          </w:p>
        </w:tc>
      </w:tr>
      <w:tr w:rsidR="0CF54B23" w14:paraId="6FC04463"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1E0E1459" w14:textId="45F1F4C9" w:rsidR="0CF54B23" w:rsidRDefault="0CF54B23" w:rsidP="0CF54B23">
            <w:pPr>
              <w:rPr>
                <w:sz w:val="20"/>
                <w:szCs w:val="20"/>
              </w:rPr>
            </w:pPr>
            <w:r w:rsidRPr="0CF54B23">
              <w:rPr>
                <w:sz w:val="20"/>
                <w:szCs w:val="20"/>
              </w:rPr>
              <w:t>FAPEMAT</w:t>
            </w:r>
          </w:p>
        </w:tc>
        <w:tc>
          <w:tcPr>
            <w:tcW w:w="2273" w:type="dxa"/>
            <w:vAlign w:val="center"/>
          </w:tcPr>
          <w:p w14:paraId="3C4CF1C5" w14:textId="36C13ADB"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MT</w:t>
            </w:r>
          </w:p>
        </w:tc>
        <w:tc>
          <w:tcPr>
            <w:tcW w:w="2273" w:type="dxa"/>
            <w:vAlign w:val="center"/>
          </w:tcPr>
          <w:p w14:paraId="2C156CB7" w14:textId="029F2CA4"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tcW w:w="2273" w:type="dxa"/>
            <w:vAlign w:val="center"/>
          </w:tcPr>
          <w:p w14:paraId="528546AD" w14:textId="2F11FC1E"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0,5610</w:t>
            </w:r>
          </w:p>
        </w:tc>
      </w:tr>
      <w:tr w:rsidR="0CF54B23" w14:paraId="0AFD77BF"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55D8CB8B" w14:textId="38AD4DE3" w:rsidR="0CF54B23" w:rsidRDefault="0CF54B23" w:rsidP="0CF54B23">
            <w:pPr>
              <w:rPr>
                <w:sz w:val="20"/>
                <w:szCs w:val="20"/>
              </w:rPr>
            </w:pPr>
            <w:r w:rsidRPr="0CF54B23">
              <w:rPr>
                <w:sz w:val="20"/>
                <w:szCs w:val="20"/>
              </w:rPr>
              <w:t>FACEPE</w:t>
            </w:r>
          </w:p>
        </w:tc>
        <w:tc>
          <w:tcPr>
            <w:tcW w:w="2273" w:type="dxa"/>
            <w:vAlign w:val="center"/>
          </w:tcPr>
          <w:p w14:paraId="0C54CECF" w14:textId="2A1801B7"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PE</w:t>
            </w:r>
          </w:p>
        </w:tc>
        <w:tc>
          <w:tcPr>
            <w:tcW w:w="2273" w:type="dxa"/>
            <w:vAlign w:val="center"/>
          </w:tcPr>
          <w:p w14:paraId="5BCB71C2" w14:textId="51419E3B"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tcW w:w="2273" w:type="dxa"/>
            <w:vAlign w:val="center"/>
          </w:tcPr>
          <w:p w14:paraId="46AC3770" w14:textId="1DC23B3D"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0,5610</w:t>
            </w:r>
          </w:p>
        </w:tc>
      </w:tr>
      <w:tr w:rsidR="0CF54B23" w14:paraId="563A2286"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70800578" w14:textId="5403ABD0" w:rsidR="0CF54B23" w:rsidRDefault="0CF54B23" w:rsidP="0CF54B23">
            <w:pPr>
              <w:rPr>
                <w:sz w:val="20"/>
                <w:szCs w:val="20"/>
              </w:rPr>
            </w:pPr>
            <w:r w:rsidRPr="0CF54B23">
              <w:rPr>
                <w:sz w:val="20"/>
                <w:szCs w:val="20"/>
              </w:rPr>
              <w:t>FAPESQ</w:t>
            </w:r>
          </w:p>
        </w:tc>
        <w:tc>
          <w:tcPr>
            <w:tcW w:w="2273" w:type="dxa"/>
            <w:vAlign w:val="center"/>
          </w:tcPr>
          <w:p w14:paraId="32A0F835" w14:textId="71822C97"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PB</w:t>
            </w:r>
          </w:p>
        </w:tc>
        <w:tc>
          <w:tcPr>
            <w:tcW w:w="2273" w:type="dxa"/>
            <w:vAlign w:val="center"/>
          </w:tcPr>
          <w:p w14:paraId="4447793A" w14:textId="468DD58E"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tcW w:w="2273" w:type="dxa"/>
            <w:vAlign w:val="center"/>
          </w:tcPr>
          <w:p w14:paraId="4BA19711" w14:textId="3F9982F9"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0,5488</w:t>
            </w:r>
          </w:p>
        </w:tc>
      </w:tr>
      <w:tr w:rsidR="0CF54B23" w14:paraId="22C561B1"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5B0BFA2F" w14:textId="014C0264" w:rsidR="0CF54B23" w:rsidRDefault="0CF54B23" w:rsidP="0CF54B23">
            <w:pPr>
              <w:rPr>
                <w:sz w:val="20"/>
                <w:szCs w:val="20"/>
              </w:rPr>
            </w:pPr>
            <w:r w:rsidRPr="0CF54B23">
              <w:rPr>
                <w:sz w:val="20"/>
                <w:szCs w:val="20"/>
              </w:rPr>
              <w:t>FAPES</w:t>
            </w:r>
          </w:p>
        </w:tc>
        <w:tc>
          <w:tcPr>
            <w:tcW w:w="2273" w:type="dxa"/>
            <w:vAlign w:val="center"/>
          </w:tcPr>
          <w:p w14:paraId="200D39FC" w14:textId="5CC2AB90"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w:t>
            </w:r>
          </w:p>
        </w:tc>
        <w:tc>
          <w:tcPr>
            <w:tcW w:w="2273" w:type="dxa"/>
            <w:vAlign w:val="center"/>
          </w:tcPr>
          <w:p w14:paraId="1591945C" w14:textId="4B6B3DBB"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tcW w:w="2273" w:type="dxa"/>
            <w:vAlign w:val="center"/>
          </w:tcPr>
          <w:p w14:paraId="498387E4" w14:textId="3E1C9AFF"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0,5488</w:t>
            </w:r>
          </w:p>
        </w:tc>
      </w:tr>
      <w:tr w:rsidR="0CF54B23" w14:paraId="550C685C"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46B98A0D" w14:textId="2BB8E0CC" w:rsidR="0CF54B23" w:rsidRDefault="0CF54B23" w:rsidP="0CF54B23">
            <w:pPr>
              <w:rPr>
                <w:sz w:val="20"/>
                <w:szCs w:val="20"/>
              </w:rPr>
            </w:pPr>
            <w:r w:rsidRPr="0CF54B23">
              <w:rPr>
                <w:sz w:val="20"/>
                <w:szCs w:val="20"/>
              </w:rPr>
              <w:t>FAPESB</w:t>
            </w:r>
          </w:p>
        </w:tc>
        <w:tc>
          <w:tcPr>
            <w:tcW w:w="2273" w:type="dxa"/>
            <w:vAlign w:val="center"/>
          </w:tcPr>
          <w:p w14:paraId="352E204E" w14:textId="02189D82"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BA</w:t>
            </w:r>
          </w:p>
        </w:tc>
        <w:tc>
          <w:tcPr>
            <w:tcW w:w="2273" w:type="dxa"/>
            <w:vAlign w:val="center"/>
          </w:tcPr>
          <w:p w14:paraId="177123F0" w14:textId="1A5878E6"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tcW w:w="2273" w:type="dxa"/>
            <w:vAlign w:val="center"/>
          </w:tcPr>
          <w:p w14:paraId="6CF0DD1C" w14:textId="5CFCEDAA"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0,5366</w:t>
            </w:r>
          </w:p>
        </w:tc>
      </w:tr>
      <w:tr w:rsidR="0CF54B23" w14:paraId="21E66513"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6D1F3094" w14:textId="3663EAE0" w:rsidR="0CF54B23" w:rsidRDefault="0CF54B23" w:rsidP="0CF54B23">
            <w:pPr>
              <w:rPr>
                <w:sz w:val="20"/>
                <w:szCs w:val="20"/>
              </w:rPr>
            </w:pPr>
            <w:r w:rsidRPr="0CF54B23">
              <w:rPr>
                <w:sz w:val="20"/>
                <w:szCs w:val="20"/>
              </w:rPr>
              <w:t>FAPITEC</w:t>
            </w:r>
          </w:p>
        </w:tc>
        <w:tc>
          <w:tcPr>
            <w:tcW w:w="2273" w:type="dxa"/>
            <w:vAlign w:val="center"/>
          </w:tcPr>
          <w:p w14:paraId="09AA26F0" w14:textId="0C7CCF2D"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SE</w:t>
            </w:r>
          </w:p>
        </w:tc>
        <w:tc>
          <w:tcPr>
            <w:tcW w:w="2273" w:type="dxa"/>
            <w:vAlign w:val="center"/>
          </w:tcPr>
          <w:p w14:paraId="37287FB4" w14:textId="58E6D185"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tcW w:w="2273" w:type="dxa"/>
            <w:vAlign w:val="center"/>
          </w:tcPr>
          <w:p w14:paraId="68C0375F" w14:textId="50222675"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0,5122</w:t>
            </w:r>
          </w:p>
        </w:tc>
      </w:tr>
      <w:tr w:rsidR="0CF54B23" w14:paraId="5148E9F9"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3C5292C7" w14:textId="65BE0041" w:rsidR="0CF54B23" w:rsidRDefault="0CF54B23" w:rsidP="0CF54B23">
            <w:pPr>
              <w:rPr>
                <w:sz w:val="20"/>
                <w:szCs w:val="20"/>
              </w:rPr>
            </w:pPr>
            <w:r w:rsidRPr="0CF54B23">
              <w:rPr>
                <w:sz w:val="20"/>
                <w:szCs w:val="20"/>
              </w:rPr>
              <w:t>FAPERR</w:t>
            </w:r>
          </w:p>
        </w:tc>
        <w:tc>
          <w:tcPr>
            <w:tcW w:w="2273" w:type="dxa"/>
            <w:vAlign w:val="center"/>
          </w:tcPr>
          <w:p w14:paraId="4863BD56" w14:textId="3DF5D30D"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RR</w:t>
            </w:r>
          </w:p>
        </w:tc>
        <w:tc>
          <w:tcPr>
            <w:tcW w:w="2273" w:type="dxa"/>
            <w:vAlign w:val="center"/>
          </w:tcPr>
          <w:p w14:paraId="446B3B8F" w14:textId="2FDE7E91"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tcW w:w="2273" w:type="dxa"/>
            <w:vAlign w:val="center"/>
          </w:tcPr>
          <w:p w14:paraId="49B6E958" w14:textId="38FF8A2B"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0,4512</w:t>
            </w:r>
          </w:p>
        </w:tc>
      </w:tr>
      <w:tr w:rsidR="0CF54B23" w14:paraId="7877D132"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340FE519" w14:textId="2055D823" w:rsidR="0CF54B23" w:rsidRDefault="0CF54B23" w:rsidP="0CF54B23">
            <w:pPr>
              <w:rPr>
                <w:sz w:val="20"/>
                <w:szCs w:val="20"/>
              </w:rPr>
            </w:pPr>
            <w:r w:rsidRPr="0CF54B23">
              <w:rPr>
                <w:sz w:val="20"/>
                <w:szCs w:val="20"/>
              </w:rPr>
              <w:t>FAPERJ</w:t>
            </w:r>
          </w:p>
        </w:tc>
        <w:tc>
          <w:tcPr>
            <w:tcW w:w="2273" w:type="dxa"/>
            <w:vAlign w:val="center"/>
          </w:tcPr>
          <w:p w14:paraId="0411176A" w14:textId="15A69E66"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RJ</w:t>
            </w:r>
          </w:p>
        </w:tc>
        <w:tc>
          <w:tcPr>
            <w:tcW w:w="2273" w:type="dxa"/>
            <w:vAlign w:val="center"/>
          </w:tcPr>
          <w:p w14:paraId="6AFA8D6D" w14:textId="24461F23"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tcW w:w="2273" w:type="dxa"/>
            <w:vAlign w:val="center"/>
          </w:tcPr>
          <w:p w14:paraId="06438560" w14:textId="27312D45"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0,4146</w:t>
            </w:r>
          </w:p>
        </w:tc>
      </w:tr>
      <w:tr w:rsidR="0CF54B23" w14:paraId="13316D28"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1124A06D" w14:textId="59E29ACD" w:rsidR="0CF54B23" w:rsidRDefault="0CF54B23" w:rsidP="0CF54B23">
            <w:pPr>
              <w:rPr>
                <w:sz w:val="20"/>
                <w:szCs w:val="20"/>
              </w:rPr>
            </w:pPr>
            <w:r w:rsidRPr="0CF54B23">
              <w:rPr>
                <w:sz w:val="20"/>
                <w:szCs w:val="20"/>
              </w:rPr>
              <w:t>FAPERO</w:t>
            </w:r>
          </w:p>
        </w:tc>
        <w:tc>
          <w:tcPr>
            <w:tcW w:w="2273" w:type="dxa"/>
            <w:vAlign w:val="center"/>
          </w:tcPr>
          <w:p w14:paraId="430199CC" w14:textId="0E193347"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RO</w:t>
            </w:r>
          </w:p>
        </w:tc>
        <w:tc>
          <w:tcPr>
            <w:tcW w:w="2273" w:type="dxa"/>
            <w:vAlign w:val="center"/>
          </w:tcPr>
          <w:p w14:paraId="57A78703" w14:textId="6594C40C"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tcW w:w="2273" w:type="dxa"/>
            <w:vAlign w:val="center"/>
          </w:tcPr>
          <w:p w14:paraId="13A1A265" w14:textId="2DAF4FC2"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0,4146</w:t>
            </w:r>
          </w:p>
        </w:tc>
      </w:tr>
      <w:tr w:rsidR="0CF54B23" w14:paraId="0496008C"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0C6ABFEA" w14:textId="3168A549" w:rsidR="0CF54B23" w:rsidRDefault="0CF54B23" w:rsidP="0CF54B23">
            <w:pPr>
              <w:rPr>
                <w:sz w:val="20"/>
                <w:szCs w:val="20"/>
              </w:rPr>
            </w:pPr>
            <w:r w:rsidRPr="0CF54B23">
              <w:rPr>
                <w:sz w:val="20"/>
                <w:szCs w:val="20"/>
              </w:rPr>
              <w:t>FAPEAP</w:t>
            </w:r>
          </w:p>
        </w:tc>
        <w:tc>
          <w:tcPr>
            <w:tcW w:w="2273" w:type="dxa"/>
            <w:vAlign w:val="center"/>
          </w:tcPr>
          <w:p w14:paraId="4D810D1C" w14:textId="4C46D31C"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AP</w:t>
            </w:r>
          </w:p>
        </w:tc>
        <w:tc>
          <w:tcPr>
            <w:tcW w:w="2273" w:type="dxa"/>
            <w:vAlign w:val="center"/>
          </w:tcPr>
          <w:p w14:paraId="6D30D972" w14:textId="015B575A"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tcW w:w="2273" w:type="dxa"/>
            <w:vAlign w:val="center"/>
          </w:tcPr>
          <w:p w14:paraId="6C497BD5" w14:textId="242EA296"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0,3537</w:t>
            </w:r>
          </w:p>
        </w:tc>
      </w:tr>
      <w:tr w:rsidR="0CF54B23" w14:paraId="20BD1B61"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18DAFC4A" w14:textId="59A276F7" w:rsidR="0CF54B23" w:rsidRDefault="0CF54B23" w:rsidP="0CF54B23">
            <w:pPr>
              <w:rPr>
                <w:sz w:val="20"/>
                <w:szCs w:val="20"/>
              </w:rPr>
            </w:pPr>
            <w:r w:rsidRPr="0CF54B23">
              <w:rPr>
                <w:sz w:val="20"/>
                <w:szCs w:val="20"/>
              </w:rPr>
              <w:t>FAPT</w:t>
            </w:r>
          </w:p>
        </w:tc>
        <w:tc>
          <w:tcPr>
            <w:tcW w:w="2273" w:type="dxa"/>
            <w:vAlign w:val="center"/>
          </w:tcPr>
          <w:p w14:paraId="365CCC16" w14:textId="737CE1CF"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TO</w:t>
            </w:r>
          </w:p>
        </w:tc>
        <w:tc>
          <w:tcPr>
            <w:tcW w:w="2273" w:type="dxa"/>
            <w:vAlign w:val="center"/>
          </w:tcPr>
          <w:p w14:paraId="4831B02B" w14:textId="7772CA7F"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tcW w:w="2273" w:type="dxa"/>
            <w:vAlign w:val="center"/>
          </w:tcPr>
          <w:p w14:paraId="2BA843D0" w14:textId="4EA25458"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0,2927</w:t>
            </w:r>
          </w:p>
        </w:tc>
      </w:tr>
      <w:tr w:rsidR="0CF54B23" w14:paraId="4360B430"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7ADF6907" w14:textId="4BF50F2B" w:rsidR="0CF54B23" w:rsidRDefault="0CF54B23" w:rsidP="0CF54B23">
            <w:pPr>
              <w:rPr>
                <w:sz w:val="20"/>
                <w:szCs w:val="20"/>
              </w:rPr>
            </w:pPr>
            <w:r w:rsidRPr="0CF54B23">
              <w:rPr>
                <w:sz w:val="20"/>
                <w:szCs w:val="20"/>
              </w:rPr>
              <w:t>FAPEAM</w:t>
            </w:r>
          </w:p>
        </w:tc>
        <w:tc>
          <w:tcPr>
            <w:tcW w:w="2273" w:type="dxa"/>
            <w:vAlign w:val="center"/>
          </w:tcPr>
          <w:p w14:paraId="14478C53" w14:textId="69556092"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AM</w:t>
            </w:r>
          </w:p>
        </w:tc>
        <w:tc>
          <w:tcPr>
            <w:tcW w:w="2273" w:type="dxa"/>
            <w:vAlign w:val="center"/>
          </w:tcPr>
          <w:p w14:paraId="0D6BBD55" w14:textId="38C43D88"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tcW w:w="2273" w:type="dxa"/>
            <w:vAlign w:val="center"/>
          </w:tcPr>
          <w:p w14:paraId="24866728" w14:textId="5B70F4FE"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0,2561</w:t>
            </w:r>
          </w:p>
        </w:tc>
      </w:tr>
      <w:tr w:rsidR="0CF54B23" w14:paraId="1B6CB60E"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2273" w:type="dxa"/>
            <w:vAlign w:val="center"/>
          </w:tcPr>
          <w:p w14:paraId="675AB93C" w14:textId="11C369DE" w:rsidR="0CF54B23" w:rsidRDefault="0CF54B23" w:rsidP="0CF54B23">
            <w:pPr>
              <w:rPr>
                <w:sz w:val="20"/>
                <w:szCs w:val="20"/>
              </w:rPr>
            </w:pPr>
            <w:r w:rsidRPr="0CF54B23">
              <w:rPr>
                <w:sz w:val="20"/>
                <w:szCs w:val="20"/>
              </w:rPr>
              <w:t>FAPAC</w:t>
            </w:r>
          </w:p>
        </w:tc>
        <w:tc>
          <w:tcPr>
            <w:tcW w:w="2273" w:type="dxa"/>
            <w:vAlign w:val="center"/>
          </w:tcPr>
          <w:p w14:paraId="3145B8CD" w14:textId="7DBB1797"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w:t>
            </w:r>
          </w:p>
        </w:tc>
        <w:tc>
          <w:tcPr>
            <w:tcW w:w="2273" w:type="dxa"/>
            <w:vAlign w:val="center"/>
          </w:tcPr>
          <w:p w14:paraId="342371AC" w14:textId="67BC580F"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tcW w:w="2273" w:type="dxa"/>
            <w:vAlign w:val="center"/>
          </w:tcPr>
          <w:p w14:paraId="055957EC" w14:textId="7F562C7C"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0,2317</w:t>
            </w:r>
          </w:p>
        </w:tc>
      </w:tr>
    </w:tbl>
    <w:p w14:paraId="0581D803" w14:textId="2DE3A3B4" w:rsidR="00946FEE" w:rsidRDefault="557D0A32" w:rsidP="0CF54B23">
      <w:pPr>
        <w:spacing w:after="240"/>
        <w:jc w:val="both"/>
        <w:rPr>
          <w:rFonts w:ascii="Times New Roman" w:eastAsia="Times New Roman" w:hAnsi="Times New Roman" w:cs="Times New Roman"/>
          <w:i/>
          <w:iCs/>
          <w:sz w:val="18"/>
          <w:szCs w:val="18"/>
        </w:rPr>
      </w:pPr>
      <w:r w:rsidRPr="0CF54B23">
        <w:rPr>
          <w:rFonts w:ascii="Times New Roman" w:eastAsia="Times New Roman" w:hAnsi="Times New Roman" w:cs="Times New Roman"/>
          <w:b/>
          <w:bCs/>
          <w:i/>
          <w:iCs/>
          <w:sz w:val="20"/>
          <w:szCs w:val="20"/>
        </w:rPr>
        <w:t>Fonte:</w:t>
      </w:r>
      <w:r w:rsidRPr="0CF54B23">
        <w:rPr>
          <w:rFonts w:ascii="Times New Roman" w:eastAsia="Times New Roman" w:hAnsi="Times New Roman" w:cs="Times New Roman"/>
          <w:i/>
          <w:iCs/>
          <w:sz w:val="20"/>
          <w:szCs w:val="20"/>
        </w:rPr>
        <w:t xml:space="preserve"> Dados da pesquisa (2023).</w:t>
      </w:r>
    </w:p>
    <w:p w14:paraId="0DD90DA9" w14:textId="08C49264" w:rsidR="00946FEE" w:rsidRDefault="1C8D581E" w:rsidP="0CF54B23">
      <w:pPr>
        <w:spacing w:after="0"/>
        <w:ind w:firstLine="708"/>
        <w:jc w:val="both"/>
        <w:rPr>
          <w:rFonts w:ascii="Times New Roman" w:eastAsia="Times New Roman" w:hAnsi="Times New Roman" w:cs="Times New Roman"/>
        </w:rPr>
      </w:pPr>
      <w:r w:rsidRPr="0CF54B23">
        <w:rPr>
          <w:rFonts w:ascii="Times New Roman" w:eastAsia="Times New Roman" w:hAnsi="Times New Roman" w:cs="Times New Roman"/>
        </w:rPr>
        <w:t>Nesse contexto, os resultados estatísticos demonstram uma acentuada heterogeneidade na prestação de contas do terceiro setor científico no Brasil. As fundações que registraram os maiores níveis de divulgação de informações foram a FAPESP (São Paulo), com 0,7805, seguida pela FAPDF (Distrito Federal), com 0,7317, e pela FAPEMIG (Minas Gerais), com 0,7195. Em contrapartida, as organizações que apresentaram os desempenhos mais deficitários em transparência foram a FAPAC (Acre), com 0,2317, a FAPEAM (Amazonas), com 0,2561, e a FAPT (Tocantins), com 0,2927.</w:t>
      </w:r>
    </w:p>
    <w:p w14:paraId="21581060" w14:textId="570760C7" w:rsidR="00946FEE" w:rsidRDefault="1C8D581E" w:rsidP="0CF54B23">
      <w:pPr>
        <w:spacing w:after="0"/>
        <w:ind w:firstLine="708"/>
        <w:jc w:val="both"/>
        <w:rPr>
          <w:rFonts w:ascii="Times New Roman" w:eastAsia="Times New Roman" w:hAnsi="Times New Roman" w:cs="Times New Roman"/>
        </w:rPr>
      </w:pPr>
      <w:r w:rsidRPr="0CF54B23">
        <w:rPr>
          <w:rFonts w:ascii="Times New Roman" w:eastAsia="Times New Roman" w:hAnsi="Times New Roman" w:cs="Times New Roman"/>
        </w:rPr>
        <w:t xml:space="preserve">Adicionalmente, a observação do ranqueamento revela um agrupamento geográfico dos resultados. Nota-se que as entidades que ocupam o topo da tabela concentram-se predominantemente nas regiões Sudeste e Centro-Oeste. Por outro lado, as seis fundações com as piores pontuações do país pertencem à região Norte ou a estados periféricos da região Sudeste. Desse modo, essa assimetria preliminar mapeada na estatística descritiva fornece a </w:t>
      </w:r>
      <w:r w:rsidRPr="0CF54B23">
        <w:rPr>
          <w:rFonts w:ascii="Times New Roman" w:eastAsia="Times New Roman" w:hAnsi="Times New Roman" w:cs="Times New Roman"/>
        </w:rPr>
        <w:lastRenderedPageBreak/>
        <w:t>base factual para o teste de variância regional (Kruskal-Wallis) que será aprofundado na análise das hipóteses.</w:t>
      </w:r>
    </w:p>
    <w:p w14:paraId="188766C7" w14:textId="7891FFC0" w:rsidR="00946FEE" w:rsidRDefault="00946FEE" w:rsidP="0CF54B23">
      <w:pPr>
        <w:spacing w:after="0"/>
        <w:jc w:val="both"/>
        <w:rPr>
          <w:rFonts w:ascii="Times New Roman" w:eastAsia="Times New Roman" w:hAnsi="Times New Roman" w:cs="Times New Roman"/>
        </w:rPr>
      </w:pPr>
    </w:p>
    <w:p w14:paraId="521ADF6B" w14:textId="0463D8C8" w:rsidR="00946FEE" w:rsidRDefault="61A7B63A" w:rsidP="7C64760A">
      <w:pPr>
        <w:spacing w:after="0" w:line="240" w:lineRule="auto"/>
        <w:jc w:val="both"/>
        <w:rPr>
          <w:rFonts w:ascii="Times New Roman" w:eastAsia="Times New Roman" w:hAnsi="Times New Roman" w:cs="Times New Roman"/>
          <w:i/>
          <w:iCs/>
        </w:rPr>
      </w:pPr>
      <w:r w:rsidRPr="7C64760A">
        <w:rPr>
          <w:rFonts w:ascii="Times New Roman" w:eastAsia="Times New Roman" w:hAnsi="Times New Roman" w:cs="Times New Roman"/>
          <w:i/>
          <w:iCs/>
        </w:rPr>
        <w:t>4</w:t>
      </w:r>
      <w:r w:rsidR="09F040D2" w:rsidRPr="7C64760A">
        <w:rPr>
          <w:rFonts w:ascii="Times New Roman" w:eastAsia="Times New Roman" w:hAnsi="Times New Roman" w:cs="Times New Roman"/>
          <w:i/>
          <w:iCs/>
        </w:rPr>
        <w:t>.1.2 As Dimensões da Transparência (D1, D2 e D3)</w:t>
      </w:r>
    </w:p>
    <w:p w14:paraId="630793D6" w14:textId="04E96A5F" w:rsidR="00946FEE" w:rsidRDefault="1C8D581E" w:rsidP="0CF54B23">
      <w:pPr>
        <w:spacing w:after="0" w:line="240" w:lineRule="auto"/>
        <w:ind w:firstLine="708"/>
        <w:jc w:val="both"/>
        <w:rPr>
          <w:rFonts w:ascii="Times New Roman" w:eastAsia="Times New Roman" w:hAnsi="Times New Roman" w:cs="Times New Roman"/>
        </w:rPr>
      </w:pPr>
      <w:r w:rsidRPr="0CF54B23">
        <w:rPr>
          <w:rFonts w:ascii="Times New Roman" w:eastAsia="Times New Roman" w:hAnsi="Times New Roman" w:cs="Times New Roman"/>
        </w:rPr>
        <w:t>A avaliação do nível de transparência foi segregada em três dimensões de análise estrutural. Dessa forma, a estatística descritiva permite identificar os critérios de maior e menor conformidade nas práticas de evidenciação das fundações.</w:t>
      </w:r>
    </w:p>
    <w:p w14:paraId="47CE0D63" w14:textId="479A89E8" w:rsidR="00946FEE" w:rsidRDefault="1C8D581E" w:rsidP="0CF54B23">
      <w:pPr>
        <w:spacing w:after="0" w:line="240" w:lineRule="auto"/>
        <w:ind w:firstLine="708"/>
        <w:jc w:val="both"/>
        <w:rPr>
          <w:rFonts w:ascii="Times New Roman" w:eastAsia="Times New Roman" w:hAnsi="Times New Roman" w:cs="Times New Roman"/>
        </w:rPr>
      </w:pPr>
      <w:r w:rsidRPr="0CF54B23">
        <w:rPr>
          <w:rFonts w:ascii="Times New Roman" w:eastAsia="Times New Roman" w:hAnsi="Times New Roman" w:cs="Times New Roman"/>
        </w:rPr>
        <w:t>No âmbito da dimensão Informação Geral (D1), os dados indicam um índice elevado de divulgação de aspectos institucionais e estratégicos. Nesse sentido, aproximadamente 70% das fundações publicam claramente sua missão, visão e estrutura organizacional nos respectivos portais. Por outro lado, a evidenciação referente à gestão de recursos humanos apresenta limitações quantitativas. Consequentemente, apenas 26% das entidades reportam informações sobre a participação e o quantitativo de voluntários engajados em suas atividades.</w:t>
      </w:r>
    </w:p>
    <w:p w14:paraId="576F101F" w14:textId="37A998DA" w:rsidR="00946FEE" w:rsidRDefault="1C8D581E" w:rsidP="0CF54B23">
      <w:pPr>
        <w:spacing w:after="0" w:line="240" w:lineRule="auto"/>
        <w:ind w:firstLine="708"/>
        <w:jc w:val="both"/>
        <w:rPr>
          <w:rFonts w:ascii="Times New Roman" w:eastAsia="Times New Roman" w:hAnsi="Times New Roman" w:cs="Times New Roman"/>
        </w:rPr>
      </w:pPr>
      <w:r w:rsidRPr="0CF54B23">
        <w:rPr>
          <w:rFonts w:ascii="Times New Roman" w:eastAsia="Times New Roman" w:hAnsi="Times New Roman" w:cs="Times New Roman"/>
        </w:rPr>
        <w:t>Em relação à dimensão Governança e Informações Financeiras (D2), observa-se uma conformidade normativa na publicação de relatórios contábeis macroestruturais. Por conseguinte, métricas como a composição nominal dos conselhos de administração e a divulgação do demonstrativo de receitas e despesas registraram médias de atendimento próximas a 74%. Todavia, os mecanismos de escrutínio externo e de detalhamento orçamentário exibem índices de divulgação reduzidos. Assim, menos da metade das fundações da amostra (44%) disponibiliza relatórios de auditoria independente ou orçamentos fragmentados por programas e projetos específicos.</w:t>
      </w:r>
    </w:p>
    <w:p w14:paraId="19608D33" w14:textId="6BA8D09D" w:rsidR="00946FEE" w:rsidRDefault="1C8D581E" w:rsidP="0CF54B23">
      <w:pPr>
        <w:spacing w:after="0" w:line="240" w:lineRule="auto"/>
        <w:ind w:firstLine="708"/>
        <w:jc w:val="both"/>
        <w:rPr>
          <w:rFonts w:ascii="Times New Roman" w:eastAsia="Times New Roman" w:hAnsi="Times New Roman" w:cs="Times New Roman"/>
        </w:rPr>
      </w:pPr>
      <w:r w:rsidRPr="0CF54B23">
        <w:rPr>
          <w:rFonts w:ascii="Times New Roman" w:eastAsia="Times New Roman" w:hAnsi="Times New Roman" w:cs="Times New Roman"/>
        </w:rPr>
        <w:t>Por fim, a dimensão Apresentação e Navegação (D3) mensura a acessibilidade e a arquitetura da informação digital. Nesse contexto, mais de 60% das organizações cumprem requisitos de acessibilidade para pessoas com deficiência e disponibilizam mapas de navegação do site. Entretanto, a estruturação dos dados apresenta barreiras técnicas para o exercício do controle social contínuo. Desse modo, apenas 30% das fundações de apoio possuem uma área de acesso específico e exclusivo destinada à governança e às informações financeiras em suas páginas principais.</w:t>
      </w:r>
    </w:p>
    <w:p w14:paraId="5135130D" w14:textId="3EFCCDE4" w:rsidR="00946FEE" w:rsidRDefault="00946FEE" w:rsidP="0CF54B23">
      <w:pPr>
        <w:spacing w:after="0" w:line="240" w:lineRule="auto"/>
        <w:jc w:val="both"/>
        <w:rPr>
          <w:rFonts w:ascii="Times New Roman" w:eastAsia="Times New Roman" w:hAnsi="Times New Roman" w:cs="Times New Roman"/>
        </w:rPr>
      </w:pPr>
    </w:p>
    <w:p w14:paraId="19A029C5" w14:textId="6C659EC4" w:rsidR="00946FEE" w:rsidRDefault="345BE9E4" w:rsidP="7C64760A">
      <w:pPr>
        <w:spacing w:after="0" w:line="240" w:lineRule="auto"/>
        <w:jc w:val="both"/>
        <w:rPr>
          <w:rFonts w:ascii="Times New Roman" w:eastAsia="Times New Roman" w:hAnsi="Times New Roman" w:cs="Times New Roman"/>
          <w:i/>
          <w:iCs/>
        </w:rPr>
      </w:pPr>
      <w:r w:rsidRPr="7C64760A">
        <w:rPr>
          <w:rFonts w:ascii="Times New Roman" w:eastAsia="Times New Roman" w:hAnsi="Times New Roman" w:cs="Times New Roman"/>
          <w:i/>
          <w:iCs/>
        </w:rPr>
        <w:t>4</w:t>
      </w:r>
      <w:r w:rsidR="09F040D2" w:rsidRPr="7C64760A">
        <w:rPr>
          <w:rFonts w:ascii="Times New Roman" w:eastAsia="Times New Roman" w:hAnsi="Times New Roman" w:cs="Times New Roman"/>
          <w:i/>
          <w:iCs/>
        </w:rPr>
        <w:t>.1.3 Perfil Financeiro das Fundações</w:t>
      </w:r>
    </w:p>
    <w:p w14:paraId="6CD258AA" w14:textId="7B4B6EE6" w:rsidR="00946FEE" w:rsidRDefault="09F040D2" w:rsidP="7C64760A">
      <w:pPr>
        <w:spacing w:after="240"/>
        <w:ind w:firstLine="708"/>
        <w:jc w:val="both"/>
        <w:rPr>
          <w:rFonts w:ascii="Times New Roman" w:eastAsia="Times New Roman" w:hAnsi="Times New Roman" w:cs="Times New Roman"/>
        </w:rPr>
      </w:pPr>
      <w:r w:rsidRPr="7C64760A">
        <w:rPr>
          <w:rFonts w:ascii="Times New Roman" w:eastAsia="Times New Roman" w:hAnsi="Times New Roman" w:cs="Times New Roman"/>
        </w:rPr>
        <w:t>A Tabela 0</w:t>
      </w:r>
      <w:r w:rsidR="137AB383" w:rsidRPr="7C64760A">
        <w:rPr>
          <w:rFonts w:ascii="Times New Roman" w:eastAsia="Times New Roman" w:hAnsi="Times New Roman" w:cs="Times New Roman"/>
        </w:rPr>
        <w:t>3</w:t>
      </w:r>
      <w:r w:rsidRPr="7C64760A">
        <w:rPr>
          <w:rFonts w:ascii="Times New Roman" w:eastAsia="Times New Roman" w:hAnsi="Times New Roman" w:cs="Times New Roman"/>
        </w:rPr>
        <w:t xml:space="preserve"> sumariza o perfil de arrecadação das 27 fundações de apoio que compõem a amostra. Nesse contexto, os valores nominais foram segregados em cinco tipologias de receitas e padronizados em milhões de reais referentes ao exercício financeiro de 2022.</w:t>
      </w:r>
    </w:p>
    <w:p w14:paraId="429467D1" w14:textId="6EADFB9F" w:rsidR="00946FEE" w:rsidRDefault="09F040D2" w:rsidP="7C64760A">
      <w:pPr>
        <w:spacing w:after="0" w:line="240" w:lineRule="auto"/>
        <w:jc w:val="both"/>
        <w:rPr>
          <w:rFonts w:ascii="Times New Roman" w:eastAsia="Times New Roman" w:hAnsi="Times New Roman" w:cs="Times New Roman"/>
          <w:b/>
          <w:bCs/>
          <w:sz w:val="20"/>
          <w:szCs w:val="20"/>
        </w:rPr>
      </w:pPr>
      <w:r w:rsidRPr="7C64760A">
        <w:rPr>
          <w:rFonts w:ascii="Times New Roman" w:eastAsia="Times New Roman" w:hAnsi="Times New Roman" w:cs="Times New Roman"/>
          <w:b/>
          <w:bCs/>
          <w:sz w:val="20"/>
          <w:szCs w:val="20"/>
        </w:rPr>
        <w:t>Tabela 0</w:t>
      </w:r>
      <w:r w:rsidR="0457BAC3" w:rsidRPr="7C64760A">
        <w:rPr>
          <w:rFonts w:ascii="Times New Roman" w:eastAsia="Times New Roman" w:hAnsi="Times New Roman" w:cs="Times New Roman"/>
          <w:b/>
          <w:bCs/>
          <w:sz w:val="20"/>
          <w:szCs w:val="20"/>
        </w:rPr>
        <w:t>3</w:t>
      </w:r>
      <w:r w:rsidRPr="7C64760A">
        <w:rPr>
          <w:rFonts w:ascii="Times New Roman" w:eastAsia="Times New Roman" w:hAnsi="Times New Roman" w:cs="Times New Roman"/>
          <w:b/>
          <w:bCs/>
          <w:sz w:val="20"/>
          <w:szCs w:val="20"/>
        </w:rPr>
        <w:t xml:space="preserve"> </w:t>
      </w:r>
    </w:p>
    <w:p w14:paraId="62821974" w14:textId="5F6228AB" w:rsidR="00946FEE" w:rsidRDefault="1C8D581E" w:rsidP="0CF54B23">
      <w:pPr>
        <w:spacing w:after="0" w:line="240" w:lineRule="auto"/>
        <w:jc w:val="both"/>
        <w:rPr>
          <w:rFonts w:ascii="Times New Roman" w:eastAsia="Times New Roman" w:hAnsi="Times New Roman" w:cs="Times New Roman"/>
          <w:i/>
          <w:iCs/>
          <w:sz w:val="20"/>
          <w:szCs w:val="20"/>
        </w:rPr>
      </w:pPr>
      <w:r w:rsidRPr="0CF54B23">
        <w:rPr>
          <w:rFonts w:ascii="Times New Roman" w:eastAsia="Times New Roman" w:hAnsi="Times New Roman" w:cs="Times New Roman"/>
          <w:i/>
          <w:iCs/>
          <w:sz w:val="20"/>
          <w:szCs w:val="20"/>
        </w:rPr>
        <w:t>Estatística Descritiva das Receitas das Fundações de Apoio (em milhões de R$)</w:t>
      </w:r>
    </w:p>
    <w:tbl>
      <w:tblPr>
        <w:tblStyle w:val="SimplesTabela2"/>
        <w:tblW w:w="0" w:type="auto"/>
        <w:tblLook w:val="06A0" w:firstRow="1" w:lastRow="0" w:firstColumn="1" w:lastColumn="0" w:noHBand="1" w:noVBand="1"/>
      </w:tblPr>
      <w:tblGrid>
        <w:gridCol w:w="1990"/>
        <w:gridCol w:w="1132"/>
        <w:gridCol w:w="1558"/>
        <w:gridCol w:w="1559"/>
        <w:gridCol w:w="1560"/>
        <w:gridCol w:w="1272"/>
      </w:tblGrid>
      <w:tr w:rsidR="0CF54B23" w14:paraId="4E8BB8D2" w14:textId="77777777" w:rsidTr="0CF54B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0FE12CF4" w14:textId="704B6A4B" w:rsidR="0CF54B23" w:rsidRDefault="0CF54B23" w:rsidP="0CF54B23">
            <w:pPr>
              <w:rPr>
                <w:color w:val="1F1F1F"/>
                <w:sz w:val="20"/>
                <w:szCs w:val="20"/>
              </w:rPr>
            </w:pPr>
            <w:r w:rsidRPr="0CF54B23">
              <w:rPr>
                <w:color w:val="1F1F1F"/>
                <w:sz w:val="20"/>
                <w:szCs w:val="20"/>
              </w:rPr>
              <w:t>Categoria de Receita</w:t>
            </w:r>
          </w:p>
        </w:tc>
        <w:tc>
          <w:tcPr>
            <w:tcW w:w="1135" w:type="dxa"/>
            <w:vAlign w:val="center"/>
          </w:tcPr>
          <w:p w14:paraId="24641854" w14:textId="5EAEC531"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Média</w:t>
            </w:r>
          </w:p>
        </w:tc>
        <w:tc>
          <w:tcPr>
            <w:tcW w:w="1565" w:type="dxa"/>
            <w:vAlign w:val="center"/>
          </w:tcPr>
          <w:p w14:paraId="1370264B" w14:textId="0D84FA2D"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Desvio Padrão</w:t>
            </w:r>
          </w:p>
        </w:tc>
        <w:tc>
          <w:tcPr>
            <w:tcW w:w="1565" w:type="dxa"/>
            <w:vAlign w:val="center"/>
          </w:tcPr>
          <w:p w14:paraId="4A4AF356" w14:textId="0E215942"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Mínimo</w:t>
            </w:r>
          </w:p>
        </w:tc>
        <w:tc>
          <w:tcPr>
            <w:tcW w:w="1565" w:type="dxa"/>
            <w:vAlign w:val="center"/>
          </w:tcPr>
          <w:p w14:paraId="490EEE61" w14:textId="382CFDFD"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Mediana</w:t>
            </w:r>
          </w:p>
        </w:tc>
        <w:tc>
          <w:tcPr>
            <w:tcW w:w="1275" w:type="dxa"/>
            <w:vAlign w:val="center"/>
          </w:tcPr>
          <w:p w14:paraId="73897BB1" w14:textId="70E62557"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Máximo</w:t>
            </w:r>
          </w:p>
        </w:tc>
      </w:tr>
      <w:tr w:rsidR="0CF54B23" w14:paraId="47E4F58A"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0F7F24FE" w14:textId="530B66A2" w:rsidR="0CF54B23" w:rsidRDefault="0CF54B23" w:rsidP="0CF54B23">
            <w:pPr>
              <w:rPr>
                <w:color w:val="1F1F1F"/>
                <w:sz w:val="20"/>
                <w:szCs w:val="20"/>
              </w:rPr>
            </w:pPr>
            <w:r w:rsidRPr="0CF54B23">
              <w:rPr>
                <w:color w:val="1F1F1F"/>
                <w:sz w:val="20"/>
                <w:szCs w:val="20"/>
              </w:rPr>
              <w:t>Transferências Públicas</w:t>
            </w:r>
          </w:p>
        </w:tc>
        <w:tc>
          <w:tcPr>
            <w:tcW w:w="1135" w:type="dxa"/>
            <w:vAlign w:val="center"/>
          </w:tcPr>
          <w:p w14:paraId="3DCAE01E" w14:textId="6B832A2F"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95,29</w:t>
            </w:r>
          </w:p>
        </w:tc>
        <w:tc>
          <w:tcPr>
            <w:tcW w:w="1565" w:type="dxa"/>
            <w:vAlign w:val="center"/>
          </w:tcPr>
          <w:p w14:paraId="7202A15D" w14:textId="7C7A96E0"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362,47</w:t>
            </w:r>
          </w:p>
        </w:tc>
        <w:tc>
          <w:tcPr>
            <w:tcW w:w="1565" w:type="dxa"/>
            <w:vAlign w:val="center"/>
          </w:tcPr>
          <w:p w14:paraId="39979EA3" w14:textId="4CEA89A3"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2,85</w:t>
            </w:r>
          </w:p>
        </w:tc>
        <w:tc>
          <w:tcPr>
            <w:tcW w:w="1565" w:type="dxa"/>
            <w:vAlign w:val="center"/>
          </w:tcPr>
          <w:p w14:paraId="04D64206" w14:textId="3603D85E"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24,36</w:t>
            </w:r>
          </w:p>
        </w:tc>
        <w:tc>
          <w:tcPr>
            <w:tcW w:w="1275" w:type="dxa"/>
            <w:vAlign w:val="center"/>
          </w:tcPr>
          <w:p w14:paraId="6DBE8156" w14:textId="14ADBD80"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1.907,89</w:t>
            </w:r>
          </w:p>
        </w:tc>
      </w:tr>
      <w:tr w:rsidR="0CF54B23" w14:paraId="3EC45C56"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4B7358CF" w14:textId="27538C07" w:rsidR="0CF54B23" w:rsidRDefault="0CF54B23" w:rsidP="0CF54B23">
            <w:pPr>
              <w:rPr>
                <w:color w:val="1F1F1F"/>
                <w:sz w:val="20"/>
                <w:szCs w:val="20"/>
              </w:rPr>
            </w:pPr>
            <w:r w:rsidRPr="0CF54B23">
              <w:rPr>
                <w:color w:val="1F1F1F"/>
                <w:sz w:val="20"/>
                <w:szCs w:val="20"/>
              </w:rPr>
              <w:t>Transferências Internacionais</w:t>
            </w:r>
          </w:p>
        </w:tc>
        <w:tc>
          <w:tcPr>
            <w:tcW w:w="1135" w:type="dxa"/>
            <w:vAlign w:val="center"/>
          </w:tcPr>
          <w:p w14:paraId="77329F07" w14:textId="51341BFD"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15,75</w:t>
            </w:r>
          </w:p>
        </w:tc>
        <w:tc>
          <w:tcPr>
            <w:tcW w:w="1565" w:type="dxa"/>
            <w:vAlign w:val="center"/>
          </w:tcPr>
          <w:p w14:paraId="2AD07B7D" w14:textId="0A3B8D8A"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9,19</w:t>
            </w:r>
          </w:p>
        </w:tc>
        <w:tc>
          <w:tcPr>
            <w:tcW w:w="1565" w:type="dxa"/>
            <w:vAlign w:val="center"/>
          </w:tcPr>
          <w:p w14:paraId="23FC6AA7" w14:textId="12F08B68"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1,97</w:t>
            </w:r>
          </w:p>
        </w:tc>
        <w:tc>
          <w:tcPr>
            <w:tcW w:w="1565" w:type="dxa"/>
            <w:vAlign w:val="center"/>
          </w:tcPr>
          <w:p w14:paraId="162531CB" w14:textId="054B61EA"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15,47</w:t>
            </w:r>
          </w:p>
        </w:tc>
        <w:tc>
          <w:tcPr>
            <w:tcW w:w="1275" w:type="dxa"/>
            <w:vAlign w:val="center"/>
          </w:tcPr>
          <w:p w14:paraId="4093373D" w14:textId="1047C7D3"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29,91</w:t>
            </w:r>
          </w:p>
        </w:tc>
      </w:tr>
      <w:tr w:rsidR="0CF54B23" w14:paraId="3558EF83"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459CA16E" w14:textId="3150F637" w:rsidR="0CF54B23" w:rsidRDefault="0CF54B23" w:rsidP="0CF54B23">
            <w:pPr>
              <w:rPr>
                <w:color w:val="1F1F1F"/>
                <w:sz w:val="20"/>
                <w:szCs w:val="20"/>
              </w:rPr>
            </w:pPr>
            <w:r w:rsidRPr="0CF54B23">
              <w:rPr>
                <w:color w:val="1F1F1F"/>
                <w:sz w:val="20"/>
                <w:szCs w:val="20"/>
              </w:rPr>
              <w:t>Receitas Próprias</w:t>
            </w:r>
          </w:p>
        </w:tc>
        <w:tc>
          <w:tcPr>
            <w:tcW w:w="1135" w:type="dxa"/>
            <w:vAlign w:val="center"/>
          </w:tcPr>
          <w:p w14:paraId="38C48F58" w14:textId="5B3A7F3B"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10,06</w:t>
            </w:r>
          </w:p>
        </w:tc>
        <w:tc>
          <w:tcPr>
            <w:tcW w:w="1565" w:type="dxa"/>
            <w:vAlign w:val="center"/>
          </w:tcPr>
          <w:p w14:paraId="5D446A68" w14:textId="33B8ACA5"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5,75</w:t>
            </w:r>
          </w:p>
        </w:tc>
        <w:tc>
          <w:tcPr>
            <w:tcW w:w="1565" w:type="dxa"/>
            <w:vAlign w:val="center"/>
          </w:tcPr>
          <w:p w14:paraId="07F61D67" w14:textId="6F7105B9"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1,23</w:t>
            </w:r>
          </w:p>
        </w:tc>
        <w:tc>
          <w:tcPr>
            <w:tcW w:w="1565" w:type="dxa"/>
            <w:vAlign w:val="center"/>
          </w:tcPr>
          <w:p w14:paraId="6CA606D3" w14:textId="3648DF6F"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8,91</w:t>
            </w:r>
          </w:p>
        </w:tc>
        <w:tc>
          <w:tcPr>
            <w:tcW w:w="1275" w:type="dxa"/>
            <w:vAlign w:val="center"/>
          </w:tcPr>
          <w:p w14:paraId="0E6F2134" w14:textId="54F411E8"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19,73</w:t>
            </w:r>
          </w:p>
        </w:tc>
      </w:tr>
      <w:tr w:rsidR="0CF54B23" w14:paraId="42E08059"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2C324EC8" w14:textId="6F7B8590" w:rsidR="0CF54B23" w:rsidRDefault="0CF54B23" w:rsidP="0CF54B23">
            <w:pPr>
              <w:rPr>
                <w:color w:val="1F1F1F"/>
                <w:sz w:val="20"/>
                <w:szCs w:val="20"/>
              </w:rPr>
            </w:pPr>
            <w:r w:rsidRPr="0CF54B23">
              <w:rPr>
                <w:color w:val="1F1F1F"/>
                <w:sz w:val="20"/>
                <w:szCs w:val="20"/>
              </w:rPr>
              <w:t>Receitas de Pessoas Físicas e Jurídicas</w:t>
            </w:r>
          </w:p>
        </w:tc>
        <w:tc>
          <w:tcPr>
            <w:tcW w:w="1135" w:type="dxa"/>
            <w:vAlign w:val="center"/>
          </w:tcPr>
          <w:p w14:paraId="50034E62" w14:textId="11ACC5CE"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7,16</w:t>
            </w:r>
          </w:p>
        </w:tc>
        <w:tc>
          <w:tcPr>
            <w:tcW w:w="1565" w:type="dxa"/>
            <w:vAlign w:val="center"/>
          </w:tcPr>
          <w:p w14:paraId="6AB15B22" w14:textId="4E2B5DAB"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4,32</w:t>
            </w:r>
          </w:p>
        </w:tc>
        <w:tc>
          <w:tcPr>
            <w:tcW w:w="1565" w:type="dxa"/>
            <w:vAlign w:val="center"/>
          </w:tcPr>
          <w:p w14:paraId="4C88253A" w14:textId="5C157697"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0,84</w:t>
            </w:r>
          </w:p>
        </w:tc>
        <w:tc>
          <w:tcPr>
            <w:tcW w:w="1565" w:type="dxa"/>
            <w:vAlign w:val="center"/>
          </w:tcPr>
          <w:p w14:paraId="24CF758B" w14:textId="26E7A3A4"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6,41</w:t>
            </w:r>
          </w:p>
        </w:tc>
        <w:tc>
          <w:tcPr>
            <w:tcW w:w="1275" w:type="dxa"/>
            <w:vAlign w:val="center"/>
          </w:tcPr>
          <w:p w14:paraId="50EAB185" w14:textId="235E0CB1"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14,45</w:t>
            </w:r>
          </w:p>
        </w:tc>
      </w:tr>
      <w:tr w:rsidR="0CF54B23" w14:paraId="3DBAC45F"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766B6926" w14:textId="5EB3533D" w:rsidR="0CF54B23" w:rsidRDefault="0CF54B23" w:rsidP="0CF54B23">
            <w:pPr>
              <w:rPr>
                <w:color w:val="1F1F1F"/>
                <w:sz w:val="20"/>
                <w:szCs w:val="20"/>
              </w:rPr>
            </w:pPr>
            <w:r w:rsidRPr="0CF54B23">
              <w:rPr>
                <w:color w:val="1F1F1F"/>
                <w:sz w:val="20"/>
                <w:szCs w:val="20"/>
              </w:rPr>
              <w:t>Outras Receitas</w:t>
            </w:r>
          </w:p>
        </w:tc>
        <w:tc>
          <w:tcPr>
            <w:tcW w:w="1135" w:type="dxa"/>
            <w:vAlign w:val="center"/>
          </w:tcPr>
          <w:p w14:paraId="4BE84DC7" w14:textId="47FB89C3"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2,16</w:t>
            </w:r>
          </w:p>
        </w:tc>
        <w:tc>
          <w:tcPr>
            <w:tcW w:w="1565" w:type="dxa"/>
            <w:vAlign w:val="center"/>
          </w:tcPr>
          <w:p w14:paraId="7EC57DC7" w14:textId="7A0DF959"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1,32</w:t>
            </w:r>
          </w:p>
        </w:tc>
        <w:tc>
          <w:tcPr>
            <w:tcW w:w="1565" w:type="dxa"/>
            <w:vAlign w:val="center"/>
          </w:tcPr>
          <w:p w14:paraId="1E9C6E0B" w14:textId="5D5BFD8A"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0,26</w:t>
            </w:r>
          </w:p>
        </w:tc>
        <w:tc>
          <w:tcPr>
            <w:tcW w:w="1565" w:type="dxa"/>
            <w:vAlign w:val="center"/>
          </w:tcPr>
          <w:p w14:paraId="711FC5B1" w14:textId="59D69DB0"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2,31</w:t>
            </w:r>
          </w:p>
        </w:tc>
        <w:tc>
          <w:tcPr>
            <w:tcW w:w="1275" w:type="dxa"/>
            <w:vAlign w:val="center"/>
          </w:tcPr>
          <w:p w14:paraId="2B54294A" w14:textId="3257BA3F" w:rsidR="0CF54B23" w:rsidRDefault="0CF54B23" w:rsidP="0CF54B2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4,94</w:t>
            </w:r>
          </w:p>
        </w:tc>
      </w:tr>
    </w:tbl>
    <w:p w14:paraId="61D76DBE" w14:textId="0124474A" w:rsidR="00946FEE" w:rsidRDefault="6005AB3D" w:rsidP="0CF54B23">
      <w:pPr>
        <w:spacing w:after="240"/>
        <w:jc w:val="both"/>
        <w:rPr>
          <w:rFonts w:ascii="Times New Roman" w:eastAsia="Times New Roman" w:hAnsi="Times New Roman" w:cs="Times New Roman"/>
          <w:sz w:val="18"/>
          <w:szCs w:val="18"/>
        </w:rPr>
      </w:pPr>
      <w:r w:rsidRPr="0CF54B23">
        <w:rPr>
          <w:rFonts w:ascii="Times New Roman" w:eastAsia="Times New Roman" w:hAnsi="Times New Roman" w:cs="Times New Roman"/>
          <w:i/>
          <w:iCs/>
          <w:sz w:val="20"/>
          <w:szCs w:val="20"/>
        </w:rPr>
        <w:t>Fonte:</w:t>
      </w:r>
      <w:r w:rsidRPr="0CF54B23">
        <w:rPr>
          <w:rFonts w:ascii="Times New Roman" w:eastAsia="Times New Roman" w:hAnsi="Times New Roman" w:cs="Times New Roman"/>
          <w:sz w:val="20"/>
          <w:szCs w:val="20"/>
        </w:rPr>
        <w:t xml:space="preserve"> Dados da pesquisa (2023).</w:t>
      </w:r>
    </w:p>
    <w:p w14:paraId="513C6263" w14:textId="746239CA" w:rsidR="00946FEE" w:rsidRDefault="6005AB3D" w:rsidP="0CF54B23">
      <w:pPr>
        <w:spacing w:after="0" w:line="240" w:lineRule="auto"/>
        <w:ind w:firstLine="708"/>
        <w:jc w:val="both"/>
        <w:rPr>
          <w:rFonts w:ascii="Times New Roman" w:eastAsia="Times New Roman" w:hAnsi="Times New Roman" w:cs="Times New Roman"/>
        </w:rPr>
      </w:pPr>
      <w:r w:rsidRPr="0CF54B23">
        <w:rPr>
          <w:rFonts w:ascii="Times New Roman" w:eastAsia="Times New Roman" w:hAnsi="Times New Roman" w:cs="Times New Roman"/>
        </w:rPr>
        <w:t xml:space="preserve">A partir da análise dos dados, constata-se uma assimetria financeira acentuada entre as entidades do terceiro setor científico brasileiro. Por conseguinte, a categoria de Transferências Públicas evidencia a maior variação da amostra, registrando um aporte mínimo de 2,85 milhões </w:t>
      </w:r>
      <w:r w:rsidRPr="0CF54B23">
        <w:rPr>
          <w:rFonts w:ascii="Times New Roman" w:eastAsia="Times New Roman" w:hAnsi="Times New Roman" w:cs="Times New Roman"/>
        </w:rPr>
        <w:lastRenderedPageBreak/>
        <w:t>de reais e um limite máximo de 1.907,89 milhões de reais (aproximadamente 1,9 bilhão). Desse modo, o elevado desvio padrão dessa variável (362,47 milhões), substancialmente superior à própria média (95,29 milhões), comprova estatisticamente a concentração de recursos estatais em um número restrito de instituições.</w:t>
      </w:r>
    </w:p>
    <w:p w14:paraId="20842A1F" w14:textId="508A0FEA" w:rsidR="00946FEE" w:rsidRDefault="6005AB3D" w:rsidP="0CF54B23">
      <w:pPr>
        <w:spacing w:after="0" w:line="240" w:lineRule="auto"/>
        <w:ind w:firstLine="708"/>
        <w:jc w:val="both"/>
        <w:rPr>
          <w:rFonts w:ascii="Times New Roman" w:eastAsia="Times New Roman" w:hAnsi="Times New Roman" w:cs="Times New Roman"/>
        </w:rPr>
      </w:pPr>
      <w:r w:rsidRPr="0CF54B23">
        <w:rPr>
          <w:rFonts w:ascii="Times New Roman" w:eastAsia="Times New Roman" w:hAnsi="Times New Roman" w:cs="Times New Roman"/>
        </w:rPr>
        <w:t>Além disso, as demais fontes de financiamento apresentam comportamentos menos dispersos, embora preservem variações de arrecadação. Consequentemente, as Transferências Internacionais e as Receitas Próprias figuram como as origens secundárias de maior volume médio, atingindo 15,75 milhões e 10,06 milhões, respectivamente. Por outro lado, as captações provenientes de doações de Pessoas Físicas e Jurídicas demonstram um fluxo financeiro mais contido, com média de 7,16 milhões.</w:t>
      </w:r>
    </w:p>
    <w:p w14:paraId="2845B5C4" w14:textId="1AC7FFA2" w:rsidR="00946FEE" w:rsidRDefault="6005AB3D" w:rsidP="0CF54B23">
      <w:pPr>
        <w:spacing w:after="0" w:line="240" w:lineRule="auto"/>
        <w:ind w:firstLine="708"/>
        <w:jc w:val="both"/>
        <w:rPr>
          <w:rFonts w:ascii="Times New Roman" w:eastAsia="Times New Roman" w:hAnsi="Times New Roman" w:cs="Times New Roman"/>
        </w:rPr>
      </w:pPr>
      <w:r w:rsidRPr="0CF54B23">
        <w:rPr>
          <w:rFonts w:ascii="Times New Roman" w:eastAsia="Times New Roman" w:hAnsi="Times New Roman" w:cs="Times New Roman"/>
        </w:rPr>
        <w:t>Sendo assim, o panorama descritivo ratifica que o ecossistema de pesquisa abriga organizações com capacidades de gestão de capital heterogêneas. A partir dessa constatação formal, a seção seguinte testará de forma inferencial se essa discrepância orçamentária altera os índices de evidenciação institucionais.</w:t>
      </w:r>
    </w:p>
    <w:p w14:paraId="28B34640" w14:textId="3E79BBCA" w:rsidR="00946FEE" w:rsidRDefault="00946FEE" w:rsidP="0CF54B23">
      <w:pPr>
        <w:spacing w:after="0" w:line="240" w:lineRule="auto"/>
        <w:jc w:val="both"/>
        <w:rPr>
          <w:rFonts w:ascii="Times New Roman" w:eastAsia="Times New Roman" w:hAnsi="Times New Roman" w:cs="Times New Roman"/>
          <w:color w:val="002060"/>
        </w:rPr>
      </w:pPr>
    </w:p>
    <w:p w14:paraId="20E76D41" w14:textId="3C3DE0E7" w:rsidR="0EF4E6E4" w:rsidRDefault="0EF4E6E4" w:rsidP="7C64760A">
      <w:pPr>
        <w:spacing w:after="0" w:line="240" w:lineRule="auto"/>
        <w:jc w:val="both"/>
        <w:rPr>
          <w:rFonts w:ascii="Times New Roman" w:eastAsia="Times New Roman" w:hAnsi="Times New Roman" w:cs="Times New Roman"/>
          <w:i/>
          <w:iCs/>
        </w:rPr>
      </w:pPr>
      <w:r w:rsidRPr="7C64760A">
        <w:rPr>
          <w:rFonts w:ascii="Times New Roman" w:eastAsia="Times New Roman" w:hAnsi="Times New Roman" w:cs="Times New Roman"/>
          <w:i/>
          <w:iCs/>
        </w:rPr>
        <w:t>4</w:t>
      </w:r>
      <w:r w:rsidR="4CA3F9D0" w:rsidRPr="7C64760A">
        <w:rPr>
          <w:rFonts w:ascii="Times New Roman" w:eastAsia="Times New Roman" w:hAnsi="Times New Roman" w:cs="Times New Roman"/>
          <w:i/>
          <w:iCs/>
        </w:rPr>
        <w:t>.1.4 As Prioridades e Omissões na Evidenciação</w:t>
      </w:r>
    </w:p>
    <w:p w14:paraId="27A86BAC" w14:textId="1FA8E9E3" w:rsidR="4E224C78" w:rsidRDefault="4E224C78"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A análise individualizada dos 82 critérios de transparência permite identificar os indicadores com maior e menor conformidade no terceiro setor. Nesse contexto, a Tabela 04 destaca os cinco atributos com maior adesão e os cinco com menor divulgação pelas fundações analisadas.</w:t>
      </w:r>
    </w:p>
    <w:p w14:paraId="20A549B2" w14:textId="5501E4E0" w:rsidR="7C64760A" w:rsidRDefault="7C64760A" w:rsidP="7C64760A">
      <w:pPr>
        <w:spacing w:after="0" w:line="240" w:lineRule="auto"/>
        <w:jc w:val="both"/>
        <w:rPr>
          <w:rFonts w:ascii="Times New Roman" w:eastAsia="Times New Roman" w:hAnsi="Times New Roman" w:cs="Times New Roman"/>
        </w:rPr>
      </w:pPr>
    </w:p>
    <w:p w14:paraId="06A50E3A" w14:textId="45B65D07" w:rsidR="4E224C78" w:rsidRDefault="4E224C78" w:rsidP="7C64760A">
      <w:pPr>
        <w:spacing w:after="0" w:line="240" w:lineRule="auto"/>
        <w:jc w:val="both"/>
      </w:pPr>
      <w:r w:rsidRPr="7C64760A">
        <w:rPr>
          <w:rFonts w:ascii="Times New Roman" w:eastAsia="Times New Roman" w:hAnsi="Times New Roman" w:cs="Times New Roman"/>
          <w:b/>
          <w:bCs/>
        </w:rPr>
        <w:t>Tabela 04</w:t>
      </w:r>
      <w:r w:rsidRPr="7C64760A">
        <w:rPr>
          <w:rFonts w:ascii="Times New Roman" w:eastAsia="Times New Roman" w:hAnsi="Times New Roman" w:cs="Times New Roman"/>
        </w:rPr>
        <w:t xml:space="preserve"> </w:t>
      </w:r>
    </w:p>
    <w:p w14:paraId="15CFFFCE" w14:textId="2E800087" w:rsidR="4E224C78" w:rsidRDefault="4E224C78" w:rsidP="7C64760A">
      <w:pPr>
        <w:spacing w:after="0" w:line="240" w:lineRule="auto"/>
        <w:jc w:val="both"/>
      </w:pPr>
      <w:r w:rsidRPr="7C64760A">
        <w:rPr>
          <w:rFonts w:ascii="Times New Roman" w:eastAsia="Times New Roman" w:hAnsi="Times New Roman" w:cs="Times New Roman"/>
          <w:i/>
          <w:iCs/>
        </w:rPr>
        <w:t>Itens de Evidenciação com Maior e Menor Nível de Conformidade (Top 5 e Bottom 5)</w:t>
      </w:r>
    </w:p>
    <w:tbl>
      <w:tblPr>
        <w:tblStyle w:val="SimplesTabela2"/>
        <w:tblW w:w="0" w:type="auto"/>
        <w:jc w:val="center"/>
        <w:tblLook w:val="06A0" w:firstRow="1" w:lastRow="0" w:firstColumn="1" w:lastColumn="0" w:noHBand="1" w:noVBand="1"/>
      </w:tblPr>
      <w:tblGrid>
        <w:gridCol w:w="2025"/>
        <w:gridCol w:w="5554"/>
        <w:gridCol w:w="1470"/>
      </w:tblGrid>
      <w:tr w:rsidR="7C64760A" w14:paraId="383D20A3" w14:textId="77777777" w:rsidTr="7C64760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1DA9D971" w14:textId="758C667C" w:rsidR="7C64760A" w:rsidRDefault="7C64760A" w:rsidP="7C64760A">
            <w:pPr>
              <w:rPr>
                <w:sz w:val="20"/>
                <w:szCs w:val="20"/>
              </w:rPr>
            </w:pPr>
            <w:r w:rsidRPr="7C64760A">
              <w:rPr>
                <w:sz w:val="20"/>
                <w:szCs w:val="20"/>
              </w:rPr>
              <w:t>Classificação</w:t>
            </w:r>
          </w:p>
        </w:tc>
        <w:tc>
          <w:tcPr>
            <w:tcW w:w="5554" w:type="dxa"/>
            <w:vAlign w:val="center"/>
          </w:tcPr>
          <w:p w14:paraId="42E6A928" w14:textId="6A88FA2C" w:rsidR="7C64760A" w:rsidRDefault="7C64760A" w:rsidP="7C64760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7C64760A">
              <w:rPr>
                <w:sz w:val="20"/>
                <w:szCs w:val="20"/>
              </w:rPr>
              <w:t>Item Avaliado (Dimensão)</w:t>
            </w:r>
          </w:p>
        </w:tc>
        <w:tc>
          <w:tcPr>
            <w:tcW w:w="1470" w:type="dxa"/>
            <w:vAlign w:val="center"/>
          </w:tcPr>
          <w:p w14:paraId="32DF7964" w14:textId="17743B99" w:rsidR="7C64760A" w:rsidRDefault="7C64760A" w:rsidP="7C64760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7C64760A">
              <w:rPr>
                <w:sz w:val="20"/>
                <w:szCs w:val="20"/>
              </w:rPr>
              <w:t>Nível de Conformidade</w:t>
            </w:r>
          </w:p>
        </w:tc>
      </w:tr>
      <w:tr w:rsidR="7C64760A" w14:paraId="30BDDC7A" w14:textId="77777777" w:rsidTr="7C64760A">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2CCD085E" w14:textId="4310F6C7" w:rsidR="7C64760A" w:rsidRDefault="7C64760A" w:rsidP="7C64760A">
            <w:pPr>
              <w:rPr>
                <w:sz w:val="20"/>
                <w:szCs w:val="20"/>
              </w:rPr>
            </w:pPr>
            <w:r w:rsidRPr="7C64760A">
              <w:rPr>
                <w:sz w:val="20"/>
                <w:szCs w:val="20"/>
              </w:rPr>
              <w:t>Maior Adesão</w:t>
            </w:r>
          </w:p>
        </w:tc>
        <w:tc>
          <w:tcPr>
            <w:tcW w:w="5554" w:type="dxa"/>
            <w:vAlign w:val="center"/>
          </w:tcPr>
          <w:p w14:paraId="54189C42" w14:textId="66ADF083"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Demonstrativo de receitas e despesas atuais (D2)</w:t>
            </w:r>
          </w:p>
        </w:tc>
        <w:tc>
          <w:tcPr>
            <w:tcW w:w="1470" w:type="dxa"/>
            <w:vAlign w:val="center"/>
          </w:tcPr>
          <w:p w14:paraId="12CC9234" w14:textId="2A3D79E4"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14:paraId="6538FBA8" w14:textId="77777777" w:rsidTr="7C64760A">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04973A7F" w14:textId="72B3B3FC" w:rsidR="7C64760A" w:rsidRDefault="7C64760A" w:rsidP="7C64760A">
            <w:pPr>
              <w:rPr>
                <w:sz w:val="20"/>
                <w:szCs w:val="20"/>
              </w:rPr>
            </w:pPr>
          </w:p>
        </w:tc>
        <w:tc>
          <w:tcPr>
            <w:tcW w:w="5554" w:type="dxa"/>
            <w:vAlign w:val="center"/>
          </w:tcPr>
          <w:p w14:paraId="6540FD0D" w14:textId="5E3DA6CC"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Demonstrativo de receitas e despesas anteriores (D2)</w:t>
            </w:r>
          </w:p>
        </w:tc>
        <w:tc>
          <w:tcPr>
            <w:tcW w:w="1470" w:type="dxa"/>
            <w:vAlign w:val="center"/>
          </w:tcPr>
          <w:p w14:paraId="54C1745D" w14:textId="129BBBFC"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14:paraId="2E307C8D" w14:textId="77777777" w:rsidTr="7C64760A">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684935D0" w14:textId="4CD42568" w:rsidR="7C64760A" w:rsidRDefault="7C64760A" w:rsidP="7C64760A">
            <w:pPr>
              <w:rPr>
                <w:sz w:val="20"/>
                <w:szCs w:val="20"/>
              </w:rPr>
            </w:pPr>
          </w:p>
        </w:tc>
        <w:tc>
          <w:tcPr>
            <w:tcW w:w="5554" w:type="dxa"/>
            <w:vAlign w:val="center"/>
          </w:tcPr>
          <w:p w14:paraId="2A4FEDBD" w14:textId="5E78ABE3"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Nomes e histórico de membros do conselho de administração (D2)</w:t>
            </w:r>
          </w:p>
        </w:tc>
        <w:tc>
          <w:tcPr>
            <w:tcW w:w="1470" w:type="dxa"/>
            <w:vAlign w:val="center"/>
          </w:tcPr>
          <w:p w14:paraId="60F30EE9" w14:textId="356E21C2"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14:paraId="6D3DB447" w14:textId="77777777" w:rsidTr="7C64760A">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131B5F26" w14:textId="2F131C27" w:rsidR="7C64760A" w:rsidRDefault="7C64760A" w:rsidP="7C64760A">
            <w:pPr>
              <w:rPr>
                <w:sz w:val="20"/>
                <w:szCs w:val="20"/>
              </w:rPr>
            </w:pPr>
          </w:p>
        </w:tc>
        <w:tc>
          <w:tcPr>
            <w:tcW w:w="5554" w:type="dxa"/>
            <w:vAlign w:val="center"/>
          </w:tcPr>
          <w:p w14:paraId="1FD99FD1" w14:textId="2E7CE78A"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Calendário de reuniões do conselho (D2)</w:t>
            </w:r>
          </w:p>
        </w:tc>
        <w:tc>
          <w:tcPr>
            <w:tcW w:w="1470" w:type="dxa"/>
            <w:vAlign w:val="center"/>
          </w:tcPr>
          <w:p w14:paraId="11199151" w14:textId="0BEF9C84"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14:paraId="65872A4A" w14:textId="77777777" w:rsidTr="7C64760A">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2F0E341B" w14:textId="5835D210" w:rsidR="7C64760A" w:rsidRDefault="7C64760A" w:rsidP="7C64760A">
            <w:pPr>
              <w:rPr>
                <w:sz w:val="20"/>
                <w:szCs w:val="20"/>
              </w:rPr>
            </w:pPr>
          </w:p>
        </w:tc>
        <w:tc>
          <w:tcPr>
            <w:tcW w:w="5554" w:type="dxa"/>
            <w:vAlign w:val="center"/>
          </w:tcPr>
          <w:p w14:paraId="01E951D2" w14:textId="498A7352"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Presença de links para outros sites relacionados (D3)</w:t>
            </w:r>
          </w:p>
        </w:tc>
        <w:tc>
          <w:tcPr>
            <w:tcW w:w="1470" w:type="dxa"/>
            <w:vAlign w:val="center"/>
          </w:tcPr>
          <w:p w14:paraId="6281E533" w14:textId="2D2742E7"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14:paraId="743FD898" w14:textId="77777777" w:rsidTr="7C64760A">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09CF2233" w14:textId="3FE78F93" w:rsidR="7C64760A" w:rsidRDefault="7C64760A" w:rsidP="7C64760A">
            <w:pPr>
              <w:rPr>
                <w:sz w:val="20"/>
                <w:szCs w:val="20"/>
              </w:rPr>
            </w:pPr>
            <w:r w:rsidRPr="7C64760A">
              <w:rPr>
                <w:sz w:val="20"/>
                <w:szCs w:val="20"/>
              </w:rPr>
              <w:t>Menor Adesão</w:t>
            </w:r>
          </w:p>
        </w:tc>
        <w:tc>
          <w:tcPr>
            <w:tcW w:w="5554" w:type="dxa"/>
            <w:vAlign w:val="center"/>
          </w:tcPr>
          <w:p w14:paraId="5E34B6C5" w14:textId="544F8034"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Informação sobre a existência e o total de voluntários (D1)</w:t>
            </w:r>
          </w:p>
        </w:tc>
        <w:tc>
          <w:tcPr>
            <w:tcW w:w="1470" w:type="dxa"/>
            <w:vAlign w:val="center"/>
          </w:tcPr>
          <w:p w14:paraId="09A6BD52" w14:textId="03814133"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25,92%</w:t>
            </w:r>
          </w:p>
        </w:tc>
      </w:tr>
      <w:tr w:rsidR="7C64760A" w14:paraId="642096A7" w14:textId="77777777" w:rsidTr="7C64760A">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65619378" w14:textId="670C03C2" w:rsidR="7C64760A" w:rsidRDefault="7C64760A" w:rsidP="7C64760A">
            <w:pPr>
              <w:rPr>
                <w:sz w:val="20"/>
                <w:szCs w:val="20"/>
              </w:rPr>
            </w:pPr>
          </w:p>
        </w:tc>
        <w:tc>
          <w:tcPr>
            <w:tcW w:w="5554" w:type="dxa"/>
            <w:vAlign w:val="center"/>
          </w:tcPr>
          <w:p w14:paraId="3DD0C6D1" w14:textId="21D16829"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Área específica para governança e finanças na página inicial (D3)</w:t>
            </w:r>
          </w:p>
        </w:tc>
        <w:tc>
          <w:tcPr>
            <w:tcW w:w="1470" w:type="dxa"/>
            <w:vAlign w:val="center"/>
          </w:tcPr>
          <w:p w14:paraId="553463C2" w14:textId="4045BA82"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29,62%</w:t>
            </w:r>
          </w:p>
        </w:tc>
      </w:tr>
      <w:tr w:rsidR="7C64760A" w14:paraId="4942D4CF" w14:textId="77777777" w:rsidTr="7C64760A">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5E92BFDF" w14:textId="19615501" w:rsidR="7C64760A" w:rsidRDefault="7C64760A" w:rsidP="7C64760A">
            <w:pPr>
              <w:rPr>
                <w:sz w:val="20"/>
                <w:szCs w:val="20"/>
              </w:rPr>
            </w:pPr>
          </w:p>
        </w:tc>
        <w:tc>
          <w:tcPr>
            <w:tcW w:w="5554" w:type="dxa"/>
            <w:vAlign w:val="center"/>
          </w:tcPr>
          <w:p w14:paraId="58629E6E" w14:textId="1DB3D4E4"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Ofertas de parcerias institucionais ou adesões (D3)</w:t>
            </w:r>
          </w:p>
        </w:tc>
        <w:tc>
          <w:tcPr>
            <w:tcW w:w="1470" w:type="dxa"/>
            <w:vAlign w:val="center"/>
          </w:tcPr>
          <w:p w14:paraId="6834DCD2" w14:textId="5B7C4D1C"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33,33%</w:t>
            </w:r>
          </w:p>
        </w:tc>
      </w:tr>
      <w:tr w:rsidR="7C64760A" w14:paraId="747F6A1F" w14:textId="77777777" w:rsidTr="7C64760A">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61964EDA" w14:textId="48705A29" w:rsidR="7C64760A" w:rsidRDefault="7C64760A" w:rsidP="7C64760A">
            <w:pPr>
              <w:rPr>
                <w:sz w:val="20"/>
                <w:szCs w:val="20"/>
              </w:rPr>
            </w:pPr>
          </w:p>
        </w:tc>
        <w:tc>
          <w:tcPr>
            <w:tcW w:w="5554" w:type="dxa"/>
            <w:vAlign w:val="center"/>
          </w:tcPr>
          <w:p w14:paraId="3A1587CD" w14:textId="55A1EE51"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Informações de contato direto da pessoa responsável (D3)</w:t>
            </w:r>
          </w:p>
        </w:tc>
        <w:tc>
          <w:tcPr>
            <w:tcW w:w="1470" w:type="dxa"/>
            <w:vAlign w:val="center"/>
          </w:tcPr>
          <w:p w14:paraId="2CD7AC30" w14:textId="13A4879A"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37,03%</w:t>
            </w:r>
          </w:p>
        </w:tc>
      </w:tr>
      <w:tr w:rsidR="7C64760A" w14:paraId="763F2C5A" w14:textId="77777777" w:rsidTr="7C64760A">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147A4C33" w14:textId="3EDD28B1" w:rsidR="7C64760A" w:rsidRDefault="7C64760A" w:rsidP="7C64760A">
            <w:pPr>
              <w:rPr>
                <w:sz w:val="20"/>
                <w:szCs w:val="20"/>
              </w:rPr>
            </w:pPr>
          </w:p>
        </w:tc>
        <w:tc>
          <w:tcPr>
            <w:tcW w:w="5554" w:type="dxa"/>
            <w:vAlign w:val="center"/>
          </w:tcPr>
          <w:p w14:paraId="14F220BF" w14:textId="06BBC996"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Balanço patrimonial do exercício atualizado (D2)</w:t>
            </w:r>
          </w:p>
        </w:tc>
        <w:tc>
          <w:tcPr>
            <w:tcW w:w="1470" w:type="dxa"/>
            <w:vAlign w:val="center"/>
          </w:tcPr>
          <w:p w14:paraId="67349C84" w14:textId="2ED0AAA0" w:rsidR="7C64760A" w:rsidRDefault="7C64760A" w:rsidP="7C64760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37,03%</w:t>
            </w:r>
          </w:p>
        </w:tc>
      </w:tr>
    </w:tbl>
    <w:p w14:paraId="237D1618" w14:textId="02BC0B6D" w:rsidR="2C427EAD" w:rsidRDefault="2C427EAD" w:rsidP="7C64760A">
      <w:pPr>
        <w:spacing w:after="0" w:line="240" w:lineRule="auto"/>
        <w:jc w:val="both"/>
        <w:rPr>
          <w:rFonts w:ascii="Times New Roman" w:eastAsia="Times New Roman" w:hAnsi="Times New Roman" w:cs="Times New Roman"/>
          <w:i/>
          <w:iCs/>
          <w:sz w:val="18"/>
          <w:szCs w:val="18"/>
        </w:rPr>
      </w:pPr>
      <w:r w:rsidRPr="7C64760A">
        <w:rPr>
          <w:rFonts w:ascii="Times New Roman" w:eastAsia="Times New Roman" w:hAnsi="Times New Roman" w:cs="Times New Roman"/>
          <w:b/>
          <w:bCs/>
          <w:i/>
          <w:iCs/>
          <w:sz w:val="20"/>
          <w:szCs w:val="20"/>
        </w:rPr>
        <w:t xml:space="preserve">Fonte: </w:t>
      </w:r>
      <w:r w:rsidRPr="7C64760A">
        <w:rPr>
          <w:rFonts w:ascii="Times New Roman" w:eastAsia="Times New Roman" w:hAnsi="Times New Roman" w:cs="Times New Roman"/>
          <w:i/>
          <w:iCs/>
          <w:sz w:val="20"/>
          <w:szCs w:val="20"/>
        </w:rPr>
        <w:t>Dados da pesquisa (2023).</w:t>
      </w:r>
    </w:p>
    <w:p w14:paraId="559DD1E6" w14:textId="48EF5A3B" w:rsidR="7C64760A" w:rsidRDefault="7C64760A" w:rsidP="7C64760A">
      <w:pPr>
        <w:spacing w:after="0" w:line="240" w:lineRule="auto"/>
        <w:ind w:firstLine="708"/>
        <w:jc w:val="both"/>
        <w:rPr>
          <w:rFonts w:ascii="Times New Roman" w:eastAsia="Times New Roman" w:hAnsi="Times New Roman" w:cs="Times New Roman"/>
        </w:rPr>
      </w:pPr>
    </w:p>
    <w:p w14:paraId="2E297471" w14:textId="7136FBFD" w:rsidR="2C427EAD" w:rsidRDefault="2C427EAD" w:rsidP="7C64760A">
      <w:pPr>
        <w:spacing w:after="0" w:line="240" w:lineRule="auto"/>
        <w:ind w:firstLine="708"/>
        <w:jc w:val="both"/>
      </w:pPr>
      <w:r w:rsidRPr="7C64760A">
        <w:rPr>
          <w:rFonts w:ascii="Times New Roman" w:eastAsia="Times New Roman" w:hAnsi="Times New Roman" w:cs="Times New Roman"/>
        </w:rPr>
        <w:t>A partir da observação dos dados, nota-se que as organizações priorizam a publicação de demonstrativos macroeconômicos e a identificação de sua alta gestão. Por conseguinte, itens vinculados à dimensão de governança e finanças, como a composição dos conselhos e o histórico de receitas, alcançam os maiores índices da amostra. Sob essa ótica, o foco da evidenciação recai sobre o atendimento de prerrogativas contábeis e estatutárias demandadas por órgãos fiscalizadores</w:t>
      </w:r>
    </w:p>
    <w:p w14:paraId="1DA14BD8" w14:textId="38FD9072" w:rsidR="2C427EAD" w:rsidRDefault="2C427EAD" w:rsidP="7C64760A">
      <w:pPr>
        <w:spacing w:after="0" w:line="240" w:lineRule="auto"/>
        <w:ind w:firstLine="708"/>
        <w:jc w:val="both"/>
      </w:pPr>
      <w:r w:rsidRPr="7C64760A">
        <w:rPr>
          <w:rFonts w:ascii="Times New Roman" w:eastAsia="Times New Roman" w:hAnsi="Times New Roman" w:cs="Times New Roman"/>
        </w:rPr>
        <w:t xml:space="preserve">Em contrapartida, os indicadores com menor adesão demonstram barreiras operacionais para o exercício do controle social contínuo. Nesse sentido, o nível reduzido de publicação do balanço patrimonial atualizado e a ausência de uma interface exclusiva para o cidadão acessar informações financeiras restringem a transparência ativa. Além disso, a escassez de dados sobre o quantitativo de voluntários e a omissão de ofertas de parcerias apontam para lacunas na comunicação institucional. Consequentemente, infere-se que o modelo de </w:t>
      </w:r>
      <w:r w:rsidRPr="7C64760A">
        <w:rPr>
          <w:rFonts w:ascii="Times New Roman" w:eastAsia="Times New Roman" w:hAnsi="Times New Roman" w:cs="Times New Roman"/>
          <w:i/>
          <w:iCs/>
        </w:rPr>
        <w:t>disclosure</w:t>
      </w:r>
      <w:r w:rsidRPr="7C64760A">
        <w:rPr>
          <w:rFonts w:ascii="Times New Roman" w:eastAsia="Times New Roman" w:hAnsi="Times New Roman" w:cs="Times New Roman"/>
        </w:rPr>
        <w:t xml:space="preserve"> vigente atende a ritos formais, porém carece de acessibilidade estrutural para a sociedade civil.</w:t>
      </w:r>
    </w:p>
    <w:p w14:paraId="4AEA045E" w14:textId="5DBDA328" w:rsidR="7C64760A" w:rsidRDefault="7C64760A" w:rsidP="7C64760A">
      <w:pPr>
        <w:spacing w:after="0" w:line="240" w:lineRule="auto"/>
        <w:jc w:val="both"/>
        <w:rPr>
          <w:rFonts w:ascii="Times New Roman" w:eastAsia="Times New Roman" w:hAnsi="Times New Roman" w:cs="Times New Roman"/>
          <w:color w:val="002060"/>
        </w:rPr>
      </w:pPr>
    </w:p>
    <w:p w14:paraId="1E5C4871" w14:textId="57B4CDEA" w:rsidR="00946FEE" w:rsidRDefault="2F572959" w:rsidP="0CF54B23">
      <w:pPr>
        <w:spacing w:after="0" w:line="240" w:lineRule="auto"/>
        <w:jc w:val="both"/>
        <w:rPr>
          <w:rFonts w:ascii="Times New Roman" w:eastAsia="Times New Roman" w:hAnsi="Times New Roman" w:cs="Times New Roman"/>
          <w:b/>
          <w:bCs/>
        </w:rPr>
      </w:pPr>
      <w:r w:rsidRPr="7C64760A">
        <w:rPr>
          <w:rFonts w:ascii="Times New Roman" w:eastAsia="Times New Roman" w:hAnsi="Times New Roman" w:cs="Times New Roman"/>
          <w:b/>
          <w:bCs/>
        </w:rPr>
        <w:t>4</w:t>
      </w:r>
      <w:r w:rsidR="250F4C7C" w:rsidRPr="7C64760A">
        <w:rPr>
          <w:rFonts w:ascii="Times New Roman" w:eastAsia="Times New Roman" w:hAnsi="Times New Roman" w:cs="Times New Roman"/>
          <w:b/>
          <w:bCs/>
        </w:rPr>
        <w:t>.2 Teste das Hipóteses</w:t>
      </w:r>
    </w:p>
    <w:p w14:paraId="73789B4F" w14:textId="50253FF7" w:rsidR="537037AA" w:rsidRDefault="38A3A276" w:rsidP="0CF54B23">
      <w:pPr>
        <w:spacing w:after="0" w:line="240" w:lineRule="auto"/>
        <w:ind w:firstLine="708"/>
        <w:jc w:val="both"/>
      </w:pPr>
      <w:r w:rsidRPr="7C64760A">
        <w:rPr>
          <w:rFonts w:ascii="Times New Roman" w:eastAsia="Times New Roman" w:hAnsi="Times New Roman" w:cs="Times New Roman"/>
        </w:rPr>
        <w:t>A avaliação das seis hipóteses de pesquisa fundamentou-se na aplicação de testes estatísticos inferenciais não paramétricos. Desse modo, utilizou-se a Correlação de Spearman para as variáveis quantitativas contínuas (H1, H2, H3, H5 e H6) e o teste de variância de Kruskal-Wallis para a variável categórica de agrupamento regional (H4). Para a validação estatística, adotou-se o nível de significância referencial de 5% (p &lt; 0,05), admitindo-se análises exploratórias marginais a 10% (p &lt; 0,10). A Tabela 0</w:t>
      </w:r>
      <w:r w:rsidR="3C800F10" w:rsidRPr="7C64760A">
        <w:rPr>
          <w:rFonts w:ascii="Times New Roman" w:eastAsia="Times New Roman" w:hAnsi="Times New Roman" w:cs="Times New Roman"/>
        </w:rPr>
        <w:t>5</w:t>
      </w:r>
      <w:r w:rsidRPr="7C64760A">
        <w:rPr>
          <w:rFonts w:ascii="Times New Roman" w:eastAsia="Times New Roman" w:hAnsi="Times New Roman" w:cs="Times New Roman"/>
        </w:rPr>
        <w:t xml:space="preserve"> consolida os resultados obtidos no processamento dos dados.</w:t>
      </w:r>
    </w:p>
    <w:p w14:paraId="79A779E1" w14:textId="7AAA4174" w:rsidR="0CF54B23" w:rsidRDefault="0CF54B23" w:rsidP="0CF54B23">
      <w:pPr>
        <w:spacing w:after="0" w:line="240" w:lineRule="auto"/>
        <w:jc w:val="both"/>
        <w:rPr>
          <w:rFonts w:ascii="Times New Roman" w:eastAsia="Times New Roman" w:hAnsi="Times New Roman" w:cs="Times New Roman"/>
        </w:rPr>
      </w:pPr>
    </w:p>
    <w:p w14:paraId="19A6D0EF" w14:textId="7A2F4E2F" w:rsidR="537037AA" w:rsidRDefault="38A3A276" w:rsidP="0CF54B23">
      <w:pPr>
        <w:spacing w:after="0" w:line="240" w:lineRule="auto"/>
        <w:jc w:val="both"/>
        <w:rPr>
          <w:rFonts w:ascii="Times New Roman" w:eastAsia="Times New Roman" w:hAnsi="Times New Roman" w:cs="Times New Roman"/>
          <w:sz w:val="20"/>
          <w:szCs w:val="20"/>
        </w:rPr>
      </w:pPr>
      <w:r w:rsidRPr="7C64760A">
        <w:rPr>
          <w:rFonts w:ascii="Times New Roman" w:eastAsia="Times New Roman" w:hAnsi="Times New Roman" w:cs="Times New Roman"/>
          <w:b/>
          <w:bCs/>
          <w:sz w:val="20"/>
          <w:szCs w:val="20"/>
        </w:rPr>
        <w:t>Tabela 0</w:t>
      </w:r>
      <w:r w:rsidR="1AC35B6B" w:rsidRPr="7C64760A">
        <w:rPr>
          <w:rFonts w:ascii="Times New Roman" w:eastAsia="Times New Roman" w:hAnsi="Times New Roman" w:cs="Times New Roman"/>
          <w:b/>
          <w:bCs/>
          <w:sz w:val="20"/>
          <w:szCs w:val="20"/>
        </w:rPr>
        <w:t>5</w:t>
      </w:r>
      <w:r w:rsidRPr="7C64760A">
        <w:rPr>
          <w:rFonts w:ascii="Times New Roman" w:eastAsia="Times New Roman" w:hAnsi="Times New Roman" w:cs="Times New Roman"/>
          <w:sz w:val="20"/>
          <w:szCs w:val="20"/>
        </w:rPr>
        <w:t xml:space="preserve"> </w:t>
      </w:r>
    </w:p>
    <w:p w14:paraId="73521821" w14:textId="2B69A7AA" w:rsidR="537037AA" w:rsidRDefault="537037AA" w:rsidP="0CF54B23">
      <w:pPr>
        <w:spacing w:after="0" w:line="240" w:lineRule="auto"/>
        <w:jc w:val="both"/>
        <w:rPr>
          <w:rFonts w:ascii="Times New Roman" w:eastAsia="Times New Roman" w:hAnsi="Times New Roman" w:cs="Times New Roman"/>
          <w:i/>
          <w:iCs/>
          <w:sz w:val="20"/>
          <w:szCs w:val="20"/>
        </w:rPr>
      </w:pPr>
      <w:r w:rsidRPr="0CF54B23">
        <w:rPr>
          <w:rFonts w:ascii="Times New Roman" w:eastAsia="Times New Roman" w:hAnsi="Times New Roman" w:cs="Times New Roman"/>
          <w:i/>
          <w:iCs/>
          <w:sz w:val="20"/>
          <w:szCs w:val="20"/>
        </w:rPr>
        <w:t>Resultados Consolidados dos Testes de Hipóteses (Spearman e Kruskal-Wallis)</w:t>
      </w:r>
    </w:p>
    <w:tbl>
      <w:tblPr>
        <w:tblStyle w:val="SimplesTabela2"/>
        <w:tblW w:w="0" w:type="auto"/>
        <w:tblLook w:val="06A0" w:firstRow="1" w:lastRow="0" w:firstColumn="1" w:lastColumn="0" w:noHBand="1" w:noVBand="1"/>
      </w:tblPr>
      <w:tblGrid>
        <w:gridCol w:w="1502"/>
        <w:gridCol w:w="1502"/>
        <w:gridCol w:w="1502"/>
        <w:gridCol w:w="1502"/>
        <w:gridCol w:w="1502"/>
        <w:gridCol w:w="1502"/>
      </w:tblGrid>
      <w:tr w:rsidR="0CF54B23" w14:paraId="2D74717C" w14:textId="77777777" w:rsidTr="0CF54B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60F69AD1" w14:textId="6700C747" w:rsidR="0CF54B23" w:rsidRDefault="0CF54B23" w:rsidP="0CF54B23">
            <w:pPr>
              <w:rPr>
                <w:sz w:val="20"/>
                <w:szCs w:val="20"/>
              </w:rPr>
            </w:pPr>
            <w:r w:rsidRPr="0CF54B23">
              <w:rPr>
                <w:sz w:val="20"/>
                <w:szCs w:val="20"/>
              </w:rPr>
              <w:t>Hipótese</w:t>
            </w:r>
          </w:p>
        </w:tc>
        <w:tc>
          <w:tcPr>
            <w:tcW w:w="1502" w:type="dxa"/>
            <w:vAlign w:val="center"/>
          </w:tcPr>
          <w:p w14:paraId="1BA0A35F" w14:textId="0B00168D"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Dimensão Avaliada</w:t>
            </w:r>
          </w:p>
        </w:tc>
        <w:tc>
          <w:tcPr>
            <w:tcW w:w="1502" w:type="dxa"/>
            <w:vAlign w:val="center"/>
          </w:tcPr>
          <w:p w14:paraId="1F6F1B27" w14:textId="4ABA931F"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Variáveis Cruzadas</w:t>
            </w:r>
          </w:p>
        </w:tc>
        <w:tc>
          <w:tcPr>
            <w:tcW w:w="1502" w:type="dxa"/>
            <w:vAlign w:val="center"/>
          </w:tcPr>
          <w:p w14:paraId="13FE3F02" w14:textId="623093E6"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Estatística do Teste</w:t>
            </w:r>
          </w:p>
        </w:tc>
        <w:tc>
          <w:tcPr>
            <w:tcW w:w="1502" w:type="dxa"/>
            <w:vAlign w:val="center"/>
          </w:tcPr>
          <w:p w14:paraId="2F08340D" w14:textId="6C6F40C7"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tcW w:w="1502" w:type="dxa"/>
            <w:vAlign w:val="center"/>
          </w:tcPr>
          <w:p w14:paraId="38A5A515" w14:textId="24FB24D0"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14:paraId="42F206D1"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28298677" w14:textId="1AF3CD2B" w:rsidR="0CF54B23" w:rsidRDefault="0CF54B23" w:rsidP="0CF54B23">
            <w:pPr>
              <w:rPr>
                <w:sz w:val="20"/>
                <w:szCs w:val="20"/>
              </w:rPr>
            </w:pPr>
            <w:r w:rsidRPr="0CF54B23">
              <w:rPr>
                <w:sz w:val="20"/>
                <w:szCs w:val="20"/>
              </w:rPr>
              <w:t>H1</w:t>
            </w:r>
          </w:p>
        </w:tc>
        <w:tc>
          <w:tcPr>
            <w:tcW w:w="1502" w:type="dxa"/>
            <w:vAlign w:val="center"/>
          </w:tcPr>
          <w:p w14:paraId="49092597" w14:textId="50E97748"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tcW w:w="1502" w:type="dxa"/>
            <w:vAlign w:val="center"/>
          </w:tcPr>
          <w:p w14:paraId="440870FE" w14:textId="4A9DAF7C"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Tamanho (Receita Total) </w:t>
            </w:r>
            <w:r w:rsidR="1C1F23A6" w:rsidRPr="0CF54B23">
              <w:rPr>
                <w:sz w:val="20"/>
                <w:szCs w:val="20"/>
              </w:rPr>
              <w:t>x</w:t>
            </w:r>
            <w:r w:rsidRPr="0CF54B23">
              <w:rPr>
                <w:sz w:val="20"/>
                <w:szCs w:val="20"/>
              </w:rPr>
              <w:t xml:space="preserve"> Índice Geral</w:t>
            </w:r>
          </w:p>
        </w:tc>
        <w:tc>
          <w:tcPr>
            <w:tcW w:w="1502" w:type="dxa"/>
            <w:vAlign w:val="center"/>
          </w:tcPr>
          <w:p w14:paraId="59257503" w14:textId="30876809"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Rho = -0,0893</w:t>
            </w:r>
          </w:p>
        </w:tc>
        <w:tc>
          <w:tcPr>
            <w:tcW w:w="1502" w:type="dxa"/>
            <w:vAlign w:val="center"/>
          </w:tcPr>
          <w:p w14:paraId="2DA2005F" w14:textId="16F5F333"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0,6577</w:t>
            </w:r>
          </w:p>
        </w:tc>
        <w:tc>
          <w:tcPr>
            <w:tcW w:w="1502" w:type="dxa"/>
            <w:vAlign w:val="center"/>
          </w:tcPr>
          <w:p w14:paraId="40872097" w14:textId="4AA1D538"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14:paraId="7949DF48"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45F5322F" w14:textId="0E1305DB" w:rsidR="0CF54B23" w:rsidRDefault="0CF54B23" w:rsidP="0CF54B23">
            <w:pPr>
              <w:rPr>
                <w:sz w:val="20"/>
                <w:szCs w:val="20"/>
              </w:rPr>
            </w:pPr>
            <w:r w:rsidRPr="0CF54B23">
              <w:rPr>
                <w:sz w:val="20"/>
                <w:szCs w:val="20"/>
              </w:rPr>
              <w:t>H2</w:t>
            </w:r>
          </w:p>
        </w:tc>
        <w:tc>
          <w:tcPr>
            <w:tcW w:w="1502" w:type="dxa"/>
            <w:vAlign w:val="center"/>
          </w:tcPr>
          <w:p w14:paraId="516D9924" w14:textId="2ECB5984"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tcW w:w="1502" w:type="dxa"/>
            <w:vAlign w:val="center"/>
          </w:tcPr>
          <w:p w14:paraId="275E794D" w14:textId="31EBBC0F"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Dependência Governamental </w:t>
            </w:r>
            <w:r w:rsidR="1C1F23A6" w:rsidRPr="0CF54B23">
              <w:rPr>
                <w:sz w:val="20"/>
                <w:szCs w:val="20"/>
              </w:rPr>
              <w:t>x</w:t>
            </w:r>
            <w:r w:rsidRPr="0CF54B23">
              <w:rPr>
                <w:sz w:val="20"/>
                <w:szCs w:val="20"/>
              </w:rPr>
              <w:t xml:space="preserve"> Índice Geral</w:t>
            </w:r>
          </w:p>
        </w:tc>
        <w:tc>
          <w:tcPr>
            <w:tcW w:w="1502" w:type="dxa"/>
            <w:vAlign w:val="center"/>
          </w:tcPr>
          <w:p w14:paraId="2EA7421A" w14:textId="53C7D441"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Rho = 0,2117</w:t>
            </w:r>
          </w:p>
        </w:tc>
        <w:tc>
          <w:tcPr>
            <w:tcW w:w="1502" w:type="dxa"/>
            <w:vAlign w:val="center"/>
          </w:tcPr>
          <w:p w14:paraId="7FC7EC6D" w14:textId="03B523E8"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0,2892</w:t>
            </w:r>
          </w:p>
        </w:tc>
        <w:tc>
          <w:tcPr>
            <w:tcW w:w="1502" w:type="dxa"/>
            <w:vAlign w:val="center"/>
          </w:tcPr>
          <w:p w14:paraId="39735C55" w14:textId="102B5524"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14:paraId="689E6574"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13493911" w14:textId="660C809C" w:rsidR="0CF54B23" w:rsidRDefault="0CF54B23" w:rsidP="0CF54B23">
            <w:pPr>
              <w:rPr>
                <w:sz w:val="20"/>
                <w:szCs w:val="20"/>
              </w:rPr>
            </w:pPr>
            <w:r w:rsidRPr="0CF54B23">
              <w:rPr>
                <w:sz w:val="20"/>
                <w:szCs w:val="20"/>
              </w:rPr>
              <w:t>H3</w:t>
            </w:r>
          </w:p>
        </w:tc>
        <w:tc>
          <w:tcPr>
            <w:tcW w:w="1502" w:type="dxa"/>
            <w:vAlign w:val="center"/>
          </w:tcPr>
          <w:p w14:paraId="2F368120" w14:textId="1551855C"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tcW w:w="1502" w:type="dxa"/>
            <w:vAlign w:val="center"/>
          </w:tcPr>
          <w:p w14:paraId="30F264FB" w14:textId="6E93D0EE"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Concentração de Receitas (HHI) </w:t>
            </w:r>
            <w:r w:rsidR="1C1F23A6" w:rsidRPr="0CF54B23">
              <w:rPr>
                <w:sz w:val="20"/>
                <w:szCs w:val="20"/>
              </w:rPr>
              <w:t>x</w:t>
            </w:r>
            <w:r w:rsidRPr="0CF54B23">
              <w:rPr>
                <w:sz w:val="20"/>
                <w:szCs w:val="20"/>
              </w:rPr>
              <w:t xml:space="preserve"> Índice Geral</w:t>
            </w:r>
          </w:p>
        </w:tc>
        <w:tc>
          <w:tcPr>
            <w:tcW w:w="1502" w:type="dxa"/>
            <w:vAlign w:val="center"/>
          </w:tcPr>
          <w:p w14:paraId="703AAD11" w14:textId="2FF417B4"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Rho = 0,2132</w:t>
            </w:r>
          </w:p>
        </w:tc>
        <w:tc>
          <w:tcPr>
            <w:tcW w:w="1502" w:type="dxa"/>
            <w:vAlign w:val="center"/>
          </w:tcPr>
          <w:p w14:paraId="151942BD" w14:textId="605519C9"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0,2856</w:t>
            </w:r>
          </w:p>
        </w:tc>
        <w:tc>
          <w:tcPr>
            <w:tcW w:w="1502" w:type="dxa"/>
            <w:vAlign w:val="center"/>
          </w:tcPr>
          <w:p w14:paraId="577C4513" w14:textId="5681379A"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14:paraId="3920D78D"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0E01BA4D" w14:textId="0C41597A" w:rsidR="0CF54B23" w:rsidRDefault="0CF54B23" w:rsidP="0CF54B23">
            <w:pPr>
              <w:rPr>
                <w:sz w:val="20"/>
                <w:szCs w:val="20"/>
              </w:rPr>
            </w:pPr>
            <w:r w:rsidRPr="0CF54B23">
              <w:rPr>
                <w:sz w:val="20"/>
                <w:szCs w:val="20"/>
              </w:rPr>
              <w:t>H4</w:t>
            </w:r>
          </w:p>
        </w:tc>
        <w:tc>
          <w:tcPr>
            <w:tcW w:w="1502" w:type="dxa"/>
            <w:vAlign w:val="center"/>
          </w:tcPr>
          <w:p w14:paraId="50E56293" w14:textId="660CB4CC"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tcW w:w="1502" w:type="dxa"/>
            <w:vAlign w:val="center"/>
          </w:tcPr>
          <w:p w14:paraId="019059B9" w14:textId="6DFC6761"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Diferenças Regionais </w:t>
            </w:r>
            <w:r w:rsidR="1C1F23A6" w:rsidRPr="0CF54B23">
              <w:rPr>
                <w:sz w:val="20"/>
                <w:szCs w:val="20"/>
              </w:rPr>
              <w:t>x</w:t>
            </w:r>
            <w:r w:rsidRPr="0CF54B23">
              <w:rPr>
                <w:sz w:val="20"/>
                <w:szCs w:val="20"/>
              </w:rPr>
              <w:t xml:space="preserve"> Índice Geral</w:t>
            </w:r>
          </w:p>
        </w:tc>
        <w:tc>
          <w:tcPr>
            <w:tcW w:w="1502" w:type="dxa"/>
            <w:vAlign w:val="center"/>
          </w:tcPr>
          <w:p w14:paraId="3A7406EC" w14:textId="1EBD0519"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H = 9,1021</w:t>
            </w:r>
          </w:p>
        </w:tc>
        <w:tc>
          <w:tcPr>
            <w:tcW w:w="1502" w:type="dxa"/>
            <w:vAlign w:val="center"/>
          </w:tcPr>
          <w:p w14:paraId="1BBC8D85" w14:textId="7A6098E0"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0,0586</w:t>
            </w:r>
          </w:p>
        </w:tc>
        <w:tc>
          <w:tcPr>
            <w:tcW w:w="1502" w:type="dxa"/>
            <w:vAlign w:val="center"/>
          </w:tcPr>
          <w:p w14:paraId="77C40853" w14:textId="4912522A"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14:paraId="53A471F6"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1825A2A9" w14:textId="2809F140" w:rsidR="0CF54B23" w:rsidRDefault="0CF54B23" w:rsidP="0CF54B23">
            <w:pPr>
              <w:rPr>
                <w:sz w:val="20"/>
                <w:szCs w:val="20"/>
              </w:rPr>
            </w:pPr>
            <w:r w:rsidRPr="0CF54B23">
              <w:rPr>
                <w:sz w:val="20"/>
                <w:szCs w:val="20"/>
              </w:rPr>
              <w:t>H5</w:t>
            </w:r>
          </w:p>
        </w:tc>
        <w:tc>
          <w:tcPr>
            <w:tcW w:w="1502" w:type="dxa"/>
            <w:vAlign w:val="center"/>
          </w:tcPr>
          <w:p w14:paraId="143F126F" w14:textId="079D2E2D"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tcW w:w="1502" w:type="dxa"/>
            <w:vAlign w:val="center"/>
          </w:tcPr>
          <w:p w14:paraId="35009B38" w14:textId="0124F905"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Planejamento (D1) </w:t>
            </w:r>
            <w:r w:rsidR="1C1F23A6" w:rsidRPr="0CF54B23">
              <w:rPr>
                <w:sz w:val="20"/>
                <w:szCs w:val="20"/>
              </w:rPr>
              <w:t>x</w:t>
            </w:r>
            <w:r w:rsidRPr="0CF54B23">
              <w:rPr>
                <w:sz w:val="20"/>
                <w:szCs w:val="20"/>
              </w:rPr>
              <w:t xml:space="preserve"> Governança (D2)</w:t>
            </w:r>
          </w:p>
        </w:tc>
        <w:tc>
          <w:tcPr>
            <w:tcW w:w="1502" w:type="dxa"/>
            <w:vAlign w:val="center"/>
          </w:tcPr>
          <w:p w14:paraId="6B9FB008" w14:textId="5C13BD3A"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Rho = 0,7513</w:t>
            </w:r>
          </w:p>
        </w:tc>
        <w:tc>
          <w:tcPr>
            <w:tcW w:w="1502" w:type="dxa"/>
            <w:vAlign w:val="center"/>
          </w:tcPr>
          <w:p w14:paraId="475C6376" w14:textId="6F5E2C31"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&lt; 0,0001</w:t>
            </w:r>
          </w:p>
        </w:tc>
        <w:tc>
          <w:tcPr>
            <w:tcW w:w="1502" w:type="dxa"/>
            <w:vAlign w:val="center"/>
          </w:tcPr>
          <w:p w14:paraId="69315BAC" w14:textId="17183FCD"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14:paraId="4E986D48"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104B3FCB" w14:textId="6E26DB91" w:rsidR="0CF54B23" w:rsidRDefault="0CF54B23" w:rsidP="0CF54B23">
            <w:pPr>
              <w:rPr>
                <w:sz w:val="20"/>
                <w:szCs w:val="20"/>
              </w:rPr>
            </w:pPr>
            <w:r w:rsidRPr="0CF54B23">
              <w:rPr>
                <w:sz w:val="20"/>
                <w:szCs w:val="20"/>
              </w:rPr>
              <w:t>H6</w:t>
            </w:r>
          </w:p>
        </w:tc>
        <w:tc>
          <w:tcPr>
            <w:tcW w:w="1502" w:type="dxa"/>
            <w:vAlign w:val="center"/>
          </w:tcPr>
          <w:p w14:paraId="365CF7C7" w14:textId="68017C74"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tcW w:w="1502" w:type="dxa"/>
            <w:vAlign w:val="center"/>
          </w:tcPr>
          <w:p w14:paraId="54F82EA3" w14:textId="5C0A316A"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Governança (D2) </w:t>
            </w:r>
            <w:r w:rsidR="1C1F23A6" w:rsidRPr="0CF54B23">
              <w:rPr>
                <w:sz w:val="20"/>
                <w:szCs w:val="20"/>
              </w:rPr>
              <w:t>x</w:t>
            </w:r>
            <w:r w:rsidRPr="0CF54B23">
              <w:rPr>
                <w:sz w:val="20"/>
                <w:szCs w:val="20"/>
              </w:rPr>
              <w:t xml:space="preserve"> Navegação (D3)</w:t>
            </w:r>
          </w:p>
        </w:tc>
        <w:tc>
          <w:tcPr>
            <w:tcW w:w="1502" w:type="dxa"/>
            <w:vAlign w:val="center"/>
          </w:tcPr>
          <w:p w14:paraId="7B2588BE" w14:textId="735C6CA5"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Rho = 0,0917</w:t>
            </w:r>
          </w:p>
        </w:tc>
        <w:tc>
          <w:tcPr>
            <w:tcW w:w="1502" w:type="dxa"/>
            <w:vAlign w:val="center"/>
          </w:tcPr>
          <w:p w14:paraId="7840BF5B" w14:textId="3BB140CE"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0,6491</w:t>
            </w:r>
          </w:p>
        </w:tc>
        <w:tc>
          <w:tcPr>
            <w:tcW w:w="1502" w:type="dxa"/>
            <w:vAlign w:val="center"/>
          </w:tcPr>
          <w:p w14:paraId="6EA84370" w14:textId="1B2B908B"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14:paraId="1B1D0E8E" w14:textId="77F59F9B" w:rsidR="537037AA" w:rsidRDefault="537037AA" w:rsidP="0CF54B23">
      <w:pPr>
        <w:spacing w:after="240"/>
        <w:jc w:val="both"/>
        <w:rPr>
          <w:rFonts w:ascii="Times New Roman" w:eastAsia="Times New Roman" w:hAnsi="Times New Roman" w:cs="Times New Roman"/>
          <w:i/>
          <w:iCs/>
          <w:sz w:val="20"/>
          <w:szCs w:val="20"/>
        </w:rPr>
      </w:pPr>
      <w:r w:rsidRPr="0CF54B23">
        <w:rPr>
          <w:rFonts w:ascii="Times New Roman" w:eastAsia="Times New Roman" w:hAnsi="Times New Roman" w:cs="Times New Roman"/>
          <w:b/>
          <w:bCs/>
          <w:i/>
          <w:iCs/>
          <w:sz w:val="20"/>
          <w:szCs w:val="20"/>
        </w:rPr>
        <w:t xml:space="preserve">Fonte: </w:t>
      </w:r>
      <w:r w:rsidRPr="0CF54B23">
        <w:rPr>
          <w:rFonts w:ascii="Times New Roman" w:eastAsia="Times New Roman" w:hAnsi="Times New Roman" w:cs="Times New Roman"/>
          <w:i/>
          <w:iCs/>
          <w:sz w:val="20"/>
          <w:szCs w:val="20"/>
        </w:rPr>
        <w:t>Dados da pesquisa (2023).</w:t>
      </w:r>
    </w:p>
    <w:p w14:paraId="102B3E40" w14:textId="4B5D1B62" w:rsidR="56EFD392" w:rsidRDefault="0D75977F" w:rsidP="0CF54B23">
      <w:pPr>
        <w:spacing w:after="0" w:line="240" w:lineRule="auto"/>
        <w:ind w:firstLine="708"/>
        <w:jc w:val="both"/>
      </w:pPr>
      <w:r w:rsidRPr="7C64760A">
        <w:rPr>
          <w:rFonts w:ascii="Times New Roman" w:eastAsia="Times New Roman" w:hAnsi="Times New Roman" w:cs="Times New Roman"/>
        </w:rPr>
        <w:t>A observação dos dados consolidados na Tabela 0</w:t>
      </w:r>
      <w:r w:rsidR="50C813F1" w:rsidRPr="7C64760A">
        <w:rPr>
          <w:rFonts w:ascii="Times New Roman" w:eastAsia="Times New Roman" w:hAnsi="Times New Roman" w:cs="Times New Roman"/>
        </w:rPr>
        <w:t>5</w:t>
      </w:r>
      <w:r w:rsidRPr="7C64760A">
        <w:rPr>
          <w:rFonts w:ascii="Times New Roman" w:eastAsia="Times New Roman" w:hAnsi="Times New Roman" w:cs="Times New Roman"/>
        </w:rPr>
        <w:t xml:space="preserve"> indica que as premissas vinculadas à dimensão financeira foram invalidadas estatisticamente. Nesse contexto, as variáveis de volume, dependência e concentração de recursos não demonstraram associação com o nível de evidenciação das fundações. Por outro lado, os testes revelaram a aceitação de hipóteses estruturais e institucionais. Por conseguinte, as subseções seguintes apresentam o detalhamento analítico de cada bloco de investigação, iniciando-se pela verificação dos determinantes financeiros.</w:t>
      </w:r>
    </w:p>
    <w:p w14:paraId="5319C3DA" w14:textId="4804E165" w:rsidR="0CF54B23" w:rsidRDefault="0CF54B23" w:rsidP="0CF54B23">
      <w:pPr>
        <w:spacing w:after="0" w:line="240" w:lineRule="auto"/>
        <w:jc w:val="both"/>
        <w:rPr>
          <w:rFonts w:ascii="Times New Roman" w:eastAsia="Times New Roman" w:hAnsi="Times New Roman" w:cs="Times New Roman"/>
          <w:i/>
          <w:iCs/>
          <w:color w:val="002060"/>
        </w:rPr>
      </w:pPr>
    </w:p>
    <w:p w14:paraId="6AF824E1" w14:textId="1EC62849" w:rsidR="1852E85F" w:rsidRDefault="393C0A0D" w:rsidP="7C64760A">
      <w:pPr>
        <w:spacing w:after="0" w:line="240" w:lineRule="auto"/>
        <w:jc w:val="both"/>
        <w:rPr>
          <w:rFonts w:ascii="Times New Roman" w:eastAsia="Times New Roman" w:hAnsi="Times New Roman" w:cs="Times New Roman"/>
          <w:i/>
          <w:iCs/>
        </w:rPr>
      </w:pPr>
      <w:r w:rsidRPr="7C64760A">
        <w:rPr>
          <w:rFonts w:ascii="Times New Roman" w:eastAsia="Times New Roman" w:hAnsi="Times New Roman" w:cs="Times New Roman"/>
          <w:i/>
          <w:iCs/>
        </w:rPr>
        <w:t>4</w:t>
      </w:r>
      <w:r w:rsidR="0B9F0351" w:rsidRPr="7C64760A">
        <w:rPr>
          <w:rFonts w:ascii="Times New Roman" w:eastAsia="Times New Roman" w:hAnsi="Times New Roman" w:cs="Times New Roman"/>
          <w:i/>
          <w:iCs/>
        </w:rPr>
        <w:t>.2.1 Análise da Dimensão Financeira (H1, H2 e H3)</w:t>
      </w:r>
    </w:p>
    <w:p w14:paraId="6F7DB215" w14:textId="27484E90" w:rsidR="1852E85F" w:rsidRDefault="0B9F0351" w:rsidP="0CF54B23">
      <w:pPr>
        <w:spacing w:after="0" w:line="240" w:lineRule="auto"/>
        <w:ind w:firstLine="708"/>
        <w:jc w:val="both"/>
      </w:pPr>
      <w:r w:rsidRPr="7C64760A">
        <w:rPr>
          <w:rFonts w:ascii="Times New Roman" w:eastAsia="Times New Roman" w:hAnsi="Times New Roman" w:cs="Times New Roman"/>
        </w:rPr>
        <w:t>A Tabela 0</w:t>
      </w:r>
      <w:r w:rsidR="269E17B8" w:rsidRPr="7C64760A">
        <w:rPr>
          <w:rFonts w:ascii="Times New Roman" w:eastAsia="Times New Roman" w:hAnsi="Times New Roman" w:cs="Times New Roman"/>
        </w:rPr>
        <w:t>6</w:t>
      </w:r>
      <w:r w:rsidRPr="7C64760A">
        <w:rPr>
          <w:rFonts w:ascii="Times New Roman" w:eastAsia="Times New Roman" w:hAnsi="Times New Roman" w:cs="Times New Roman"/>
        </w:rPr>
        <w:t xml:space="preserve"> detalha os resultados estatísticos correspondentes ao bloco de hipóteses financeiras. A partir do processamento dos dados, utilizou-se a Correlação de Spearman para testar a influência do dinheiro sobre o nível de transparência das organizações.</w:t>
      </w:r>
    </w:p>
    <w:p w14:paraId="2604B6C2" w14:textId="487EE479" w:rsidR="0CF54B23" w:rsidRDefault="0CF54B23" w:rsidP="0CF54B23">
      <w:pPr>
        <w:spacing w:after="0" w:line="240" w:lineRule="auto"/>
        <w:jc w:val="both"/>
        <w:rPr>
          <w:rFonts w:ascii="Times New Roman" w:eastAsia="Times New Roman" w:hAnsi="Times New Roman" w:cs="Times New Roman"/>
        </w:rPr>
      </w:pPr>
    </w:p>
    <w:p w14:paraId="09085089" w14:textId="262E4858" w:rsidR="1852E85F" w:rsidRDefault="0B9F0351" w:rsidP="0CF54B23">
      <w:pPr>
        <w:spacing w:after="0" w:line="240" w:lineRule="auto"/>
        <w:jc w:val="both"/>
        <w:rPr>
          <w:rFonts w:ascii="Times New Roman" w:eastAsia="Times New Roman" w:hAnsi="Times New Roman" w:cs="Times New Roman"/>
          <w:sz w:val="20"/>
          <w:szCs w:val="20"/>
        </w:rPr>
      </w:pPr>
      <w:r w:rsidRPr="7C64760A">
        <w:rPr>
          <w:rFonts w:ascii="Times New Roman" w:eastAsia="Times New Roman" w:hAnsi="Times New Roman" w:cs="Times New Roman"/>
          <w:b/>
          <w:bCs/>
          <w:sz w:val="20"/>
          <w:szCs w:val="20"/>
        </w:rPr>
        <w:t>Tabela 0</w:t>
      </w:r>
      <w:r w:rsidR="416BA1FE" w:rsidRPr="7C64760A">
        <w:rPr>
          <w:rFonts w:ascii="Times New Roman" w:eastAsia="Times New Roman" w:hAnsi="Times New Roman" w:cs="Times New Roman"/>
          <w:b/>
          <w:bCs/>
          <w:sz w:val="20"/>
          <w:szCs w:val="20"/>
        </w:rPr>
        <w:t>6</w:t>
      </w:r>
    </w:p>
    <w:p w14:paraId="77E287BD" w14:textId="573228AB" w:rsidR="1852E85F" w:rsidRDefault="1852E85F" w:rsidP="0CF54B23">
      <w:pPr>
        <w:spacing w:after="0" w:line="240" w:lineRule="auto"/>
        <w:jc w:val="both"/>
        <w:rPr>
          <w:rFonts w:ascii="Times New Roman" w:eastAsia="Times New Roman" w:hAnsi="Times New Roman" w:cs="Times New Roman"/>
          <w:i/>
          <w:iCs/>
          <w:sz w:val="20"/>
          <w:szCs w:val="20"/>
        </w:rPr>
      </w:pPr>
      <w:r w:rsidRPr="0CF54B23">
        <w:rPr>
          <w:rFonts w:ascii="Times New Roman" w:eastAsia="Times New Roman" w:hAnsi="Times New Roman" w:cs="Times New Roman"/>
          <w:i/>
          <w:iCs/>
          <w:sz w:val="20"/>
          <w:szCs w:val="20"/>
        </w:rPr>
        <w:t>Resultados Estatísticos da Dimensão Financeira</w:t>
      </w:r>
    </w:p>
    <w:tbl>
      <w:tblPr>
        <w:tblStyle w:val="SimplesTabela2"/>
        <w:tblW w:w="0" w:type="auto"/>
        <w:jc w:val="center"/>
        <w:tblLook w:val="06A0" w:firstRow="1" w:lastRow="0" w:firstColumn="1" w:lastColumn="0" w:noHBand="1" w:noVBand="1"/>
      </w:tblPr>
      <w:tblGrid>
        <w:gridCol w:w="1502"/>
        <w:gridCol w:w="1502"/>
        <w:gridCol w:w="1502"/>
        <w:gridCol w:w="1502"/>
        <w:gridCol w:w="1502"/>
        <w:gridCol w:w="1502"/>
      </w:tblGrid>
      <w:tr w:rsidR="0CF54B23" w14:paraId="25C8F227" w14:textId="77777777" w:rsidTr="0CF54B23">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6230E9AD" w14:textId="4BF3E12D" w:rsidR="0CF54B23" w:rsidRDefault="0CF54B23" w:rsidP="0CF54B23">
            <w:pPr>
              <w:rPr>
                <w:sz w:val="20"/>
                <w:szCs w:val="20"/>
              </w:rPr>
            </w:pPr>
            <w:r w:rsidRPr="0CF54B23">
              <w:rPr>
                <w:sz w:val="20"/>
                <w:szCs w:val="20"/>
              </w:rPr>
              <w:t>Hipótese</w:t>
            </w:r>
          </w:p>
        </w:tc>
        <w:tc>
          <w:tcPr>
            <w:tcW w:w="1502" w:type="dxa"/>
            <w:vAlign w:val="center"/>
          </w:tcPr>
          <w:p w14:paraId="56B12157" w14:textId="4A7ABCBF"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Independente</w:t>
            </w:r>
          </w:p>
        </w:tc>
        <w:tc>
          <w:tcPr>
            <w:tcW w:w="1502" w:type="dxa"/>
            <w:vAlign w:val="center"/>
          </w:tcPr>
          <w:p w14:paraId="272F7A31" w14:textId="2CA2A011"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Dependente</w:t>
            </w:r>
          </w:p>
        </w:tc>
        <w:tc>
          <w:tcPr>
            <w:tcW w:w="1502" w:type="dxa"/>
            <w:vAlign w:val="center"/>
          </w:tcPr>
          <w:p w14:paraId="05D4E20E" w14:textId="15445B20"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Rho de Spearman (ρ)</w:t>
            </w:r>
          </w:p>
        </w:tc>
        <w:tc>
          <w:tcPr>
            <w:tcW w:w="1502" w:type="dxa"/>
            <w:vAlign w:val="center"/>
          </w:tcPr>
          <w:p w14:paraId="3E0E9274" w14:textId="58FF2DEF"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tcW w:w="1502" w:type="dxa"/>
            <w:vAlign w:val="center"/>
          </w:tcPr>
          <w:p w14:paraId="333F8447" w14:textId="4B897C8A"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14:paraId="4C4826FA" w14:textId="77777777" w:rsidTr="0CF54B23">
        <w:trPr>
          <w:trHeight w:val="480"/>
          <w:jc w:val="center"/>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0299125A" w14:textId="773BC61E" w:rsidR="0CF54B23" w:rsidRDefault="0CF54B23" w:rsidP="0CF54B23">
            <w:pPr>
              <w:rPr>
                <w:sz w:val="20"/>
                <w:szCs w:val="20"/>
              </w:rPr>
            </w:pPr>
            <w:r w:rsidRPr="0CF54B23">
              <w:rPr>
                <w:sz w:val="20"/>
                <w:szCs w:val="20"/>
              </w:rPr>
              <w:lastRenderedPageBreak/>
              <w:t>H1</w:t>
            </w:r>
          </w:p>
        </w:tc>
        <w:tc>
          <w:tcPr>
            <w:tcW w:w="1502" w:type="dxa"/>
            <w:vAlign w:val="center"/>
          </w:tcPr>
          <w:p w14:paraId="518A8836" w14:textId="11DAE0C3"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Tamanho (Receita Total)</w:t>
            </w:r>
          </w:p>
        </w:tc>
        <w:tc>
          <w:tcPr>
            <w:tcW w:w="1502" w:type="dxa"/>
            <w:vAlign w:val="center"/>
          </w:tcPr>
          <w:p w14:paraId="3AA65167" w14:textId="43ACE9A8"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tcW w:w="1502" w:type="dxa"/>
            <w:vAlign w:val="center"/>
          </w:tcPr>
          <w:p w14:paraId="31DB9EE5" w14:textId="1D6043E1"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-0,0893</w:t>
            </w:r>
          </w:p>
        </w:tc>
        <w:tc>
          <w:tcPr>
            <w:tcW w:w="1502" w:type="dxa"/>
            <w:vAlign w:val="center"/>
          </w:tcPr>
          <w:p w14:paraId="069A4C92" w14:textId="1FC688EA"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0,6577</w:t>
            </w:r>
          </w:p>
        </w:tc>
        <w:tc>
          <w:tcPr>
            <w:tcW w:w="1502" w:type="dxa"/>
            <w:vAlign w:val="center"/>
          </w:tcPr>
          <w:p w14:paraId="1D8D7B3D" w14:textId="2659E53C"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14:paraId="086BCBCE" w14:textId="77777777" w:rsidTr="0CF54B23">
        <w:trPr>
          <w:trHeight w:val="300"/>
          <w:jc w:val="center"/>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0878EECD" w14:textId="665ABF52" w:rsidR="0CF54B23" w:rsidRDefault="0CF54B23" w:rsidP="0CF54B23">
            <w:pPr>
              <w:rPr>
                <w:sz w:val="20"/>
                <w:szCs w:val="20"/>
              </w:rPr>
            </w:pPr>
            <w:r w:rsidRPr="0CF54B23">
              <w:rPr>
                <w:sz w:val="20"/>
                <w:szCs w:val="20"/>
              </w:rPr>
              <w:t>H2</w:t>
            </w:r>
          </w:p>
        </w:tc>
        <w:tc>
          <w:tcPr>
            <w:tcW w:w="1502" w:type="dxa"/>
            <w:vAlign w:val="center"/>
          </w:tcPr>
          <w:p w14:paraId="6C7A9DDC" w14:textId="6BC60C66"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Dependência (% Pública)</w:t>
            </w:r>
          </w:p>
        </w:tc>
        <w:tc>
          <w:tcPr>
            <w:tcW w:w="1502" w:type="dxa"/>
            <w:vAlign w:val="center"/>
          </w:tcPr>
          <w:p w14:paraId="42C3E417" w14:textId="4B6A403D"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tcW w:w="1502" w:type="dxa"/>
            <w:vAlign w:val="center"/>
          </w:tcPr>
          <w:p w14:paraId="37F9BC15" w14:textId="2788D41D"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0,2117</w:t>
            </w:r>
          </w:p>
        </w:tc>
        <w:tc>
          <w:tcPr>
            <w:tcW w:w="1502" w:type="dxa"/>
            <w:vAlign w:val="center"/>
          </w:tcPr>
          <w:p w14:paraId="13D10A4A" w14:textId="18A021C2"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0,2892</w:t>
            </w:r>
          </w:p>
        </w:tc>
        <w:tc>
          <w:tcPr>
            <w:tcW w:w="1502" w:type="dxa"/>
            <w:vAlign w:val="center"/>
          </w:tcPr>
          <w:p w14:paraId="647618E1" w14:textId="3B8D9DDA"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14:paraId="38178908" w14:textId="77777777" w:rsidTr="0CF54B23">
        <w:trPr>
          <w:trHeight w:val="300"/>
          <w:jc w:val="center"/>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3359496D" w14:textId="09789CB9" w:rsidR="0CF54B23" w:rsidRDefault="0CF54B23" w:rsidP="0CF54B23">
            <w:pPr>
              <w:rPr>
                <w:sz w:val="20"/>
                <w:szCs w:val="20"/>
              </w:rPr>
            </w:pPr>
            <w:r w:rsidRPr="0CF54B23">
              <w:rPr>
                <w:sz w:val="20"/>
                <w:szCs w:val="20"/>
              </w:rPr>
              <w:t>H3</w:t>
            </w:r>
          </w:p>
        </w:tc>
        <w:tc>
          <w:tcPr>
            <w:tcW w:w="1502" w:type="dxa"/>
            <w:vAlign w:val="center"/>
          </w:tcPr>
          <w:p w14:paraId="196F8AB6" w14:textId="4FC5E715"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Concentração (HHI)</w:t>
            </w:r>
          </w:p>
        </w:tc>
        <w:tc>
          <w:tcPr>
            <w:tcW w:w="1502" w:type="dxa"/>
            <w:vAlign w:val="center"/>
          </w:tcPr>
          <w:p w14:paraId="0FBC9EF5" w14:textId="566D6150"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tcW w:w="1502" w:type="dxa"/>
            <w:vAlign w:val="center"/>
          </w:tcPr>
          <w:p w14:paraId="11AE32E7" w14:textId="12119F94"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0,2132</w:t>
            </w:r>
          </w:p>
        </w:tc>
        <w:tc>
          <w:tcPr>
            <w:tcW w:w="1502" w:type="dxa"/>
            <w:vAlign w:val="center"/>
          </w:tcPr>
          <w:p w14:paraId="1753BBA6" w14:textId="0D4B5C05"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0,2856</w:t>
            </w:r>
          </w:p>
        </w:tc>
        <w:tc>
          <w:tcPr>
            <w:tcW w:w="1502" w:type="dxa"/>
            <w:vAlign w:val="center"/>
          </w:tcPr>
          <w:p w14:paraId="5382E796" w14:textId="5107DEE8"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14:paraId="68209E24" w14:textId="01FB6806" w:rsidR="1852E85F" w:rsidRDefault="1852E85F" w:rsidP="0CF54B23">
      <w:pPr>
        <w:spacing w:after="0" w:line="240" w:lineRule="auto"/>
        <w:jc w:val="both"/>
      </w:pPr>
      <w:r w:rsidRPr="0CF54B23">
        <w:rPr>
          <w:rFonts w:ascii="Times New Roman" w:eastAsia="Times New Roman" w:hAnsi="Times New Roman" w:cs="Times New Roman"/>
          <w:b/>
          <w:bCs/>
          <w:i/>
          <w:iCs/>
          <w:sz w:val="20"/>
          <w:szCs w:val="20"/>
        </w:rPr>
        <w:t xml:space="preserve">Fonte: </w:t>
      </w:r>
      <w:r w:rsidRPr="0CF54B23">
        <w:rPr>
          <w:rFonts w:ascii="Times New Roman" w:eastAsia="Times New Roman" w:hAnsi="Times New Roman" w:cs="Times New Roman"/>
          <w:i/>
          <w:iCs/>
          <w:sz w:val="20"/>
          <w:szCs w:val="20"/>
        </w:rPr>
        <w:t>Dados da pesquisa (2023).</w:t>
      </w:r>
    </w:p>
    <w:p w14:paraId="7F95B096" w14:textId="58AF29F6" w:rsidR="0CF54B23" w:rsidRDefault="0CF54B23" w:rsidP="0CF54B23">
      <w:pPr>
        <w:spacing w:after="0" w:line="240" w:lineRule="auto"/>
        <w:jc w:val="both"/>
        <w:rPr>
          <w:rFonts w:ascii="Times New Roman" w:eastAsia="Times New Roman" w:hAnsi="Times New Roman" w:cs="Times New Roman"/>
        </w:rPr>
      </w:pPr>
    </w:p>
    <w:p w14:paraId="74136E97" w14:textId="5E0E3DC8" w:rsidR="1852E85F" w:rsidRDefault="1852E85F" w:rsidP="0CF54B23">
      <w:pPr>
        <w:spacing w:after="0" w:line="240" w:lineRule="auto"/>
        <w:ind w:firstLine="708"/>
        <w:jc w:val="both"/>
      </w:pPr>
      <w:r w:rsidRPr="0CF54B23">
        <w:rPr>
          <w:rFonts w:ascii="Times New Roman" w:eastAsia="Times New Roman" w:hAnsi="Times New Roman" w:cs="Times New Roman"/>
        </w:rPr>
        <w:t>A análise direta dos indicadores resulta na rejeição em bloco das três premissas formuladas. Nesse contexto, a hipótese H1 apresentou um coeficiente de correlação negativo e sem significância estatística (p = 0,6577). Consequentemente, o volume total de recursos administrados não exerce influência matemática sobre o nível de evidenciação. Adicionalmente, as hipóteses H2 e H3 registraram correlações positivas fracas, com p-valores (0,2892 e 0,2856) substancialmente superiores ao limite normativo de 0,05. Portanto, a inferência quantitativa demonstra que a dependência de repasses governamentais e a concentração de fontes de financiamento não determinam a adoção de portais de transparência nas fundações analisadas.</w:t>
      </w:r>
    </w:p>
    <w:p w14:paraId="2DEA33ED" w14:textId="13180705" w:rsidR="0CF54B23" w:rsidRDefault="0CF54B23" w:rsidP="0CF54B23">
      <w:pPr>
        <w:spacing w:after="0" w:line="240" w:lineRule="auto"/>
        <w:jc w:val="both"/>
        <w:rPr>
          <w:rFonts w:ascii="Times New Roman" w:eastAsia="Times New Roman" w:hAnsi="Times New Roman" w:cs="Times New Roman"/>
        </w:rPr>
      </w:pPr>
    </w:p>
    <w:p w14:paraId="55CBA439" w14:textId="0F69FD4D" w:rsidR="1852E85F" w:rsidRDefault="04243DDB" w:rsidP="7C64760A">
      <w:pPr>
        <w:spacing w:after="0" w:line="240" w:lineRule="auto"/>
        <w:jc w:val="both"/>
        <w:rPr>
          <w:rFonts w:ascii="Times New Roman" w:eastAsia="Times New Roman" w:hAnsi="Times New Roman" w:cs="Times New Roman"/>
          <w:i/>
          <w:iCs/>
        </w:rPr>
      </w:pPr>
      <w:r w:rsidRPr="7C64760A">
        <w:rPr>
          <w:rFonts w:ascii="Times New Roman" w:eastAsia="Times New Roman" w:hAnsi="Times New Roman" w:cs="Times New Roman"/>
          <w:i/>
          <w:iCs/>
        </w:rPr>
        <w:t>4</w:t>
      </w:r>
      <w:r w:rsidR="0B9F0351" w:rsidRPr="7C64760A">
        <w:rPr>
          <w:rFonts w:ascii="Times New Roman" w:eastAsia="Times New Roman" w:hAnsi="Times New Roman" w:cs="Times New Roman"/>
          <w:i/>
          <w:iCs/>
        </w:rPr>
        <w:t>.2.2 Análise da Dimensão Estrutural e Institucional (H4, H5 e H6)</w:t>
      </w:r>
    </w:p>
    <w:p w14:paraId="21717E28" w14:textId="2092D2D3" w:rsidR="1852E85F" w:rsidRDefault="0B9F0351" w:rsidP="0CF54B23">
      <w:pPr>
        <w:spacing w:after="0" w:line="240" w:lineRule="auto"/>
        <w:ind w:firstLine="708"/>
        <w:jc w:val="both"/>
      </w:pPr>
      <w:r w:rsidRPr="7C64760A">
        <w:rPr>
          <w:rFonts w:ascii="Times New Roman" w:eastAsia="Times New Roman" w:hAnsi="Times New Roman" w:cs="Times New Roman"/>
        </w:rPr>
        <w:t>A avaliação das variáveis estruturais exigiu a aplicação de dois métodos distintos. Dessa forma, a Tabela 0</w:t>
      </w:r>
      <w:r w:rsidR="7EE1C74A" w:rsidRPr="7C64760A">
        <w:rPr>
          <w:rFonts w:ascii="Times New Roman" w:eastAsia="Times New Roman" w:hAnsi="Times New Roman" w:cs="Times New Roman"/>
        </w:rPr>
        <w:t>7</w:t>
      </w:r>
      <w:r w:rsidRPr="7C64760A">
        <w:rPr>
          <w:rFonts w:ascii="Times New Roman" w:eastAsia="Times New Roman" w:hAnsi="Times New Roman" w:cs="Times New Roman"/>
        </w:rPr>
        <w:t xml:space="preserve"> consolida os testes de correlação interna de governança, enquanto a Tabela 0</w:t>
      </w:r>
      <w:r w:rsidR="40A09154" w:rsidRPr="7C64760A">
        <w:rPr>
          <w:rFonts w:ascii="Times New Roman" w:eastAsia="Times New Roman" w:hAnsi="Times New Roman" w:cs="Times New Roman"/>
        </w:rPr>
        <w:t>8</w:t>
      </w:r>
      <w:r w:rsidRPr="7C64760A">
        <w:rPr>
          <w:rFonts w:ascii="Times New Roman" w:eastAsia="Times New Roman" w:hAnsi="Times New Roman" w:cs="Times New Roman"/>
        </w:rPr>
        <w:t xml:space="preserve"> apresenta a análise de variância geográfica.</w:t>
      </w:r>
    </w:p>
    <w:p w14:paraId="003D743E" w14:textId="6958DDBC" w:rsidR="0CF54B23" w:rsidRDefault="0CF54B23" w:rsidP="0CF54B23">
      <w:pPr>
        <w:spacing w:after="0" w:line="240" w:lineRule="auto"/>
        <w:jc w:val="both"/>
        <w:rPr>
          <w:rFonts w:ascii="Times New Roman" w:eastAsia="Times New Roman" w:hAnsi="Times New Roman" w:cs="Times New Roman"/>
        </w:rPr>
      </w:pPr>
    </w:p>
    <w:p w14:paraId="10388C0B" w14:textId="1AC428F5" w:rsidR="1852E85F" w:rsidRDefault="0B9F0351" w:rsidP="7C64760A">
      <w:pPr>
        <w:spacing w:after="0" w:line="240" w:lineRule="auto"/>
        <w:jc w:val="both"/>
        <w:rPr>
          <w:rFonts w:ascii="Times New Roman" w:eastAsia="Times New Roman" w:hAnsi="Times New Roman" w:cs="Times New Roman"/>
          <w:b/>
          <w:bCs/>
          <w:sz w:val="20"/>
          <w:szCs w:val="20"/>
        </w:rPr>
      </w:pPr>
      <w:r w:rsidRPr="7C64760A">
        <w:rPr>
          <w:rFonts w:ascii="Times New Roman" w:eastAsia="Times New Roman" w:hAnsi="Times New Roman" w:cs="Times New Roman"/>
          <w:b/>
          <w:bCs/>
          <w:sz w:val="20"/>
          <w:szCs w:val="20"/>
        </w:rPr>
        <w:t>Tabela 0</w:t>
      </w:r>
      <w:r w:rsidR="5C5D7A84" w:rsidRPr="7C64760A">
        <w:rPr>
          <w:rFonts w:ascii="Times New Roman" w:eastAsia="Times New Roman" w:hAnsi="Times New Roman" w:cs="Times New Roman"/>
          <w:b/>
          <w:bCs/>
          <w:sz w:val="20"/>
          <w:szCs w:val="20"/>
        </w:rPr>
        <w:t>7</w:t>
      </w:r>
    </w:p>
    <w:p w14:paraId="75E8892A" w14:textId="47F6CD82" w:rsidR="1852E85F" w:rsidRDefault="1852E85F" w:rsidP="0CF54B23">
      <w:pPr>
        <w:spacing w:after="0" w:line="240" w:lineRule="auto"/>
        <w:jc w:val="both"/>
        <w:rPr>
          <w:rFonts w:ascii="Times New Roman" w:eastAsia="Times New Roman" w:hAnsi="Times New Roman" w:cs="Times New Roman"/>
          <w:i/>
          <w:iCs/>
          <w:sz w:val="18"/>
          <w:szCs w:val="18"/>
        </w:rPr>
      </w:pPr>
      <w:r w:rsidRPr="0CF54B23">
        <w:rPr>
          <w:rFonts w:ascii="Times New Roman" w:eastAsia="Times New Roman" w:hAnsi="Times New Roman" w:cs="Times New Roman"/>
          <w:i/>
          <w:iCs/>
          <w:sz w:val="20"/>
          <w:szCs w:val="20"/>
        </w:rPr>
        <w:t>Resultados Estatísticos da Maturidade de Governança</w:t>
      </w:r>
    </w:p>
    <w:tbl>
      <w:tblPr>
        <w:tblStyle w:val="SimplesTabela2"/>
        <w:tblW w:w="0" w:type="auto"/>
        <w:jc w:val="center"/>
        <w:tblLook w:val="06A0" w:firstRow="1" w:lastRow="0" w:firstColumn="1" w:lastColumn="0" w:noHBand="1" w:noVBand="1"/>
      </w:tblPr>
      <w:tblGrid>
        <w:gridCol w:w="1474"/>
        <w:gridCol w:w="1474"/>
        <w:gridCol w:w="1474"/>
        <w:gridCol w:w="1474"/>
        <w:gridCol w:w="1474"/>
        <w:gridCol w:w="1474"/>
      </w:tblGrid>
      <w:tr w:rsidR="0CF54B23" w14:paraId="20D97640" w14:textId="77777777" w:rsidTr="0CF54B23">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4950A41B" w14:textId="20460575" w:rsidR="0CF54B23" w:rsidRDefault="0CF54B23" w:rsidP="0CF54B23">
            <w:pPr>
              <w:rPr>
                <w:sz w:val="20"/>
                <w:szCs w:val="20"/>
              </w:rPr>
            </w:pPr>
            <w:r w:rsidRPr="0CF54B23">
              <w:rPr>
                <w:sz w:val="20"/>
                <w:szCs w:val="20"/>
              </w:rPr>
              <w:t>Hipótese</w:t>
            </w:r>
          </w:p>
        </w:tc>
        <w:tc>
          <w:tcPr>
            <w:tcW w:w="1474" w:type="dxa"/>
            <w:vAlign w:val="center"/>
          </w:tcPr>
          <w:p w14:paraId="64C75C96" w14:textId="5F62390F"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1</w:t>
            </w:r>
          </w:p>
        </w:tc>
        <w:tc>
          <w:tcPr>
            <w:tcW w:w="1474" w:type="dxa"/>
            <w:vAlign w:val="center"/>
          </w:tcPr>
          <w:p w14:paraId="2F7C7717" w14:textId="30E4772B"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2</w:t>
            </w:r>
          </w:p>
        </w:tc>
        <w:tc>
          <w:tcPr>
            <w:tcW w:w="1474" w:type="dxa"/>
            <w:vAlign w:val="center"/>
          </w:tcPr>
          <w:p w14:paraId="32D9C83E" w14:textId="3FD3F342"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Rho de Spearman (ρ)</w:t>
            </w:r>
          </w:p>
        </w:tc>
        <w:tc>
          <w:tcPr>
            <w:tcW w:w="1474" w:type="dxa"/>
            <w:vAlign w:val="center"/>
          </w:tcPr>
          <w:p w14:paraId="7628AC4C" w14:textId="2DD4DD3D"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tcW w:w="1474" w:type="dxa"/>
            <w:vAlign w:val="center"/>
          </w:tcPr>
          <w:p w14:paraId="33C7F03D" w14:textId="0722682B"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14:paraId="08312249" w14:textId="77777777" w:rsidTr="0CF54B23">
        <w:trPr>
          <w:trHeight w:val="300"/>
          <w:jc w:val="center"/>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0D560360" w14:textId="13A65610" w:rsidR="0CF54B23" w:rsidRDefault="0CF54B23" w:rsidP="0CF54B23">
            <w:pPr>
              <w:rPr>
                <w:sz w:val="20"/>
                <w:szCs w:val="20"/>
              </w:rPr>
            </w:pPr>
            <w:r w:rsidRPr="0CF54B23">
              <w:rPr>
                <w:sz w:val="20"/>
                <w:szCs w:val="20"/>
              </w:rPr>
              <w:t>H5</w:t>
            </w:r>
          </w:p>
        </w:tc>
        <w:tc>
          <w:tcPr>
            <w:tcW w:w="1474" w:type="dxa"/>
            <w:vAlign w:val="center"/>
          </w:tcPr>
          <w:p w14:paraId="660603DD" w14:textId="4078DA9C"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Planejamento (D1)</w:t>
            </w:r>
          </w:p>
        </w:tc>
        <w:tc>
          <w:tcPr>
            <w:tcW w:w="1474" w:type="dxa"/>
            <w:vAlign w:val="center"/>
          </w:tcPr>
          <w:p w14:paraId="0901AFD1" w14:textId="75ED444F"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Governança e Finanças (D2)</w:t>
            </w:r>
          </w:p>
        </w:tc>
        <w:tc>
          <w:tcPr>
            <w:tcW w:w="1474" w:type="dxa"/>
            <w:vAlign w:val="center"/>
          </w:tcPr>
          <w:p w14:paraId="70A084A7" w14:textId="6BA3C13E"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0,7513</w:t>
            </w:r>
          </w:p>
        </w:tc>
        <w:tc>
          <w:tcPr>
            <w:tcW w:w="1474" w:type="dxa"/>
            <w:vAlign w:val="center"/>
          </w:tcPr>
          <w:p w14:paraId="68E69128" w14:textId="28FEEE60"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&lt; 0,0001</w:t>
            </w:r>
          </w:p>
        </w:tc>
        <w:tc>
          <w:tcPr>
            <w:tcW w:w="1474" w:type="dxa"/>
            <w:vAlign w:val="center"/>
          </w:tcPr>
          <w:p w14:paraId="045DD7C7" w14:textId="37779E96"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14:paraId="6FCC8D0E" w14:textId="77777777" w:rsidTr="0CF54B23">
        <w:trPr>
          <w:trHeight w:val="300"/>
          <w:jc w:val="center"/>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528D7F21" w14:textId="1ED8BE11" w:rsidR="0CF54B23" w:rsidRDefault="0CF54B23" w:rsidP="0CF54B23">
            <w:pPr>
              <w:rPr>
                <w:sz w:val="20"/>
                <w:szCs w:val="20"/>
              </w:rPr>
            </w:pPr>
            <w:r w:rsidRPr="0CF54B23">
              <w:rPr>
                <w:sz w:val="20"/>
                <w:szCs w:val="20"/>
              </w:rPr>
              <w:t>H6</w:t>
            </w:r>
          </w:p>
        </w:tc>
        <w:tc>
          <w:tcPr>
            <w:tcW w:w="1474" w:type="dxa"/>
            <w:vAlign w:val="center"/>
          </w:tcPr>
          <w:p w14:paraId="2BA6FDE8" w14:textId="2F1399D3"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Governança e Finanças (D2)</w:t>
            </w:r>
          </w:p>
        </w:tc>
        <w:tc>
          <w:tcPr>
            <w:tcW w:w="1474" w:type="dxa"/>
            <w:vAlign w:val="center"/>
          </w:tcPr>
          <w:p w14:paraId="51F0E458" w14:textId="2A09BCE9"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Navegação (D3)</w:t>
            </w:r>
          </w:p>
        </w:tc>
        <w:tc>
          <w:tcPr>
            <w:tcW w:w="1474" w:type="dxa"/>
            <w:vAlign w:val="center"/>
          </w:tcPr>
          <w:p w14:paraId="404611EF" w14:textId="5008A8E2"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0,0917</w:t>
            </w:r>
          </w:p>
        </w:tc>
        <w:tc>
          <w:tcPr>
            <w:tcW w:w="1474" w:type="dxa"/>
            <w:vAlign w:val="center"/>
          </w:tcPr>
          <w:p w14:paraId="237B6DCC" w14:textId="51A9D04C"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0,6491</w:t>
            </w:r>
          </w:p>
        </w:tc>
        <w:tc>
          <w:tcPr>
            <w:tcW w:w="1474" w:type="dxa"/>
            <w:vAlign w:val="center"/>
          </w:tcPr>
          <w:p w14:paraId="2B108EC1" w14:textId="2419B128"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14:paraId="780177E9" w14:textId="09659DCB" w:rsidR="1852E85F" w:rsidRDefault="1852E85F" w:rsidP="0CF54B23">
      <w:pPr>
        <w:spacing w:after="0" w:line="240" w:lineRule="auto"/>
        <w:jc w:val="both"/>
        <w:rPr>
          <w:rFonts w:ascii="Times New Roman" w:eastAsia="Times New Roman" w:hAnsi="Times New Roman" w:cs="Times New Roman"/>
          <w:i/>
          <w:iCs/>
          <w:sz w:val="18"/>
          <w:szCs w:val="18"/>
        </w:rPr>
      </w:pPr>
      <w:r w:rsidRPr="0CF54B23">
        <w:rPr>
          <w:rFonts w:ascii="Times New Roman" w:eastAsia="Times New Roman" w:hAnsi="Times New Roman" w:cs="Times New Roman"/>
          <w:b/>
          <w:bCs/>
          <w:i/>
          <w:iCs/>
          <w:sz w:val="20"/>
          <w:szCs w:val="20"/>
        </w:rPr>
        <w:t>Fonte:</w:t>
      </w:r>
      <w:r w:rsidRPr="0CF54B23">
        <w:rPr>
          <w:rFonts w:ascii="Times New Roman" w:eastAsia="Times New Roman" w:hAnsi="Times New Roman" w:cs="Times New Roman"/>
          <w:i/>
          <w:iCs/>
          <w:sz w:val="20"/>
          <w:szCs w:val="20"/>
        </w:rPr>
        <w:t xml:space="preserve"> Dados da pesquisa (2023).</w:t>
      </w:r>
    </w:p>
    <w:p w14:paraId="4066F129" w14:textId="3A86CDFC" w:rsidR="0CF54B23" w:rsidRDefault="0CF54B23" w:rsidP="0CF54B23">
      <w:pPr>
        <w:spacing w:after="0" w:line="240" w:lineRule="auto"/>
        <w:jc w:val="both"/>
        <w:rPr>
          <w:rFonts w:ascii="Times New Roman" w:eastAsia="Times New Roman" w:hAnsi="Times New Roman" w:cs="Times New Roman"/>
        </w:rPr>
      </w:pPr>
    </w:p>
    <w:p w14:paraId="5A954939" w14:textId="7C45C81D" w:rsidR="1852E85F" w:rsidRDefault="0B9F0351" w:rsidP="7C64760A">
      <w:pPr>
        <w:spacing w:after="0" w:line="240" w:lineRule="auto"/>
        <w:jc w:val="both"/>
        <w:rPr>
          <w:rFonts w:ascii="Times New Roman" w:eastAsia="Times New Roman" w:hAnsi="Times New Roman" w:cs="Times New Roman"/>
          <w:sz w:val="20"/>
          <w:szCs w:val="20"/>
        </w:rPr>
      </w:pPr>
      <w:r w:rsidRPr="7C64760A">
        <w:rPr>
          <w:rFonts w:ascii="Times New Roman" w:eastAsia="Times New Roman" w:hAnsi="Times New Roman" w:cs="Times New Roman"/>
          <w:b/>
          <w:bCs/>
          <w:sz w:val="20"/>
          <w:szCs w:val="20"/>
        </w:rPr>
        <w:t>Tabela 0</w:t>
      </w:r>
      <w:r w:rsidR="46039938" w:rsidRPr="7C64760A">
        <w:rPr>
          <w:rFonts w:ascii="Times New Roman" w:eastAsia="Times New Roman" w:hAnsi="Times New Roman" w:cs="Times New Roman"/>
          <w:b/>
          <w:bCs/>
          <w:sz w:val="20"/>
          <w:szCs w:val="20"/>
        </w:rPr>
        <w:t>8</w:t>
      </w:r>
    </w:p>
    <w:p w14:paraId="6D780818" w14:textId="2637BF15" w:rsidR="1852E85F" w:rsidRDefault="1852E85F" w:rsidP="0CF54B23">
      <w:pPr>
        <w:spacing w:after="0" w:line="240" w:lineRule="auto"/>
        <w:jc w:val="both"/>
        <w:rPr>
          <w:rFonts w:ascii="Times New Roman" w:eastAsia="Times New Roman" w:hAnsi="Times New Roman" w:cs="Times New Roman"/>
          <w:i/>
          <w:iCs/>
          <w:sz w:val="18"/>
          <w:szCs w:val="18"/>
        </w:rPr>
      </w:pPr>
      <w:r w:rsidRPr="0CF54B23">
        <w:rPr>
          <w:rFonts w:ascii="Times New Roman" w:eastAsia="Times New Roman" w:hAnsi="Times New Roman" w:cs="Times New Roman"/>
          <w:i/>
          <w:iCs/>
          <w:sz w:val="20"/>
          <w:szCs w:val="20"/>
        </w:rPr>
        <w:t>Resultados Estatísticos das Diferenças Regionais</w:t>
      </w:r>
    </w:p>
    <w:tbl>
      <w:tblPr>
        <w:tblStyle w:val="SimplesTabela2"/>
        <w:tblW w:w="0" w:type="auto"/>
        <w:tblLook w:val="06A0" w:firstRow="1" w:lastRow="0" w:firstColumn="1" w:lastColumn="0" w:noHBand="1" w:noVBand="1"/>
      </w:tblPr>
      <w:tblGrid>
        <w:gridCol w:w="1502"/>
        <w:gridCol w:w="1502"/>
        <w:gridCol w:w="1502"/>
        <w:gridCol w:w="1502"/>
        <w:gridCol w:w="1502"/>
        <w:gridCol w:w="1502"/>
      </w:tblGrid>
      <w:tr w:rsidR="0CF54B23" w14:paraId="6431D941" w14:textId="77777777" w:rsidTr="0CF54B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66841D49" w14:textId="60376274" w:rsidR="0CF54B23" w:rsidRDefault="0CF54B23" w:rsidP="0CF54B23">
            <w:pPr>
              <w:rPr>
                <w:sz w:val="20"/>
                <w:szCs w:val="20"/>
              </w:rPr>
            </w:pPr>
            <w:r w:rsidRPr="0CF54B23">
              <w:rPr>
                <w:sz w:val="20"/>
                <w:szCs w:val="20"/>
              </w:rPr>
              <w:t>Hipótese</w:t>
            </w:r>
          </w:p>
        </w:tc>
        <w:tc>
          <w:tcPr>
            <w:tcW w:w="1502" w:type="dxa"/>
            <w:vAlign w:val="center"/>
          </w:tcPr>
          <w:p w14:paraId="10382F3B" w14:textId="5EC28178"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Região</w:t>
            </w:r>
          </w:p>
        </w:tc>
        <w:tc>
          <w:tcPr>
            <w:tcW w:w="1502" w:type="dxa"/>
            <w:vAlign w:val="center"/>
          </w:tcPr>
          <w:p w14:paraId="42BBCCE3" w14:textId="6E6B3AA0"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Média do Índice</w:t>
            </w:r>
          </w:p>
        </w:tc>
        <w:tc>
          <w:tcPr>
            <w:tcW w:w="1502" w:type="dxa"/>
            <w:vAlign w:val="center"/>
          </w:tcPr>
          <w:p w14:paraId="2805C54F" w14:textId="388AF87A"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Estatística Kruskal-Wallis (H)</w:t>
            </w:r>
          </w:p>
        </w:tc>
        <w:tc>
          <w:tcPr>
            <w:tcW w:w="1502" w:type="dxa"/>
            <w:vAlign w:val="center"/>
          </w:tcPr>
          <w:p w14:paraId="285C7C8A" w14:textId="21128870"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tcW w:w="1502" w:type="dxa"/>
            <w:vAlign w:val="center"/>
          </w:tcPr>
          <w:p w14:paraId="51193500" w14:textId="0F53E2DC" w:rsidR="0CF54B23" w:rsidRDefault="0CF54B23" w:rsidP="0CF54B23">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14:paraId="2D206BE0"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3945FA61" w14:textId="67062289" w:rsidR="0CF54B23" w:rsidRDefault="0CF54B23" w:rsidP="0CF54B23">
            <w:pPr>
              <w:rPr>
                <w:sz w:val="20"/>
                <w:szCs w:val="20"/>
              </w:rPr>
            </w:pPr>
            <w:r w:rsidRPr="0CF54B23">
              <w:rPr>
                <w:sz w:val="20"/>
                <w:szCs w:val="20"/>
              </w:rPr>
              <w:t>H4</w:t>
            </w:r>
          </w:p>
        </w:tc>
        <w:tc>
          <w:tcPr>
            <w:tcW w:w="1502" w:type="dxa"/>
            <w:vAlign w:val="center"/>
          </w:tcPr>
          <w:p w14:paraId="02EFF6E0" w14:textId="228DFEC6"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tcW w:w="1502" w:type="dxa"/>
            <w:vAlign w:val="center"/>
          </w:tcPr>
          <w:p w14:paraId="53A3179C" w14:textId="0165834A"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0,6311</w:t>
            </w:r>
          </w:p>
        </w:tc>
        <w:tc>
          <w:tcPr>
            <w:tcW w:w="1502" w:type="dxa"/>
            <w:vAlign w:val="center"/>
          </w:tcPr>
          <w:p w14:paraId="4EFDC640" w14:textId="7274FFB9" w:rsidR="322D2B36" w:rsidRDefault="322D2B36"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9,1021</w:t>
            </w:r>
          </w:p>
        </w:tc>
        <w:tc>
          <w:tcPr>
            <w:tcW w:w="1502" w:type="dxa"/>
            <w:vAlign w:val="center"/>
          </w:tcPr>
          <w:p w14:paraId="081A8888" w14:textId="604D592F" w:rsidR="322D2B36" w:rsidRDefault="322D2B36"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0,0586</w:t>
            </w:r>
          </w:p>
        </w:tc>
        <w:tc>
          <w:tcPr>
            <w:tcW w:w="1502" w:type="dxa"/>
            <w:vAlign w:val="center"/>
          </w:tcPr>
          <w:p w14:paraId="50360CAA" w14:textId="6B2706F6" w:rsidR="322D2B36" w:rsidRDefault="322D2B36"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 (ao nível de 10%)</w:t>
            </w:r>
          </w:p>
        </w:tc>
      </w:tr>
      <w:tr w:rsidR="0CF54B23" w14:paraId="2CFF01B8"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4FBFC393" w14:textId="0103DDCE" w:rsidR="0CF54B23" w:rsidRDefault="0CF54B23" w:rsidP="0CF54B23">
            <w:pPr>
              <w:rPr>
                <w:sz w:val="20"/>
                <w:szCs w:val="20"/>
              </w:rPr>
            </w:pPr>
          </w:p>
        </w:tc>
        <w:tc>
          <w:tcPr>
            <w:tcW w:w="1502" w:type="dxa"/>
            <w:vAlign w:val="center"/>
          </w:tcPr>
          <w:p w14:paraId="01D08246" w14:textId="74ACBAE7"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tcW w:w="1502" w:type="dxa"/>
            <w:vAlign w:val="center"/>
          </w:tcPr>
          <w:p w14:paraId="4F75CB3D" w14:textId="7593774D"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0,6159</w:t>
            </w:r>
          </w:p>
        </w:tc>
        <w:tc>
          <w:tcPr>
            <w:tcW w:w="1502" w:type="dxa"/>
            <w:vAlign w:val="center"/>
          </w:tcPr>
          <w:p w14:paraId="198FB079" w14:textId="49313B0E"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p>
        </w:tc>
        <w:tc>
          <w:tcPr>
            <w:tcW w:w="1502" w:type="dxa"/>
            <w:vAlign w:val="center"/>
          </w:tcPr>
          <w:p w14:paraId="79BDDA85" w14:textId="249AE8C8"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p>
        </w:tc>
        <w:tc>
          <w:tcPr>
            <w:tcW w:w="1502" w:type="dxa"/>
            <w:vAlign w:val="center"/>
          </w:tcPr>
          <w:p w14:paraId="6945DF66" w14:textId="7DDA8299"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p>
        </w:tc>
      </w:tr>
      <w:tr w:rsidR="0CF54B23" w14:paraId="77BDC0D0"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46FC03CA" w14:textId="63924503" w:rsidR="0CF54B23" w:rsidRDefault="0CF54B23" w:rsidP="0CF54B23">
            <w:pPr>
              <w:rPr>
                <w:sz w:val="20"/>
                <w:szCs w:val="20"/>
              </w:rPr>
            </w:pPr>
          </w:p>
        </w:tc>
        <w:tc>
          <w:tcPr>
            <w:tcW w:w="1502" w:type="dxa"/>
            <w:vAlign w:val="center"/>
          </w:tcPr>
          <w:p w14:paraId="7D0E0486" w14:textId="00538761"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tcW w:w="1502" w:type="dxa"/>
            <w:vAlign w:val="center"/>
          </w:tcPr>
          <w:p w14:paraId="694C5067" w14:textId="21361146"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0,6138</w:t>
            </w:r>
          </w:p>
        </w:tc>
        <w:tc>
          <w:tcPr>
            <w:tcW w:w="1502" w:type="dxa"/>
            <w:vAlign w:val="center"/>
          </w:tcPr>
          <w:p w14:paraId="1843E489" w14:textId="1DE624C2"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p>
        </w:tc>
        <w:tc>
          <w:tcPr>
            <w:tcW w:w="1502" w:type="dxa"/>
            <w:vAlign w:val="center"/>
          </w:tcPr>
          <w:p w14:paraId="135111B7" w14:textId="0557E9EE"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p>
        </w:tc>
        <w:tc>
          <w:tcPr>
            <w:tcW w:w="1502" w:type="dxa"/>
            <w:vAlign w:val="center"/>
          </w:tcPr>
          <w:p w14:paraId="7984F6F4" w14:textId="7D9457FF"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p>
        </w:tc>
      </w:tr>
      <w:tr w:rsidR="0CF54B23" w14:paraId="4FD9FF17"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64716481" w14:textId="1F141AB8" w:rsidR="0CF54B23" w:rsidRDefault="0CF54B23" w:rsidP="0CF54B23">
            <w:pPr>
              <w:rPr>
                <w:sz w:val="20"/>
                <w:szCs w:val="20"/>
              </w:rPr>
            </w:pPr>
          </w:p>
        </w:tc>
        <w:tc>
          <w:tcPr>
            <w:tcW w:w="1502" w:type="dxa"/>
            <w:vAlign w:val="center"/>
          </w:tcPr>
          <w:p w14:paraId="4D5EB9B8" w14:textId="308A7D94"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tcW w:w="1502" w:type="dxa"/>
            <w:vAlign w:val="center"/>
          </w:tcPr>
          <w:p w14:paraId="5D9B53DC" w14:textId="1AE6BFCD"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0,5962</w:t>
            </w:r>
          </w:p>
        </w:tc>
        <w:tc>
          <w:tcPr>
            <w:tcW w:w="1502" w:type="dxa"/>
            <w:vAlign w:val="center"/>
          </w:tcPr>
          <w:p w14:paraId="4EE44369" w14:textId="13BF1E67"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p>
        </w:tc>
        <w:tc>
          <w:tcPr>
            <w:tcW w:w="1502" w:type="dxa"/>
            <w:vAlign w:val="center"/>
          </w:tcPr>
          <w:p w14:paraId="78970172" w14:textId="1B8DD476"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p>
        </w:tc>
        <w:tc>
          <w:tcPr>
            <w:tcW w:w="1502" w:type="dxa"/>
            <w:vAlign w:val="center"/>
          </w:tcPr>
          <w:p w14:paraId="1F95CC7F" w14:textId="7DAD744D"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p>
        </w:tc>
      </w:tr>
      <w:tr w:rsidR="0CF54B23" w14:paraId="5285270C" w14:textId="77777777" w:rsidTr="0CF54B23">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5A2131EC" w14:textId="601F2AA1" w:rsidR="0CF54B23" w:rsidRDefault="0CF54B23" w:rsidP="0CF54B23">
            <w:pPr>
              <w:rPr>
                <w:sz w:val="20"/>
                <w:szCs w:val="20"/>
              </w:rPr>
            </w:pPr>
          </w:p>
        </w:tc>
        <w:tc>
          <w:tcPr>
            <w:tcW w:w="1502" w:type="dxa"/>
            <w:vAlign w:val="center"/>
          </w:tcPr>
          <w:p w14:paraId="1F7A7FB0" w14:textId="7BC22DC4"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tcW w:w="1502" w:type="dxa"/>
            <w:vAlign w:val="center"/>
          </w:tcPr>
          <w:p w14:paraId="1401E661" w14:textId="184030E0"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0,3815</w:t>
            </w:r>
          </w:p>
        </w:tc>
        <w:tc>
          <w:tcPr>
            <w:tcW w:w="1502" w:type="dxa"/>
            <w:vAlign w:val="center"/>
          </w:tcPr>
          <w:p w14:paraId="017C637B" w14:textId="5E396037"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p>
        </w:tc>
        <w:tc>
          <w:tcPr>
            <w:tcW w:w="1502" w:type="dxa"/>
            <w:vAlign w:val="center"/>
          </w:tcPr>
          <w:p w14:paraId="40CB0F34" w14:textId="092E555F"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p>
        </w:tc>
        <w:tc>
          <w:tcPr>
            <w:tcW w:w="1502" w:type="dxa"/>
            <w:vAlign w:val="center"/>
          </w:tcPr>
          <w:p w14:paraId="383BCC79" w14:textId="6C4BC1B4" w:rsidR="0CF54B23" w:rsidRDefault="0CF54B23" w:rsidP="0CF54B23">
            <w:pPr>
              <w:cnfStyle w:val="000000000000" w:firstRow="0" w:lastRow="0" w:firstColumn="0" w:lastColumn="0" w:oddVBand="0" w:evenVBand="0" w:oddHBand="0" w:evenHBand="0" w:firstRowFirstColumn="0" w:firstRowLastColumn="0" w:lastRowFirstColumn="0" w:lastRowLastColumn="0"/>
              <w:rPr>
                <w:sz w:val="20"/>
                <w:szCs w:val="20"/>
              </w:rPr>
            </w:pPr>
          </w:p>
        </w:tc>
      </w:tr>
    </w:tbl>
    <w:p w14:paraId="17D9070A" w14:textId="361FCD29" w:rsidR="1852E85F" w:rsidRDefault="1852E85F" w:rsidP="0CF54B23">
      <w:pPr>
        <w:spacing w:after="0" w:line="240" w:lineRule="auto"/>
        <w:jc w:val="both"/>
        <w:rPr>
          <w:rFonts w:ascii="Times New Roman" w:eastAsia="Times New Roman" w:hAnsi="Times New Roman" w:cs="Times New Roman"/>
          <w:i/>
          <w:iCs/>
          <w:sz w:val="18"/>
          <w:szCs w:val="18"/>
        </w:rPr>
      </w:pPr>
      <w:r w:rsidRPr="0CF54B23">
        <w:rPr>
          <w:rFonts w:ascii="Times New Roman" w:eastAsia="Times New Roman" w:hAnsi="Times New Roman" w:cs="Times New Roman"/>
          <w:b/>
          <w:bCs/>
          <w:i/>
          <w:iCs/>
          <w:sz w:val="20"/>
          <w:szCs w:val="20"/>
        </w:rPr>
        <w:t>Fonte:</w:t>
      </w:r>
      <w:r w:rsidRPr="0CF54B23">
        <w:rPr>
          <w:rFonts w:ascii="Times New Roman" w:eastAsia="Times New Roman" w:hAnsi="Times New Roman" w:cs="Times New Roman"/>
          <w:i/>
          <w:iCs/>
          <w:sz w:val="20"/>
          <w:szCs w:val="20"/>
        </w:rPr>
        <w:t xml:space="preserve"> Dados da pesquisa (2023).</w:t>
      </w:r>
    </w:p>
    <w:p w14:paraId="77CBC94C" w14:textId="5D7AA79E" w:rsidR="0CF54B23" w:rsidRDefault="0CF54B23" w:rsidP="0CF54B23">
      <w:pPr>
        <w:spacing w:after="0" w:line="240" w:lineRule="auto"/>
        <w:jc w:val="both"/>
        <w:rPr>
          <w:rFonts w:ascii="Times New Roman" w:eastAsia="Times New Roman" w:hAnsi="Times New Roman" w:cs="Times New Roman"/>
        </w:rPr>
      </w:pPr>
    </w:p>
    <w:p w14:paraId="31A9FC96" w14:textId="21C7EC28" w:rsidR="1852E85F" w:rsidRDefault="0B9F0351" w:rsidP="0CF54B23">
      <w:pPr>
        <w:spacing w:after="0" w:line="240" w:lineRule="auto"/>
        <w:ind w:firstLine="708"/>
        <w:jc w:val="both"/>
      </w:pPr>
      <w:r w:rsidRPr="7C64760A">
        <w:rPr>
          <w:rFonts w:ascii="Times New Roman" w:eastAsia="Times New Roman" w:hAnsi="Times New Roman" w:cs="Times New Roman"/>
        </w:rPr>
        <w:t>A partir da leitura das métricas institucionais, a inferência estatística confirmou a validade de duas premissas centrais. Nesse sentido, a hipótese H5 obteve aceitação plena, registrando um coeficiente de correlação positivo forte (rho = 0,7513) e altíssima significância (p &lt; 0,0001). Por conseguinte, constata-se uma associação matemática robusta entre a clareza do planejamento estratégico e a implantação de práticas de governança financeira. Além disso, a Tabela 06 atesta a aceitação da hipótese H4 no patamar exploratório de 10% de significância. Assim, o teste de Kruskal-Wallis comprova a existência de discrepâncias nos índices de evidenciação em virtude da localização geográfica da entidade.</w:t>
      </w:r>
    </w:p>
    <w:p w14:paraId="68BA6F75" w14:textId="269401AD" w:rsidR="1852E85F" w:rsidRDefault="1852E85F" w:rsidP="0CF54B23">
      <w:pPr>
        <w:spacing w:after="0" w:line="240" w:lineRule="auto"/>
        <w:ind w:firstLine="708"/>
        <w:jc w:val="both"/>
      </w:pPr>
      <w:r w:rsidRPr="0CF54B23">
        <w:rPr>
          <w:rFonts w:ascii="Times New Roman" w:eastAsia="Times New Roman" w:hAnsi="Times New Roman" w:cs="Times New Roman"/>
        </w:rPr>
        <w:lastRenderedPageBreak/>
        <w:t>Por fim, a hipótese H6 sofreu rejeição estatística. Desse modo, o cruzamento quantitativo revela que o rigor técnico das demonstrações contábeis não assegura a construção de portais digitais acessíveis e de fácil navegação para o cidadão comum, dada a correlação quase nula (rho = 0,0917) e o p-valor inválido (0,6491).</w:t>
      </w:r>
    </w:p>
    <w:p w14:paraId="1BF21FBF" w14:textId="7612AFF1" w:rsidR="0CF54B23" w:rsidRDefault="0CF54B23" w:rsidP="0CF54B23">
      <w:pPr>
        <w:spacing w:after="0" w:line="240" w:lineRule="auto"/>
        <w:jc w:val="both"/>
        <w:rPr>
          <w:rFonts w:ascii="Times New Roman" w:eastAsia="Times New Roman" w:hAnsi="Times New Roman" w:cs="Times New Roman"/>
          <w:i/>
          <w:iCs/>
          <w:color w:val="002060"/>
        </w:rPr>
      </w:pPr>
    </w:p>
    <w:p w14:paraId="5DDC79A2" w14:textId="689A0D32" w:rsidR="00946FEE" w:rsidRDefault="642FDF22" w:rsidP="0CF54B23">
      <w:pPr>
        <w:spacing w:after="0" w:line="240" w:lineRule="auto"/>
        <w:jc w:val="both"/>
        <w:rPr>
          <w:rFonts w:ascii="Times New Roman" w:eastAsia="Times New Roman" w:hAnsi="Times New Roman" w:cs="Times New Roman"/>
          <w:b/>
          <w:bCs/>
        </w:rPr>
      </w:pPr>
      <w:r w:rsidRPr="7C64760A">
        <w:rPr>
          <w:rFonts w:ascii="Times New Roman" w:eastAsia="Times New Roman" w:hAnsi="Times New Roman" w:cs="Times New Roman"/>
          <w:b/>
          <w:bCs/>
        </w:rPr>
        <w:t>4</w:t>
      </w:r>
      <w:r w:rsidR="250F4C7C" w:rsidRPr="7C64760A">
        <w:rPr>
          <w:rFonts w:ascii="Times New Roman" w:eastAsia="Times New Roman" w:hAnsi="Times New Roman" w:cs="Times New Roman"/>
          <w:b/>
          <w:bCs/>
        </w:rPr>
        <w:t>.3 Discussão dos Resultados à Luz da Literatura</w:t>
      </w:r>
    </w:p>
    <w:p w14:paraId="07FDA251" w14:textId="3DE48C3B" w:rsidR="00946FEE" w:rsidRDefault="35566AC9" w:rsidP="7C64760A">
      <w:pPr>
        <w:spacing w:after="0" w:line="240" w:lineRule="auto"/>
        <w:jc w:val="both"/>
        <w:rPr>
          <w:rFonts w:ascii="Times New Roman" w:eastAsia="Times New Roman" w:hAnsi="Times New Roman" w:cs="Times New Roman"/>
          <w:i/>
          <w:iCs/>
        </w:rPr>
      </w:pPr>
      <w:r w:rsidRPr="7C64760A">
        <w:rPr>
          <w:rFonts w:ascii="Times New Roman" w:eastAsia="Times New Roman" w:hAnsi="Times New Roman" w:cs="Times New Roman"/>
          <w:i/>
          <w:iCs/>
        </w:rPr>
        <w:t>4</w:t>
      </w:r>
      <w:r w:rsidR="485BEFC5" w:rsidRPr="7C64760A">
        <w:rPr>
          <w:rFonts w:ascii="Times New Roman" w:eastAsia="Times New Roman" w:hAnsi="Times New Roman" w:cs="Times New Roman"/>
          <w:i/>
          <w:iCs/>
        </w:rPr>
        <w:t>.3.1 A Força da Lei sobre o Volume de Recursos</w:t>
      </w:r>
    </w:p>
    <w:p w14:paraId="1A36440D" w14:textId="13DA3C19" w:rsidR="6B82E8A1" w:rsidRDefault="6B82E8A1"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 xml:space="preserve">Os resultados estatísticos indicam que o volume de recursos e a origem das receitas não exercem influência sobre o nível de transparência das fundações de apoio. Nesse contexto, a rejeição das hipóteses H1, H2 e H3 sinaliza que a evidenciação de informações não constitui uma consequência direta da capacidade financeira institucional. Consequentemente, a transparência nessas organizações deriva de uma estrutura de conformidade normativa que se sobrepõe à magnitude orçamentária. Sob essa ótica, a obrigatoriedade legal estabelecida pela Lei nº 8.958/1994 e as exigências dos órgãos de controle externo, como o Tribunal de Contas da União (TCU) e as Controladorias, atuam como agentes normalizadores do </w:t>
      </w:r>
      <w:r w:rsidRPr="7C64760A">
        <w:rPr>
          <w:rFonts w:ascii="Times New Roman" w:eastAsia="Times New Roman" w:hAnsi="Times New Roman" w:cs="Times New Roman"/>
          <w:i/>
          <w:iCs/>
        </w:rPr>
        <w:t>disclosure</w:t>
      </w:r>
      <w:r w:rsidRPr="7C64760A">
        <w:rPr>
          <w:rFonts w:ascii="Times New Roman" w:eastAsia="Times New Roman" w:hAnsi="Times New Roman" w:cs="Times New Roman"/>
        </w:rPr>
        <w:t>.</w:t>
      </w:r>
    </w:p>
    <w:p w14:paraId="0F92BA7D" w14:textId="16BF129A" w:rsidR="6B82E8A1" w:rsidRDefault="6B82E8A1"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Dessa forma, a análise qualitativa dos relatórios de gestão ratifica que a estruturação dos portais de transparência responde a uma necessidade de legitimidade perante o Estado. Por conseguinte, as entidades adotam mecanismos de prestação de contas para cumprir requisitos de auditoria e evitar sanções administrativas. Adicionalmente, esse comportamento alinha-se à perspectiva de Gandia (20</w:t>
      </w:r>
      <w:r w:rsidR="59B34246" w:rsidRPr="7C64760A">
        <w:rPr>
          <w:rFonts w:ascii="Times New Roman" w:eastAsia="Times New Roman" w:hAnsi="Times New Roman" w:cs="Times New Roman"/>
        </w:rPr>
        <w:t>11</w:t>
      </w:r>
      <w:r w:rsidRPr="7C64760A">
        <w:rPr>
          <w:rFonts w:ascii="Times New Roman" w:eastAsia="Times New Roman" w:hAnsi="Times New Roman" w:cs="Times New Roman"/>
        </w:rPr>
        <w:t>), que define a divulgação de informações como uma resposta à pressão institucional e social. Desse modo, as fundações com menores arrecadações apresentam índices de transparência equivalentes aos das instituições que gerenciam volumes financeiros superiores. Por fim, o controle social e a fiscalização normativa impõem um padrão de governança que desvincula a qualidade da informação do fluxo de caixa acumulado pela organização.</w:t>
      </w:r>
    </w:p>
    <w:p w14:paraId="046D42A3" w14:textId="0D1F418C" w:rsidR="00946FEE" w:rsidRDefault="00946FEE" w:rsidP="0CF54B23">
      <w:pPr>
        <w:spacing w:after="0" w:line="240" w:lineRule="auto"/>
        <w:jc w:val="both"/>
        <w:rPr>
          <w:rFonts w:ascii="Times New Roman" w:eastAsia="Times New Roman" w:hAnsi="Times New Roman" w:cs="Times New Roman"/>
        </w:rPr>
      </w:pPr>
    </w:p>
    <w:p w14:paraId="58C0AD13" w14:textId="150487C8" w:rsidR="00946FEE" w:rsidRDefault="49C2650F" w:rsidP="7C64760A">
      <w:pPr>
        <w:spacing w:after="0" w:line="240" w:lineRule="auto"/>
        <w:jc w:val="both"/>
        <w:rPr>
          <w:rFonts w:ascii="Times New Roman" w:eastAsia="Times New Roman" w:hAnsi="Times New Roman" w:cs="Times New Roman"/>
          <w:i/>
          <w:iCs/>
        </w:rPr>
      </w:pPr>
      <w:r w:rsidRPr="7C64760A">
        <w:rPr>
          <w:rFonts w:ascii="Times New Roman" w:eastAsia="Times New Roman" w:hAnsi="Times New Roman" w:cs="Times New Roman"/>
          <w:i/>
          <w:iCs/>
        </w:rPr>
        <w:t>4</w:t>
      </w:r>
      <w:r w:rsidR="01868239" w:rsidRPr="7C64760A">
        <w:rPr>
          <w:rFonts w:ascii="Times New Roman" w:eastAsia="Times New Roman" w:hAnsi="Times New Roman" w:cs="Times New Roman"/>
          <w:i/>
          <w:iCs/>
        </w:rPr>
        <w:t>.3.2 A Maturidade de Governança como Fator Determinante</w:t>
      </w:r>
    </w:p>
    <w:p w14:paraId="74F3A633" w14:textId="5238C43E" w:rsidR="00946FEE" w:rsidRDefault="01868239"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A confirmação da hipótese H5 atesta a correlação entre o planejamento estratégico e os sistemas de governança financeira. Nesse sentido, a transparência informativa nas fundações de apoio configura-se como um resultado da organização administrativa. Por conseguinte, a definição formal da missão e dos indicadores institucionais impulsiona a adoção de rotinas de auditoria e fiscalização. Sob essa ótica, Almeida (2014) afirma que a evidenciação de informações constitui um reflexo da governança corporativa. Assim, a divulgação de dados financeiros indica processos gerenciais voltados para a redução da assimetria informacional.</w:t>
      </w:r>
    </w:p>
    <w:p w14:paraId="7388B14A" w14:textId="4544A8F4" w:rsidR="00946FEE" w:rsidRDefault="6F7BAC4D" w:rsidP="0CF54B23">
      <w:pPr>
        <w:spacing w:after="0" w:line="240" w:lineRule="auto"/>
        <w:ind w:firstLine="708"/>
        <w:jc w:val="both"/>
        <w:rPr>
          <w:rFonts w:ascii="Times New Roman" w:eastAsia="Times New Roman" w:hAnsi="Times New Roman" w:cs="Times New Roman"/>
        </w:rPr>
      </w:pPr>
      <w:r w:rsidRPr="0CF54B23">
        <w:rPr>
          <w:rFonts w:ascii="Times New Roman" w:eastAsia="Times New Roman" w:hAnsi="Times New Roman" w:cs="Times New Roman"/>
        </w:rPr>
        <w:t>Em complemento, a análise documental dos relatórios de gestão fornece evidências sobre esse alinhamento estrutural. Sob esse prisma, a FAPEMIG integra a gestão de riscos à formulação da estratégia para assegurar a conformidade dos processos internos. Da mesma forma, a FAPEG fundamenta a execução do plano institucional na validação por comitês vinculados ao Programa Compliance Público. Além disso, a FAPESQ associa as metas de aperfeiçoamento contábil e de controle interno às diretrizes estabelecidas para o período de 2020 a 2025. Consequentemente, a existência de um direcionamento institucional condiciona a implementação de mecanismos de monitoramento e de prestação de contas.</w:t>
      </w:r>
    </w:p>
    <w:p w14:paraId="4F05F8AD" w14:textId="44775447" w:rsidR="00946FEE" w:rsidRDefault="00946FEE" w:rsidP="0CF54B23">
      <w:pPr>
        <w:spacing w:after="0" w:line="240" w:lineRule="auto"/>
        <w:jc w:val="both"/>
        <w:rPr>
          <w:rFonts w:ascii="Times New Roman" w:eastAsia="Times New Roman" w:hAnsi="Times New Roman" w:cs="Times New Roman"/>
        </w:rPr>
      </w:pPr>
    </w:p>
    <w:p w14:paraId="26166765" w14:textId="7E1D66D6" w:rsidR="00946FEE" w:rsidRDefault="7E89E83D" w:rsidP="7C64760A">
      <w:pPr>
        <w:spacing w:after="0" w:line="240" w:lineRule="auto"/>
        <w:jc w:val="both"/>
        <w:rPr>
          <w:rFonts w:ascii="Times New Roman" w:eastAsia="Times New Roman" w:hAnsi="Times New Roman" w:cs="Times New Roman"/>
          <w:i/>
          <w:iCs/>
        </w:rPr>
      </w:pPr>
      <w:r w:rsidRPr="7C64760A">
        <w:rPr>
          <w:rFonts w:ascii="Times New Roman" w:eastAsia="Times New Roman" w:hAnsi="Times New Roman" w:cs="Times New Roman"/>
          <w:i/>
          <w:iCs/>
        </w:rPr>
        <w:t>4</w:t>
      </w:r>
      <w:r w:rsidR="533B6632" w:rsidRPr="7C64760A">
        <w:rPr>
          <w:rFonts w:ascii="Times New Roman" w:eastAsia="Times New Roman" w:hAnsi="Times New Roman" w:cs="Times New Roman"/>
          <w:i/>
          <w:iCs/>
        </w:rPr>
        <w:t>.3.3 O Hiato Geográfico e a Transparência Digital</w:t>
      </w:r>
    </w:p>
    <w:p w14:paraId="6C66A93F" w14:textId="314AF46E" w:rsidR="00946FEE" w:rsidRDefault="460BCFAA" w:rsidP="0CF54B23">
      <w:pPr>
        <w:spacing w:after="0" w:line="240" w:lineRule="auto"/>
        <w:ind w:firstLine="708"/>
        <w:jc w:val="both"/>
        <w:rPr>
          <w:rFonts w:ascii="Times New Roman" w:eastAsia="Times New Roman" w:hAnsi="Times New Roman" w:cs="Times New Roman"/>
        </w:rPr>
      </w:pPr>
      <w:r w:rsidRPr="0CF54B23">
        <w:rPr>
          <w:rFonts w:ascii="Times New Roman" w:eastAsia="Times New Roman" w:hAnsi="Times New Roman" w:cs="Times New Roman"/>
        </w:rPr>
        <w:t xml:space="preserve">A confirmação da hipótese H4 evidencia a disparidade regional no nível de </w:t>
      </w:r>
      <w:r w:rsidRPr="002D4CE2">
        <w:rPr>
          <w:rFonts w:ascii="Times New Roman" w:eastAsia="Times New Roman" w:hAnsi="Times New Roman" w:cs="Times New Roman"/>
          <w:i/>
          <w:iCs/>
        </w:rPr>
        <w:t>disclosure</w:t>
      </w:r>
      <w:r w:rsidRPr="0CF54B23">
        <w:rPr>
          <w:rFonts w:ascii="Times New Roman" w:eastAsia="Times New Roman" w:hAnsi="Times New Roman" w:cs="Times New Roman"/>
        </w:rPr>
        <w:t xml:space="preserve"> das fundações de apoio. Nesse contexto, a região Norte apresenta os menores índices de transparência em comparação às demais áreas do país. Por conseguinte, essa desigualdade decorre de limitações estruturais e da escassez de infraestrutura tecnológica adequada. Além disso, a dificuldade na retenção de pessoal técnico especializado em contabilidade pública e </w:t>
      </w:r>
      <w:r w:rsidRPr="0CF54B23">
        <w:rPr>
          <w:rFonts w:ascii="Times New Roman" w:eastAsia="Times New Roman" w:hAnsi="Times New Roman" w:cs="Times New Roman"/>
        </w:rPr>
        <w:lastRenderedPageBreak/>
        <w:t>gestão de dados compromete a manutenção contínua das plataformas digitais. Sob essa ótica, a assimetria informacional reflete as desigualdades regionais brasileiras.</w:t>
      </w:r>
    </w:p>
    <w:p w14:paraId="606EE3DA" w14:textId="6C3204FF" w:rsidR="00946FEE" w:rsidRDefault="460BCFAA" w:rsidP="0CF54B23">
      <w:pPr>
        <w:spacing w:after="0" w:line="240" w:lineRule="auto"/>
        <w:ind w:firstLine="708"/>
        <w:jc w:val="both"/>
        <w:rPr>
          <w:rFonts w:ascii="Times New Roman" w:eastAsia="Times New Roman" w:hAnsi="Times New Roman" w:cs="Times New Roman"/>
        </w:rPr>
      </w:pPr>
      <w:r w:rsidRPr="0CF54B23">
        <w:rPr>
          <w:rFonts w:ascii="Times New Roman" w:eastAsia="Times New Roman" w:hAnsi="Times New Roman" w:cs="Times New Roman"/>
        </w:rPr>
        <w:t>Em paralelo, a rejeição da hipótese H6 indica que o rigor na governança financeira não assegura a qualidade da comunicação digital. Consequentemente, a ausência de correlação entre as dimensões D2 e D3 demonstra que os portais são estruturados para atender demandas normativas de órgãos de fiscalização. Dessa forma, as fundações priorizam a transparência técnica voltada ao controle estatal em detrimento da acessibilidade para o cidadão comum. Por outro lado, a complexidade da linguagem utilizada e a dificuldade de navegação limitam o exercício do controle social efetivo. Assim, a transparência digital nas instituições analisadas cumpre uma finalidade burocrática sem promover a democratização integral das informações financeiras.</w:t>
      </w:r>
    </w:p>
    <w:p w14:paraId="30FDF0E3" w14:textId="19D0A529" w:rsidR="00946FEE" w:rsidRDefault="00946FEE" w:rsidP="0CF54B23">
      <w:pPr>
        <w:spacing w:after="0" w:line="240" w:lineRule="auto"/>
        <w:jc w:val="both"/>
        <w:rPr>
          <w:rFonts w:ascii="Times New Roman" w:eastAsia="Times New Roman" w:hAnsi="Times New Roman" w:cs="Times New Roman"/>
        </w:rPr>
      </w:pPr>
    </w:p>
    <w:p w14:paraId="6DBA200A" w14:textId="6A4C79A4" w:rsidR="00946FEE" w:rsidRDefault="763DDB33" w:rsidP="7C64760A">
      <w:pPr>
        <w:spacing w:after="0" w:line="240" w:lineRule="auto"/>
        <w:jc w:val="both"/>
        <w:rPr>
          <w:rFonts w:ascii="Times New Roman" w:eastAsia="Times New Roman" w:hAnsi="Times New Roman" w:cs="Times New Roman"/>
          <w:i/>
          <w:iCs/>
        </w:rPr>
      </w:pPr>
      <w:r w:rsidRPr="7C64760A">
        <w:rPr>
          <w:rFonts w:ascii="Times New Roman" w:eastAsia="Times New Roman" w:hAnsi="Times New Roman" w:cs="Times New Roman"/>
          <w:i/>
          <w:iCs/>
        </w:rPr>
        <w:t>4</w:t>
      </w:r>
      <w:r w:rsidR="64BEA1CE" w:rsidRPr="7C64760A">
        <w:rPr>
          <w:rFonts w:ascii="Times New Roman" w:eastAsia="Times New Roman" w:hAnsi="Times New Roman" w:cs="Times New Roman"/>
          <w:i/>
          <w:iCs/>
        </w:rPr>
        <w:t>.3.4 Síntese do modelo de transparência nas fundações de apoio</w:t>
      </w:r>
    </w:p>
    <w:p w14:paraId="4E47925B" w14:textId="5C3FBE31" w:rsidR="071C029F" w:rsidRDefault="071C029F"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 xml:space="preserve">integração dos resultados permite a formulação de uma síntese sobre a dinâmica da prestação de contas no setor. Nesse contexto, a transparência não configura uma variável condicionada pela magnitude financeira ou pela tipologia das receitas arrecadadas. Consequentemente, a evidenciação de informações fundamenta-se na convergência entre a pressão normativa dos órgãos de controle e a maturidade da gestão estratégica interna. Por conseguinte, a estrutura de governança atua como um instrumento de legitimação institucional perante o Estado e as instâncias de fiscalização. </w:t>
      </w:r>
    </w:p>
    <w:p w14:paraId="143DF0C7" w14:textId="4DDDA73B" w:rsidR="071C029F" w:rsidRDefault="071C029F"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 xml:space="preserve">Em contrapartida, os dados demonstram um distanciamento entre a conformidade técnica e a acessibilidade social. Nesse sentido, a rejeição da correlação entre o rigor contábil e a qualidade da navegação digital indica um modelo de transparência voltado para o cumprimento burocrático. Assim, os portais eletrônicos são estruturados para atender ao escrutínio de auditores e especialistas setoriais. Dessa forma, as fundações suprem os requisitos legais de fiscalização, mas preservam obstáculos à compreensão do cidadão comum. Portanto, o paradigma vigente caracteriza-se pela natureza técnica do </w:t>
      </w:r>
      <w:r w:rsidRPr="002D4CE2">
        <w:rPr>
          <w:rFonts w:ascii="Times New Roman" w:eastAsia="Times New Roman" w:hAnsi="Times New Roman" w:cs="Times New Roman"/>
          <w:i/>
          <w:iCs/>
        </w:rPr>
        <w:t>disclosure</w:t>
      </w:r>
      <w:r w:rsidRPr="7C64760A">
        <w:rPr>
          <w:rFonts w:ascii="Times New Roman" w:eastAsia="Times New Roman" w:hAnsi="Times New Roman" w:cs="Times New Roman"/>
        </w:rPr>
        <w:t>, restando a necessidade de evolução para mecanismos que promovam o controle social efetivo.</w:t>
      </w:r>
    </w:p>
    <w:p w14:paraId="19334188" w14:textId="25E537D9" w:rsidR="00946FEE" w:rsidRDefault="00946FEE" w:rsidP="30909213">
      <w:pPr>
        <w:spacing w:after="0" w:line="240" w:lineRule="auto"/>
        <w:jc w:val="both"/>
        <w:rPr>
          <w:rFonts w:ascii="Times New Roman" w:eastAsia="Times New Roman" w:hAnsi="Times New Roman" w:cs="Times New Roman"/>
          <w:color w:val="FF0000"/>
        </w:rPr>
      </w:pPr>
    </w:p>
    <w:p w14:paraId="01BBFCF1" w14:textId="0663DD88" w:rsidR="00946FEE" w:rsidRDefault="6D432A03" w:rsidP="7C64760A">
      <w:pPr>
        <w:spacing w:after="0" w:line="240" w:lineRule="auto"/>
        <w:jc w:val="both"/>
        <w:rPr>
          <w:rFonts w:ascii="Times New Roman" w:eastAsia="Times New Roman" w:hAnsi="Times New Roman" w:cs="Times New Roman"/>
        </w:rPr>
      </w:pPr>
      <w:r w:rsidRPr="7C64760A">
        <w:rPr>
          <w:rFonts w:ascii="Times New Roman" w:eastAsia="Times New Roman" w:hAnsi="Times New Roman" w:cs="Times New Roman"/>
          <w:b/>
          <w:bCs/>
        </w:rPr>
        <w:t>5</w:t>
      </w:r>
      <w:r w:rsidR="241D4344" w:rsidRPr="7C64760A">
        <w:rPr>
          <w:rFonts w:ascii="Times New Roman" w:eastAsia="Times New Roman" w:hAnsi="Times New Roman" w:cs="Times New Roman"/>
          <w:b/>
          <w:bCs/>
        </w:rPr>
        <w:t>. Con</w:t>
      </w:r>
      <w:r w:rsidR="11495096" w:rsidRPr="7C64760A">
        <w:rPr>
          <w:rFonts w:ascii="Times New Roman" w:eastAsia="Times New Roman" w:hAnsi="Times New Roman" w:cs="Times New Roman"/>
          <w:b/>
          <w:bCs/>
        </w:rPr>
        <w:t>siderações Finais</w:t>
      </w:r>
    </w:p>
    <w:p w14:paraId="64387E0C" w14:textId="7D6273CD" w:rsidR="00946FEE" w:rsidRDefault="11495096"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O presente estudo analisou o impacto de variáveis financeiras e estruturais sobre o nível de transparência das fundações de apoio à pesquisa no Brasil. Para tanto, a pesquisa mapeou as receitas arrecadadas no exercício de 2022 e correlacionou esses montantes com métricas de evidenciação institucional, governança e acessibilidade digital.</w:t>
      </w:r>
    </w:p>
    <w:p w14:paraId="3FA4B0A8" w14:textId="59496230" w:rsidR="00946FEE" w:rsidRDefault="11495096" w:rsidP="7C64760A">
      <w:pPr>
        <w:spacing w:after="0" w:line="240" w:lineRule="auto"/>
        <w:ind w:firstLine="708"/>
        <w:jc w:val="both"/>
      </w:pPr>
      <w:r w:rsidRPr="7C64760A">
        <w:rPr>
          <w:rFonts w:ascii="Times New Roman" w:eastAsia="Times New Roman" w:hAnsi="Times New Roman" w:cs="Times New Roman"/>
        </w:rPr>
        <w:t xml:space="preserve">A partir do processamento estatístico, a investigação rejeitou a premissa de que o volume e a origem dos recursos determinam a prestação de contas. Nesse contexto, as variáveis de tamanho orçamentário, dependência de repasses governamentais e diversidade de financiamento não apresentaram correlação com o nível de </w:t>
      </w:r>
      <w:r w:rsidRPr="002D4CE2">
        <w:rPr>
          <w:rFonts w:ascii="Times New Roman" w:eastAsia="Times New Roman" w:hAnsi="Times New Roman" w:cs="Times New Roman"/>
          <w:i/>
          <w:iCs/>
        </w:rPr>
        <w:t>disclosure</w:t>
      </w:r>
      <w:r w:rsidRPr="7C64760A">
        <w:rPr>
          <w:rFonts w:ascii="Times New Roman" w:eastAsia="Times New Roman" w:hAnsi="Times New Roman" w:cs="Times New Roman"/>
        </w:rPr>
        <w:t xml:space="preserve">. </w:t>
      </w:r>
      <w:r w:rsidR="00530C6F" w:rsidRPr="00530C6F">
        <w:rPr>
          <w:rFonts w:ascii="Times New Roman" w:eastAsia="Times New Roman" w:hAnsi="Times New Roman" w:cs="Times New Roman"/>
        </w:rPr>
        <w:t>Os resultados demonstram que, embora haja um esforço de conformidade, a transparência ainda apresenta lacunas significativas, especialmente no que tange à tempestividade e ao detalhamento da alocação de recursos científicos</w:t>
      </w:r>
      <w:r w:rsidR="00530C6F">
        <w:rPr>
          <w:rFonts w:ascii="Times New Roman" w:eastAsia="Times New Roman" w:hAnsi="Times New Roman" w:cs="Times New Roman"/>
        </w:rPr>
        <w:t xml:space="preserve">. </w:t>
      </w:r>
      <w:r w:rsidR="00BB7247">
        <w:rPr>
          <w:rFonts w:ascii="Times New Roman" w:eastAsia="Times New Roman" w:hAnsi="Times New Roman" w:cs="Times New Roman"/>
        </w:rPr>
        <w:t>O que se pode concluir é que o</w:t>
      </w:r>
      <w:r w:rsidRPr="7C64760A">
        <w:rPr>
          <w:rFonts w:ascii="Times New Roman" w:eastAsia="Times New Roman" w:hAnsi="Times New Roman" w:cs="Times New Roman"/>
        </w:rPr>
        <w:t xml:space="preserve"> comportamento informacional do setor </w:t>
      </w:r>
      <w:r w:rsidR="00146F87" w:rsidRPr="7C64760A">
        <w:rPr>
          <w:rFonts w:ascii="Times New Roman" w:eastAsia="Times New Roman" w:hAnsi="Times New Roman" w:cs="Times New Roman"/>
        </w:rPr>
        <w:t>se nivela</w:t>
      </w:r>
      <w:r w:rsidRPr="7C64760A">
        <w:rPr>
          <w:rFonts w:ascii="Times New Roman" w:eastAsia="Times New Roman" w:hAnsi="Times New Roman" w:cs="Times New Roman"/>
        </w:rPr>
        <w:t xml:space="preserve"> independentemente do capital administrado.</w:t>
      </w:r>
    </w:p>
    <w:p w14:paraId="063B5AB5" w14:textId="46714EEE" w:rsidR="00146F87" w:rsidRDefault="11495096"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 xml:space="preserve">Por outro lado, os dados comprovaram que a transparência atua como um reflexo da maturidade estrutural interna. Por conseguinte, constatou-se uma correlação positiva entre a clareza do planejamento estratégico e o rigor das demonstrações contábeis e financeiras. </w:t>
      </w:r>
      <w:r w:rsidR="00146F87">
        <w:rPr>
          <w:rFonts w:ascii="Times New Roman" w:eastAsia="Times New Roman" w:hAnsi="Times New Roman" w:cs="Times New Roman"/>
        </w:rPr>
        <w:t xml:space="preserve">Com isso, pode-se concluir que a </w:t>
      </w:r>
      <w:r w:rsidR="00146F87" w:rsidRPr="00146F87">
        <w:rPr>
          <w:rFonts w:ascii="Times New Roman" w:eastAsia="Times New Roman" w:hAnsi="Times New Roman" w:cs="Times New Roman"/>
        </w:rPr>
        <w:t>estrutura de governança dessas entidades influencia diretamente a qualidade da evidenciação. Observou-se uma tendência de maior transparência em fundações que possuem mecanismos de controle interno mais robustos, corroborando a ideia de que a prestação de contas vai além da obrigatoriedade legal, configurando-se como uma ferramenta de legitimidade social.</w:t>
      </w:r>
    </w:p>
    <w:p w14:paraId="7C5FCB12" w14:textId="6F48A559" w:rsidR="00946FEE" w:rsidRDefault="11495096" w:rsidP="7C64760A">
      <w:pPr>
        <w:spacing w:after="0" w:line="240" w:lineRule="auto"/>
        <w:ind w:firstLine="708"/>
        <w:jc w:val="both"/>
      </w:pPr>
      <w:r w:rsidRPr="7C64760A">
        <w:rPr>
          <w:rFonts w:ascii="Times New Roman" w:eastAsia="Times New Roman" w:hAnsi="Times New Roman" w:cs="Times New Roman"/>
        </w:rPr>
        <w:lastRenderedPageBreak/>
        <w:t>Adicionalmente, o estudo mapeou um hiato geográfico na prestação de contas</w:t>
      </w:r>
      <w:r w:rsidR="00146F87">
        <w:rPr>
          <w:rFonts w:ascii="Times New Roman" w:eastAsia="Times New Roman" w:hAnsi="Times New Roman" w:cs="Times New Roman"/>
        </w:rPr>
        <w:t xml:space="preserve">, concluindo que </w:t>
      </w:r>
      <w:r w:rsidRPr="7C64760A">
        <w:rPr>
          <w:rFonts w:ascii="Times New Roman" w:eastAsia="Times New Roman" w:hAnsi="Times New Roman" w:cs="Times New Roman"/>
        </w:rPr>
        <w:t>as entidades localizadas na região Norte enfrentam assimetrias informacionais e estruturais em comparação às demais regiões do país.</w:t>
      </w:r>
    </w:p>
    <w:p w14:paraId="166E9703" w14:textId="50FC4656" w:rsidR="00946FEE" w:rsidRDefault="11495096" w:rsidP="7C64760A">
      <w:pPr>
        <w:spacing w:after="0" w:line="240" w:lineRule="auto"/>
        <w:ind w:firstLine="708"/>
        <w:jc w:val="both"/>
      </w:pPr>
      <w:r w:rsidRPr="7C64760A">
        <w:rPr>
          <w:rFonts w:ascii="Times New Roman" w:eastAsia="Times New Roman" w:hAnsi="Times New Roman" w:cs="Times New Roman"/>
        </w:rPr>
        <w:t xml:space="preserve">Sob essa ótica, este trabalho avança em relação às pesquisas anteriores ao desmistificar a premissa de influência do financiamento sobre o </w:t>
      </w:r>
      <w:r w:rsidRPr="002D4CE2">
        <w:rPr>
          <w:rFonts w:ascii="Times New Roman" w:eastAsia="Times New Roman" w:hAnsi="Times New Roman" w:cs="Times New Roman"/>
          <w:i/>
          <w:iCs/>
        </w:rPr>
        <w:t>disclosure</w:t>
      </w:r>
      <w:r w:rsidRPr="7C64760A">
        <w:rPr>
          <w:rFonts w:ascii="Times New Roman" w:eastAsia="Times New Roman" w:hAnsi="Times New Roman" w:cs="Times New Roman"/>
        </w:rPr>
        <w:t xml:space="preserve"> no terceiro setor. Dessa forma, o estudo contribui para a literatura ao demonstrar que a arrecadação </w:t>
      </w:r>
      <w:r w:rsidR="00146F87">
        <w:rPr>
          <w:rFonts w:ascii="Times New Roman" w:eastAsia="Times New Roman" w:hAnsi="Times New Roman" w:cs="Times New Roman"/>
        </w:rPr>
        <w:t>financeira</w:t>
      </w:r>
      <w:r w:rsidR="00146F87" w:rsidRPr="7C64760A">
        <w:rPr>
          <w:rFonts w:ascii="Times New Roman" w:eastAsia="Times New Roman" w:hAnsi="Times New Roman" w:cs="Times New Roman"/>
        </w:rPr>
        <w:t xml:space="preserve"> </w:t>
      </w:r>
      <w:r w:rsidRPr="7C64760A">
        <w:rPr>
          <w:rFonts w:ascii="Times New Roman" w:eastAsia="Times New Roman" w:hAnsi="Times New Roman" w:cs="Times New Roman"/>
        </w:rPr>
        <w:t>isolada não garante a conformidade informacional. Ademais, as contribuições gerenciais direcionam-se especificamente para a transparência das receitas. Sendo assim, as políticas de fomento devem focar na capacitação de capital humano e na estruturação de governança das fundações, especialmente em regiões periféricas, em vez de atrelar a prestação de contas puramente ao volume de recursos repassados.</w:t>
      </w:r>
    </w:p>
    <w:p w14:paraId="1865E4AF" w14:textId="5BDB456D" w:rsidR="00946FEE" w:rsidRDefault="11495096" w:rsidP="7C64760A">
      <w:pPr>
        <w:spacing w:after="0" w:line="240" w:lineRule="auto"/>
        <w:ind w:firstLine="708"/>
        <w:jc w:val="both"/>
        <w:rPr>
          <w:rFonts w:ascii="Times New Roman" w:eastAsia="Times New Roman" w:hAnsi="Times New Roman" w:cs="Times New Roman"/>
        </w:rPr>
      </w:pPr>
      <w:r w:rsidRPr="7C64760A">
        <w:rPr>
          <w:rFonts w:ascii="Times New Roman" w:eastAsia="Times New Roman" w:hAnsi="Times New Roman" w:cs="Times New Roman"/>
        </w:rPr>
        <w:t>Por fim, reconhecem-se as limitações inerentes ao escopo metodológico delineado. Nesse sentido, a pesquisa restringiu-se ao corte transversal dos dados financeiros do exercício de 2022, limitando a observação de tendências longitudinais. Além disso, as análises de correlação mensuram associações matemáticas, não implicando causalidade direta entre as variáveis. Portanto, recomenda-se que estudos futuros explorem a evolução temporal da transparência das receitas nessas entidades, incorporando entrevistas com gestores para mapear os obstáculos tecnológicos e humanos limitadores da publicidade das informações.</w:t>
      </w:r>
    </w:p>
    <w:p w14:paraId="4450243C" w14:textId="52F6EA1D" w:rsidR="00146F87" w:rsidRDefault="00146F87" w:rsidP="7C64760A">
      <w:pPr>
        <w:spacing w:after="0" w:line="240" w:lineRule="auto"/>
        <w:ind w:firstLine="708"/>
        <w:jc w:val="both"/>
      </w:pPr>
      <w:r w:rsidRPr="00146F87">
        <w:t>Para estudos futuros, sugere-se uma análise comparativa entre fundações de diferentes regiões do país ou a aplicação de modelos de equações estruturais para mensurar o impacto da transparência na captação de novos projetos. Em suma, os achados reforçam a necessidade de políticas institucionais que promovam a cultura da transparência como pilar fundamental da gestão pública.</w:t>
      </w:r>
    </w:p>
    <w:p w14:paraId="0572A37F" w14:textId="5997DA6A" w:rsidR="7C64760A" w:rsidRDefault="7C64760A" w:rsidP="7C64760A">
      <w:pPr>
        <w:spacing w:after="0" w:line="240" w:lineRule="auto"/>
        <w:jc w:val="both"/>
        <w:rPr>
          <w:rFonts w:ascii="Times New Roman" w:eastAsia="Times New Roman" w:hAnsi="Times New Roman" w:cs="Times New Roman"/>
        </w:rPr>
      </w:pPr>
    </w:p>
    <w:p w14:paraId="6625DE5A" w14:textId="11AC5853" w:rsidR="7C64760A" w:rsidRDefault="7C64760A" w:rsidP="7C64760A">
      <w:pPr>
        <w:spacing w:after="0" w:line="240" w:lineRule="auto"/>
        <w:jc w:val="both"/>
        <w:rPr>
          <w:rFonts w:ascii="Times New Roman" w:eastAsia="Times New Roman" w:hAnsi="Times New Roman" w:cs="Times New Roman"/>
        </w:rPr>
      </w:pPr>
    </w:p>
    <w:p w14:paraId="41FF0C4A" w14:textId="4C091624" w:rsidR="00946FEE" w:rsidRDefault="241D4344" w:rsidP="7C64760A">
      <w:pPr>
        <w:spacing w:after="0" w:line="240" w:lineRule="auto"/>
        <w:jc w:val="both"/>
        <w:rPr>
          <w:rFonts w:ascii="Times New Roman" w:eastAsia="Times New Roman" w:hAnsi="Times New Roman" w:cs="Times New Roman"/>
        </w:rPr>
      </w:pPr>
      <w:r w:rsidRPr="7C64760A">
        <w:rPr>
          <w:rFonts w:ascii="Times New Roman" w:eastAsia="Times New Roman" w:hAnsi="Times New Roman" w:cs="Times New Roman"/>
          <w:b/>
          <w:bCs/>
        </w:rPr>
        <w:t>REFERÊNCIAS</w:t>
      </w:r>
    </w:p>
    <w:p w14:paraId="138E873C" w14:textId="2C050E87" w:rsidR="00946FEE" w:rsidRDefault="00946FEE" w:rsidP="7C64760A">
      <w:pPr>
        <w:spacing w:after="0" w:line="240" w:lineRule="auto"/>
        <w:jc w:val="both"/>
        <w:rPr>
          <w:rFonts w:ascii="Times New Roman" w:eastAsia="Times New Roman" w:hAnsi="Times New Roman" w:cs="Times New Roman"/>
        </w:rPr>
      </w:pPr>
    </w:p>
    <w:p w14:paraId="1C1261E0" w14:textId="097A211D" w:rsidR="00946FEE" w:rsidRDefault="241D4344" w:rsidP="7C64760A">
      <w:pPr>
        <w:spacing w:after="0" w:line="240" w:lineRule="auto"/>
        <w:ind w:left="567" w:hanging="567"/>
        <w:jc w:val="both"/>
        <w:rPr>
          <w:rFonts w:ascii="Times New Roman" w:eastAsia="Times New Roman" w:hAnsi="Times New Roman" w:cs="Times New Roman"/>
        </w:rPr>
      </w:pPr>
      <w:r w:rsidRPr="7C64760A">
        <w:rPr>
          <w:rFonts w:ascii="Times New Roman" w:eastAsia="Times New Roman" w:hAnsi="Times New Roman" w:cs="Times New Roman"/>
        </w:rPr>
        <w:t xml:space="preserve">Almeida, M. A. (2014). </w:t>
      </w:r>
      <w:r w:rsidRPr="7C64760A">
        <w:rPr>
          <w:rFonts w:ascii="Times New Roman" w:eastAsia="Times New Roman" w:hAnsi="Times New Roman" w:cs="Times New Roman"/>
          <w:i/>
          <w:iCs/>
        </w:rPr>
        <w:t>Estrutura de capital e divulgação voluntária de informações de responsabilidade social corporativa das empresas brasileiras</w:t>
      </w:r>
      <w:r w:rsidRPr="7C64760A">
        <w:rPr>
          <w:rFonts w:ascii="Times New Roman" w:eastAsia="Times New Roman" w:hAnsi="Times New Roman" w:cs="Times New Roman"/>
        </w:rPr>
        <w:t>. Tese (Doutorado em Administração) – Universidade Federal de Pernambuco, CCSA.</w:t>
      </w:r>
    </w:p>
    <w:p w14:paraId="7D067DF9" w14:textId="37DE38BD" w:rsidR="00946FEE" w:rsidRDefault="00946FEE" w:rsidP="7C64760A">
      <w:pPr>
        <w:spacing w:after="0" w:line="240" w:lineRule="auto"/>
        <w:ind w:left="567" w:hanging="567"/>
        <w:jc w:val="both"/>
        <w:rPr>
          <w:rFonts w:ascii="Times New Roman" w:eastAsia="Times New Roman" w:hAnsi="Times New Roman" w:cs="Times New Roman"/>
        </w:rPr>
      </w:pPr>
    </w:p>
    <w:p w14:paraId="73DE9FF4" w14:textId="35E26F7C" w:rsidR="00946FEE" w:rsidRDefault="241D4344" w:rsidP="7C64760A">
      <w:pPr>
        <w:spacing w:after="0" w:line="240" w:lineRule="auto"/>
        <w:ind w:left="567" w:hanging="567"/>
        <w:jc w:val="both"/>
        <w:rPr>
          <w:rFonts w:ascii="Times New Roman" w:eastAsia="Times New Roman" w:hAnsi="Times New Roman" w:cs="Times New Roman"/>
        </w:rPr>
      </w:pPr>
      <w:r w:rsidRPr="7C64760A">
        <w:rPr>
          <w:rFonts w:ascii="Times New Roman" w:eastAsia="Times New Roman" w:hAnsi="Times New Roman" w:cs="Times New Roman"/>
        </w:rPr>
        <w:t xml:space="preserve">Baldissera, J., Dall’Asta, D., Casagrande, L., &amp; Oliveira, A. (2020). Influência dos aspectos socioeconômicos, financeiro-orçamentários e político-eleitorais na transparência dos governos locais. </w:t>
      </w:r>
      <w:r w:rsidRPr="7C64760A">
        <w:rPr>
          <w:rFonts w:ascii="Times New Roman" w:eastAsia="Times New Roman" w:hAnsi="Times New Roman" w:cs="Times New Roman"/>
          <w:i/>
          <w:iCs/>
        </w:rPr>
        <w:t>Revista de Administração Pública</w:t>
      </w:r>
      <w:r w:rsidRPr="7C64760A">
        <w:rPr>
          <w:rFonts w:ascii="Times New Roman" w:eastAsia="Times New Roman" w:hAnsi="Times New Roman" w:cs="Times New Roman"/>
        </w:rPr>
        <w:t>, 54(2), 340-359.</w:t>
      </w:r>
    </w:p>
    <w:p w14:paraId="62783A3B" w14:textId="0C0B4963" w:rsidR="00946FEE" w:rsidRDefault="00946FEE" w:rsidP="7C64760A">
      <w:pPr>
        <w:spacing w:after="0" w:line="240" w:lineRule="auto"/>
        <w:jc w:val="both"/>
        <w:rPr>
          <w:rFonts w:ascii="Times New Roman" w:eastAsia="Times New Roman" w:hAnsi="Times New Roman" w:cs="Times New Roman"/>
        </w:rPr>
      </w:pPr>
    </w:p>
    <w:p w14:paraId="24053A5D" w14:textId="39B30148" w:rsidR="00946FEE" w:rsidRDefault="72EA7773" w:rsidP="7C64760A">
      <w:pPr>
        <w:spacing w:after="0" w:line="240" w:lineRule="auto"/>
        <w:ind w:left="567" w:hanging="567"/>
        <w:jc w:val="both"/>
      </w:pPr>
      <w:r w:rsidRPr="7C64760A">
        <w:rPr>
          <w:rFonts w:ascii="Times New Roman" w:eastAsia="Times New Roman" w:hAnsi="Times New Roman" w:cs="Times New Roman"/>
        </w:rPr>
        <w:t xml:space="preserve">Brasil. (1994, 21 de dezembro). </w:t>
      </w:r>
      <w:r w:rsidRPr="7C64760A">
        <w:rPr>
          <w:rFonts w:ascii="Times New Roman" w:eastAsia="Times New Roman" w:hAnsi="Times New Roman" w:cs="Times New Roman"/>
          <w:i/>
          <w:iCs/>
        </w:rPr>
        <w:t>Lei nº 8.958, de 20 de dezembro de 1994</w:t>
      </w:r>
      <w:r w:rsidRPr="7C64760A">
        <w:rPr>
          <w:rFonts w:ascii="Times New Roman" w:eastAsia="Times New Roman" w:hAnsi="Times New Roman" w:cs="Times New Roman"/>
        </w:rPr>
        <w:t xml:space="preserve">. Dispõe sobre as relações entre as instituições federais de ensino superior e de pesquisa científica e tecnológica e as fundações de apoio e dá outras providências. Diário Oficial da União. </w:t>
      </w:r>
      <w:hyperlink r:id="rId32">
        <w:r w:rsidRPr="7C64760A">
          <w:rPr>
            <w:rStyle w:val="Hyperlink"/>
            <w:rFonts w:ascii="Times New Roman" w:eastAsia="Times New Roman" w:hAnsi="Times New Roman" w:cs="Times New Roman"/>
            <w:color w:val="auto"/>
          </w:rPr>
          <w:t>http://www.planalto.gov.br/ccivil_03/leis/L8958.htm</w:t>
        </w:r>
      </w:hyperlink>
    </w:p>
    <w:p w14:paraId="4C80102E" w14:textId="5C2A4481" w:rsidR="7C64760A" w:rsidRDefault="7C64760A" w:rsidP="7C64760A">
      <w:pPr>
        <w:spacing w:after="0" w:line="240" w:lineRule="auto"/>
        <w:ind w:left="567" w:hanging="567"/>
        <w:jc w:val="both"/>
        <w:rPr>
          <w:rFonts w:ascii="Times New Roman" w:eastAsia="Times New Roman" w:hAnsi="Times New Roman" w:cs="Times New Roman"/>
        </w:rPr>
      </w:pPr>
    </w:p>
    <w:p w14:paraId="10ACC5E9" w14:textId="7269C383" w:rsidR="00946FEE" w:rsidRDefault="241D4344" w:rsidP="7C64760A">
      <w:pPr>
        <w:spacing w:after="0" w:line="240" w:lineRule="auto"/>
        <w:ind w:left="567" w:hanging="567"/>
        <w:jc w:val="both"/>
        <w:rPr>
          <w:rFonts w:ascii="Times New Roman" w:eastAsia="Times New Roman" w:hAnsi="Times New Roman" w:cs="Times New Roman"/>
        </w:rPr>
      </w:pPr>
      <w:r w:rsidRPr="7C64760A">
        <w:rPr>
          <w:rFonts w:ascii="Times New Roman" w:eastAsia="Times New Roman" w:hAnsi="Times New Roman" w:cs="Times New Roman"/>
        </w:rPr>
        <w:t xml:space="preserve">Borges, L. F. X., &amp; Serrão, C. F. de B. (2005) Aspectos de Governança Corporativa Moderna no Brasil. </w:t>
      </w:r>
      <w:r w:rsidRPr="7C64760A">
        <w:rPr>
          <w:rFonts w:ascii="Times New Roman" w:eastAsia="Times New Roman" w:hAnsi="Times New Roman" w:cs="Times New Roman"/>
          <w:i/>
          <w:iCs/>
        </w:rPr>
        <w:t>Revista do BNDES</w:t>
      </w:r>
      <w:r w:rsidRPr="7C64760A">
        <w:rPr>
          <w:rFonts w:ascii="Times New Roman" w:eastAsia="Times New Roman" w:hAnsi="Times New Roman" w:cs="Times New Roman"/>
        </w:rPr>
        <w:t>, Rio de Janeiro, 12(24), 111-148.</w:t>
      </w:r>
    </w:p>
    <w:p w14:paraId="66138AFC" w14:textId="75616FC4" w:rsidR="00946FEE" w:rsidRDefault="00946FEE" w:rsidP="7C64760A">
      <w:pPr>
        <w:spacing w:after="0" w:line="240" w:lineRule="auto"/>
        <w:ind w:left="567" w:hanging="567"/>
        <w:jc w:val="both"/>
        <w:rPr>
          <w:rFonts w:ascii="Times New Roman" w:eastAsia="Times New Roman" w:hAnsi="Times New Roman" w:cs="Times New Roman"/>
        </w:rPr>
      </w:pPr>
    </w:p>
    <w:p w14:paraId="772D21A2" w14:textId="7BCAD3CC" w:rsidR="00946FEE" w:rsidRDefault="241D4344" w:rsidP="7C64760A">
      <w:pPr>
        <w:spacing w:after="0" w:line="240" w:lineRule="auto"/>
        <w:ind w:left="567" w:hanging="567"/>
        <w:jc w:val="both"/>
        <w:rPr>
          <w:rFonts w:ascii="Times New Roman" w:eastAsia="Times New Roman" w:hAnsi="Times New Roman" w:cs="Times New Roman"/>
        </w:rPr>
      </w:pPr>
      <w:r w:rsidRPr="7C64760A">
        <w:rPr>
          <w:rFonts w:ascii="Times New Roman" w:eastAsia="Times New Roman" w:hAnsi="Times New Roman" w:cs="Times New Roman"/>
        </w:rPr>
        <w:t xml:space="preserve">Carneiro, A., Oliveira, D., &amp; Torres, L. (2011). Accountability e Prestação de Contas das Organizações do Terceiro Setor: Uma Abordagem à Relevância da Contabilidade. </w:t>
      </w:r>
      <w:r w:rsidRPr="7C64760A">
        <w:rPr>
          <w:rFonts w:ascii="Times New Roman" w:eastAsia="Times New Roman" w:hAnsi="Times New Roman" w:cs="Times New Roman"/>
          <w:i/>
          <w:iCs/>
        </w:rPr>
        <w:t>Sociedade, Contabilidade e Gestão</w:t>
      </w:r>
      <w:r w:rsidRPr="7C64760A">
        <w:rPr>
          <w:rFonts w:ascii="Times New Roman" w:eastAsia="Times New Roman" w:hAnsi="Times New Roman" w:cs="Times New Roman"/>
        </w:rPr>
        <w:t xml:space="preserve">, 6(2). Recuperado abril 28, 2024, de </w:t>
      </w:r>
      <w:hyperlink r:id="rId33">
        <w:r w:rsidRPr="7C64760A">
          <w:rPr>
            <w:rStyle w:val="Hyperlink"/>
            <w:rFonts w:ascii="Times New Roman" w:eastAsia="Times New Roman" w:hAnsi="Times New Roman" w:cs="Times New Roman"/>
            <w:color w:val="auto"/>
          </w:rPr>
          <w:t>http://www.atena.org.br/revista/ojs-2.2.3-08/index.php/ufrj/article/view/1206/1142</w:t>
        </w:r>
      </w:hyperlink>
      <w:r w:rsidRPr="7C64760A">
        <w:rPr>
          <w:rFonts w:ascii="Times New Roman" w:eastAsia="Times New Roman" w:hAnsi="Times New Roman" w:cs="Times New Roman"/>
        </w:rPr>
        <w:t>.</w:t>
      </w:r>
    </w:p>
    <w:p w14:paraId="5DDE275D" w14:textId="13DE95D9" w:rsidR="00946FEE" w:rsidRDefault="00946FEE" w:rsidP="7C64760A">
      <w:pPr>
        <w:spacing w:after="0" w:line="240" w:lineRule="auto"/>
        <w:ind w:left="567" w:hanging="567"/>
        <w:jc w:val="both"/>
        <w:rPr>
          <w:rFonts w:ascii="Times New Roman" w:eastAsia="Times New Roman" w:hAnsi="Times New Roman" w:cs="Times New Roman"/>
        </w:rPr>
      </w:pPr>
    </w:p>
    <w:p w14:paraId="169916A8" w14:textId="3784110C" w:rsidR="00946FEE" w:rsidRDefault="241D4344" w:rsidP="7C64760A">
      <w:pPr>
        <w:spacing w:after="0" w:line="240" w:lineRule="auto"/>
        <w:ind w:left="567" w:hanging="567"/>
        <w:jc w:val="both"/>
        <w:rPr>
          <w:rFonts w:ascii="Times New Roman" w:eastAsia="Times New Roman" w:hAnsi="Times New Roman" w:cs="Times New Roman"/>
        </w:rPr>
      </w:pPr>
      <w:r w:rsidRPr="7C64760A">
        <w:rPr>
          <w:rFonts w:ascii="Times New Roman" w:eastAsia="Times New Roman" w:hAnsi="Times New Roman" w:cs="Times New Roman"/>
        </w:rPr>
        <w:lastRenderedPageBreak/>
        <w:t xml:space="preserve">Castro, H. A. S. de, Schimith, L. D, &amp; Schimith, C. D. (2022). A divulgação de informações por entidades do Terceiro setor. </w:t>
      </w:r>
      <w:r w:rsidRPr="7C64760A">
        <w:rPr>
          <w:rFonts w:ascii="Times New Roman" w:eastAsia="Times New Roman" w:hAnsi="Times New Roman" w:cs="Times New Roman"/>
          <w:i/>
          <w:iCs/>
        </w:rPr>
        <w:t>Revista Gestão e Conhecimento</w:t>
      </w:r>
      <w:r w:rsidRPr="7C64760A">
        <w:rPr>
          <w:rFonts w:ascii="Times New Roman" w:eastAsia="Times New Roman" w:hAnsi="Times New Roman" w:cs="Times New Roman"/>
        </w:rPr>
        <w:t>, v. 16, n. 3, doi.org/10.55908/RGCV16N3-007.</w:t>
      </w:r>
    </w:p>
    <w:p w14:paraId="46CEEE72" w14:textId="722B51B8" w:rsidR="00946FEE" w:rsidRDefault="00946FEE" w:rsidP="7C64760A">
      <w:pPr>
        <w:spacing w:after="0" w:line="240" w:lineRule="auto"/>
        <w:ind w:left="567" w:hanging="567"/>
        <w:jc w:val="both"/>
        <w:rPr>
          <w:rFonts w:ascii="Times New Roman" w:eastAsia="Times New Roman" w:hAnsi="Times New Roman" w:cs="Times New Roman"/>
        </w:rPr>
      </w:pPr>
    </w:p>
    <w:p w14:paraId="258C15B5" w14:textId="7BA36D5A" w:rsidR="00946FEE" w:rsidRDefault="241D4344" w:rsidP="7C64760A">
      <w:pPr>
        <w:spacing w:after="0" w:line="240" w:lineRule="auto"/>
        <w:ind w:left="567" w:hanging="567"/>
        <w:jc w:val="both"/>
        <w:rPr>
          <w:rFonts w:ascii="Times New Roman" w:eastAsia="Times New Roman" w:hAnsi="Times New Roman" w:cs="Times New Roman"/>
        </w:rPr>
      </w:pPr>
      <w:r w:rsidRPr="7C64760A">
        <w:rPr>
          <w:rFonts w:ascii="Times New Roman" w:eastAsia="Times New Roman" w:hAnsi="Times New Roman" w:cs="Times New Roman"/>
        </w:rPr>
        <w:t xml:space="preserve">Cheng, B., Ioannou, I., &amp; Serafeim, G. (2014). </w:t>
      </w:r>
      <w:r w:rsidRPr="002328DC">
        <w:rPr>
          <w:rFonts w:ascii="Times New Roman" w:eastAsia="Times New Roman" w:hAnsi="Times New Roman" w:cs="Times New Roman"/>
          <w:lang w:val="en-US"/>
        </w:rPr>
        <w:t>Corporate Social Responsibility and Access to Finance</w:t>
      </w:r>
      <w:r w:rsidRPr="002328DC">
        <w:rPr>
          <w:rFonts w:ascii="Times New Roman" w:eastAsia="Times New Roman" w:hAnsi="Times New Roman" w:cs="Times New Roman"/>
          <w:i/>
          <w:iCs/>
          <w:lang w:val="en-US"/>
        </w:rPr>
        <w:t xml:space="preserve">. </w:t>
      </w:r>
      <w:r w:rsidRPr="7C64760A">
        <w:rPr>
          <w:rFonts w:ascii="Times New Roman" w:eastAsia="Times New Roman" w:hAnsi="Times New Roman" w:cs="Times New Roman"/>
          <w:i/>
          <w:iCs/>
        </w:rPr>
        <w:t>Strategic Management Journal</w:t>
      </w:r>
      <w:r w:rsidRPr="7C64760A">
        <w:rPr>
          <w:rFonts w:ascii="Times New Roman" w:eastAsia="Times New Roman" w:hAnsi="Times New Roman" w:cs="Times New Roman"/>
        </w:rPr>
        <w:t>, 35(1), 1-23.</w:t>
      </w:r>
    </w:p>
    <w:p w14:paraId="5FA452CF" w14:textId="7EC2B383" w:rsidR="00946FEE" w:rsidRDefault="00946FEE" w:rsidP="7C64760A">
      <w:pPr>
        <w:spacing w:after="0" w:line="240" w:lineRule="auto"/>
        <w:ind w:left="567" w:hanging="567"/>
        <w:jc w:val="both"/>
        <w:rPr>
          <w:rFonts w:ascii="Times New Roman" w:eastAsia="Times New Roman" w:hAnsi="Times New Roman" w:cs="Times New Roman"/>
        </w:rPr>
      </w:pPr>
    </w:p>
    <w:p w14:paraId="20241F2C" w14:textId="654C0C4E" w:rsidR="00946FEE" w:rsidRDefault="241D4344" w:rsidP="7C64760A">
      <w:pPr>
        <w:spacing w:after="0" w:line="240" w:lineRule="auto"/>
        <w:ind w:left="567" w:hanging="567"/>
        <w:jc w:val="both"/>
        <w:rPr>
          <w:rFonts w:ascii="Times New Roman" w:eastAsia="Times New Roman" w:hAnsi="Times New Roman" w:cs="Times New Roman"/>
        </w:rPr>
      </w:pPr>
      <w:r w:rsidRPr="7C64760A">
        <w:rPr>
          <w:rFonts w:ascii="Times New Roman" w:eastAsia="Times New Roman" w:hAnsi="Times New Roman" w:cs="Times New Roman"/>
        </w:rPr>
        <w:t xml:space="preserve">Cruz Cunha, J. H., &amp; Matias-Pereira, J. (2012). Captação de recursos no terceiro setor: fatores estratégicos para divulgação de informações. </w:t>
      </w:r>
      <w:r w:rsidRPr="7C64760A">
        <w:rPr>
          <w:rFonts w:ascii="Times New Roman" w:eastAsia="Times New Roman" w:hAnsi="Times New Roman" w:cs="Times New Roman"/>
          <w:i/>
          <w:iCs/>
        </w:rPr>
        <w:t>Revista Contemporânea de Contabilidade</w:t>
      </w:r>
      <w:r w:rsidRPr="7C64760A">
        <w:rPr>
          <w:rFonts w:ascii="Times New Roman" w:eastAsia="Times New Roman" w:hAnsi="Times New Roman" w:cs="Times New Roman"/>
        </w:rPr>
        <w:t>, 9(18), 83-102.</w:t>
      </w:r>
    </w:p>
    <w:p w14:paraId="266DD7A5" w14:textId="485AC392" w:rsidR="00946FEE" w:rsidRDefault="00946FEE" w:rsidP="7C64760A">
      <w:pPr>
        <w:spacing w:after="0" w:line="240" w:lineRule="auto"/>
        <w:ind w:left="567" w:hanging="567"/>
        <w:jc w:val="both"/>
        <w:rPr>
          <w:rFonts w:ascii="Times New Roman" w:eastAsia="Times New Roman" w:hAnsi="Times New Roman" w:cs="Times New Roman"/>
        </w:rPr>
      </w:pPr>
    </w:p>
    <w:p w14:paraId="44609BB7" w14:textId="12FD172D" w:rsidR="39BC54FB" w:rsidRDefault="39BC54FB" w:rsidP="7C64760A">
      <w:pPr>
        <w:spacing w:after="0" w:line="240" w:lineRule="auto"/>
        <w:ind w:left="567" w:hanging="567"/>
        <w:jc w:val="both"/>
        <w:rPr>
          <w:rFonts w:ascii="Times New Roman" w:eastAsia="Times New Roman" w:hAnsi="Times New Roman" w:cs="Times New Roman"/>
        </w:rPr>
      </w:pPr>
      <w:r w:rsidRPr="7C64760A">
        <w:rPr>
          <w:rFonts w:ascii="Times New Roman" w:eastAsia="Times New Roman" w:hAnsi="Times New Roman" w:cs="Times New Roman"/>
        </w:rPr>
        <w:t>Conselho Nacional das Fundações de Apoio às Instituições de Ensino Superior e de Pesquisa Científica e Tecnológica. (2015). As fundações de apoio e as Instituições de Ensino Superior – Uma relação que precisa ser entendida pela sociedade. CONFIES. Recuperado em 31 de maio de 2023, de http://confies.org.br/institucional/as-fundacoes-de-apoio-e-as-instituicoes-de-ensino-superior-uma-relacao-que-precisa-ser-entendida-pela-sociedade/</w:t>
      </w:r>
    </w:p>
    <w:p w14:paraId="6F6BB664" w14:textId="70A2DE9F" w:rsidR="00946FEE" w:rsidRDefault="00946FEE" w:rsidP="7C64760A">
      <w:pPr>
        <w:spacing w:after="0" w:line="240" w:lineRule="auto"/>
        <w:ind w:left="567" w:hanging="567"/>
        <w:jc w:val="both"/>
        <w:rPr>
          <w:rFonts w:ascii="Times New Roman" w:eastAsia="Times New Roman" w:hAnsi="Times New Roman" w:cs="Times New Roman"/>
        </w:rPr>
      </w:pPr>
    </w:p>
    <w:p w14:paraId="62737135" w14:textId="79232695" w:rsidR="000D73DE" w:rsidRPr="002D4CE2" w:rsidRDefault="241D4344" w:rsidP="7C64760A">
      <w:pPr>
        <w:spacing w:after="0" w:line="240" w:lineRule="auto"/>
        <w:ind w:left="567" w:hanging="567"/>
        <w:jc w:val="both"/>
        <w:rPr>
          <w:rFonts w:ascii="Times New Roman" w:eastAsia="Times New Roman" w:hAnsi="Times New Roman" w:cs="Times New Roman"/>
        </w:rPr>
      </w:pPr>
      <w:r w:rsidRPr="00105A5C">
        <w:rPr>
          <w:rFonts w:ascii="Times New Roman" w:eastAsia="Times New Roman" w:hAnsi="Times New Roman" w:cs="Times New Roman"/>
          <w:lang w:val="en-US"/>
        </w:rPr>
        <w:t xml:space="preserve">Gandia, J. L. (2011). </w:t>
      </w:r>
      <w:r w:rsidRPr="002328DC">
        <w:rPr>
          <w:rFonts w:ascii="Times New Roman" w:eastAsia="Times New Roman" w:hAnsi="Times New Roman" w:cs="Times New Roman"/>
          <w:lang w:val="en-US"/>
        </w:rPr>
        <w:t xml:space="preserve">Internet disclosure by nonprofit organizations: Empirical evidence of nongovernmental organizations for development in Spain. </w:t>
      </w:r>
      <w:r w:rsidRPr="002D4CE2">
        <w:rPr>
          <w:rFonts w:ascii="Times New Roman" w:eastAsia="Times New Roman" w:hAnsi="Times New Roman" w:cs="Times New Roman"/>
          <w:i/>
          <w:iCs/>
        </w:rPr>
        <w:t>Nonprofit and voluntary sector quarterly</w:t>
      </w:r>
      <w:r w:rsidRPr="002D4CE2">
        <w:rPr>
          <w:rFonts w:ascii="Times New Roman" w:eastAsia="Times New Roman" w:hAnsi="Times New Roman" w:cs="Times New Roman"/>
        </w:rPr>
        <w:t>, 40(1), 57-78.</w:t>
      </w:r>
    </w:p>
    <w:p w14:paraId="3206603D" w14:textId="77777777" w:rsidR="000D73DE" w:rsidRPr="002D4CE2" w:rsidRDefault="000D73DE" w:rsidP="000D73DE">
      <w:pPr>
        <w:spacing w:after="0" w:line="240" w:lineRule="auto"/>
        <w:ind w:left="567" w:hanging="567"/>
        <w:jc w:val="both"/>
        <w:rPr>
          <w:rFonts w:ascii="Times New Roman" w:eastAsia="Times New Roman" w:hAnsi="Times New Roman" w:cs="Times New Roman"/>
        </w:rPr>
      </w:pPr>
    </w:p>
    <w:p w14:paraId="2F881E81" w14:textId="48A1FC52" w:rsidR="000D73DE" w:rsidRPr="002D4CE2" w:rsidRDefault="000D73DE" w:rsidP="002D4CE2">
      <w:pPr>
        <w:spacing w:after="0" w:line="240" w:lineRule="auto"/>
        <w:ind w:left="567" w:hanging="567"/>
        <w:jc w:val="both"/>
        <w:rPr>
          <w:rFonts w:ascii="Times New Roman" w:eastAsia="Times New Roman" w:hAnsi="Times New Roman" w:cs="Times New Roman"/>
          <w:lang w:val="en-US"/>
        </w:rPr>
      </w:pPr>
      <w:r w:rsidRPr="000D73DE">
        <w:rPr>
          <w:rFonts w:ascii="Times New Roman" w:eastAsia="Times New Roman" w:hAnsi="Times New Roman" w:cs="Times New Roman"/>
        </w:rPr>
        <w:t>Iudícibus</w:t>
      </w:r>
      <w:r w:rsidRPr="002D4CE2">
        <w:rPr>
          <w:rFonts w:ascii="Times New Roman" w:eastAsia="Times New Roman" w:hAnsi="Times New Roman" w:cs="Times New Roman"/>
        </w:rPr>
        <w:t xml:space="preserve">, S. de; </w:t>
      </w:r>
      <w:r>
        <w:rPr>
          <w:rFonts w:ascii="Times New Roman" w:eastAsia="Times New Roman" w:hAnsi="Times New Roman" w:cs="Times New Roman"/>
        </w:rPr>
        <w:t>M</w:t>
      </w:r>
      <w:r w:rsidRPr="000D73DE">
        <w:rPr>
          <w:rFonts w:ascii="Times New Roman" w:eastAsia="Times New Roman" w:hAnsi="Times New Roman" w:cs="Times New Roman"/>
        </w:rPr>
        <w:t>artins</w:t>
      </w:r>
      <w:r w:rsidRPr="002D4CE2">
        <w:rPr>
          <w:rFonts w:ascii="Times New Roman" w:eastAsia="Times New Roman" w:hAnsi="Times New Roman" w:cs="Times New Roman"/>
        </w:rPr>
        <w:t xml:space="preserve">, E.; </w:t>
      </w:r>
      <w:r>
        <w:rPr>
          <w:rFonts w:ascii="Times New Roman" w:eastAsia="Times New Roman" w:hAnsi="Times New Roman" w:cs="Times New Roman"/>
        </w:rPr>
        <w:t>G</w:t>
      </w:r>
      <w:r w:rsidRPr="000D73DE">
        <w:rPr>
          <w:rFonts w:ascii="Times New Roman" w:eastAsia="Times New Roman" w:hAnsi="Times New Roman" w:cs="Times New Roman"/>
        </w:rPr>
        <w:t xml:space="preserve">elbcke, </w:t>
      </w:r>
      <w:r>
        <w:rPr>
          <w:rFonts w:ascii="Times New Roman" w:eastAsia="Times New Roman" w:hAnsi="Times New Roman" w:cs="Times New Roman"/>
        </w:rPr>
        <w:t>E</w:t>
      </w:r>
      <w:r w:rsidRPr="000D73DE">
        <w:rPr>
          <w:rFonts w:ascii="Times New Roman" w:eastAsia="Times New Roman" w:hAnsi="Times New Roman" w:cs="Times New Roman"/>
        </w:rPr>
        <w:t>. R.</w:t>
      </w:r>
      <w:r>
        <w:rPr>
          <w:rFonts w:ascii="Times New Roman" w:eastAsia="Times New Roman" w:hAnsi="Times New Roman" w:cs="Times New Roman"/>
        </w:rPr>
        <w:t xml:space="preserve"> &amp;</w:t>
      </w:r>
      <w:r w:rsidRPr="000D73DE">
        <w:rPr>
          <w:rFonts w:ascii="Times New Roman" w:eastAsia="Times New Roman" w:hAnsi="Times New Roman" w:cs="Times New Roman"/>
        </w:rPr>
        <w:t xml:space="preserve"> </w:t>
      </w:r>
      <w:r>
        <w:rPr>
          <w:rFonts w:ascii="Times New Roman" w:eastAsia="Times New Roman" w:hAnsi="Times New Roman" w:cs="Times New Roman"/>
        </w:rPr>
        <w:t>S</w:t>
      </w:r>
      <w:r w:rsidRPr="000D73DE">
        <w:rPr>
          <w:rFonts w:ascii="Times New Roman" w:eastAsia="Times New Roman" w:hAnsi="Times New Roman" w:cs="Times New Roman"/>
        </w:rPr>
        <w:t>antos</w:t>
      </w:r>
      <w:r w:rsidRPr="002D4CE2">
        <w:rPr>
          <w:rFonts w:ascii="Times New Roman" w:eastAsia="Times New Roman" w:hAnsi="Times New Roman" w:cs="Times New Roman"/>
        </w:rPr>
        <w:t>, A. de.</w:t>
      </w:r>
      <w:r>
        <w:rPr>
          <w:rFonts w:ascii="Times New Roman" w:eastAsia="Times New Roman" w:hAnsi="Times New Roman" w:cs="Times New Roman"/>
        </w:rPr>
        <w:t xml:space="preserve"> (2022).</w:t>
      </w:r>
      <w:r w:rsidRPr="000D73DE">
        <w:rPr>
          <w:rFonts w:ascii="Times New Roman" w:eastAsia="Times New Roman" w:hAnsi="Times New Roman" w:cs="Times New Roman"/>
        </w:rPr>
        <w:t> </w:t>
      </w:r>
      <w:r w:rsidRPr="002D4CE2">
        <w:rPr>
          <w:rFonts w:ascii="Times New Roman" w:eastAsia="Times New Roman" w:hAnsi="Times New Roman" w:cs="Times New Roman"/>
          <w:i/>
          <w:iCs/>
        </w:rPr>
        <w:t>Manual de contabilidade societária</w:t>
      </w:r>
      <w:r w:rsidRPr="000D73DE">
        <w:rPr>
          <w:rFonts w:ascii="Times New Roman" w:eastAsia="Times New Roman" w:hAnsi="Times New Roman" w:cs="Times New Roman"/>
        </w:rPr>
        <w:t xml:space="preserve">. </w:t>
      </w:r>
      <w:r w:rsidRPr="002D4CE2">
        <w:rPr>
          <w:rFonts w:ascii="Times New Roman" w:eastAsia="Times New Roman" w:hAnsi="Times New Roman" w:cs="Times New Roman"/>
          <w:lang w:val="en-US"/>
        </w:rPr>
        <w:t>4. ed. São Paulo: Atlas.</w:t>
      </w:r>
    </w:p>
    <w:p w14:paraId="71143BBA" w14:textId="77777777" w:rsidR="000D73DE" w:rsidRPr="002D4CE2" w:rsidRDefault="000D73DE" w:rsidP="7C64760A">
      <w:pPr>
        <w:spacing w:after="0" w:line="240" w:lineRule="auto"/>
        <w:ind w:left="567" w:hanging="567"/>
        <w:jc w:val="both"/>
        <w:rPr>
          <w:rFonts w:ascii="Times New Roman" w:eastAsia="Times New Roman" w:hAnsi="Times New Roman" w:cs="Times New Roman"/>
          <w:lang w:val="en-US"/>
        </w:rPr>
      </w:pPr>
    </w:p>
    <w:p w14:paraId="55076F10" w14:textId="138BB10F" w:rsidR="00946FEE" w:rsidRPr="002328DC" w:rsidRDefault="241D4344" w:rsidP="7C64760A">
      <w:pPr>
        <w:spacing w:after="0" w:line="240" w:lineRule="auto"/>
        <w:ind w:left="567" w:hanging="567"/>
        <w:jc w:val="both"/>
        <w:rPr>
          <w:rFonts w:ascii="Times New Roman" w:eastAsia="Times New Roman" w:hAnsi="Times New Roman" w:cs="Times New Roman"/>
          <w:lang w:val="en-US"/>
        </w:rPr>
      </w:pPr>
      <w:r w:rsidRPr="002328DC">
        <w:rPr>
          <w:rFonts w:ascii="Times New Roman" w:eastAsia="Times New Roman" w:hAnsi="Times New Roman" w:cs="Times New Roman"/>
          <w:lang w:val="en-US"/>
        </w:rPr>
        <w:t xml:space="preserve">Khieng, S. (2014) Funding mobilization strategies of Nongovernmental organizations in Cambodia. </w:t>
      </w:r>
      <w:r w:rsidRPr="002328DC">
        <w:rPr>
          <w:rFonts w:ascii="Times New Roman" w:eastAsia="Times New Roman" w:hAnsi="Times New Roman" w:cs="Times New Roman"/>
          <w:i/>
          <w:iCs/>
          <w:lang w:val="en-US"/>
        </w:rPr>
        <w:t>Voluntas: International Journal of Voluntary and Nonprofit Organizations</w:t>
      </w:r>
      <w:r w:rsidRPr="002328DC">
        <w:rPr>
          <w:rFonts w:ascii="Times New Roman" w:eastAsia="Times New Roman" w:hAnsi="Times New Roman" w:cs="Times New Roman"/>
          <w:lang w:val="en-US"/>
        </w:rPr>
        <w:t>, 25(6), 1441-1464.</w:t>
      </w:r>
    </w:p>
    <w:p w14:paraId="6E380911" w14:textId="1EC37C02" w:rsidR="00946FEE" w:rsidRPr="002328DC" w:rsidRDefault="00946FEE" w:rsidP="7C64760A">
      <w:pPr>
        <w:spacing w:after="0" w:line="240" w:lineRule="auto"/>
        <w:ind w:left="567" w:hanging="567"/>
        <w:jc w:val="both"/>
        <w:rPr>
          <w:rFonts w:ascii="Times New Roman" w:eastAsia="Times New Roman" w:hAnsi="Times New Roman" w:cs="Times New Roman"/>
          <w:lang w:val="en-US"/>
        </w:rPr>
      </w:pPr>
    </w:p>
    <w:p w14:paraId="1169C644" w14:textId="65029974" w:rsidR="00946FEE" w:rsidRDefault="241D4344" w:rsidP="7C64760A">
      <w:pPr>
        <w:spacing w:after="0" w:line="240" w:lineRule="auto"/>
        <w:ind w:left="567" w:hanging="567"/>
        <w:jc w:val="both"/>
        <w:rPr>
          <w:rFonts w:ascii="Times New Roman" w:eastAsia="Times New Roman" w:hAnsi="Times New Roman" w:cs="Times New Roman"/>
        </w:rPr>
      </w:pPr>
      <w:r w:rsidRPr="002328DC">
        <w:rPr>
          <w:rFonts w:ascii="Times New Roman" w:eastAsia="Times New Roman" w:hAnsi="Times New Roman" w:cs="Times New Roman"/>
          <w:lang w:val="en-US"/>
        </w:rPr>
        <w:t xml:space="preserve">Nascimento, R. S. do, Rabelo, M. M. S., &amp; Viotto, R. (2020). </w:t>
      </w:r>
      <w:r w:rsidRPr="7C64760A">
        <w:rPr>
          <w:rFonts w:ascii="Times New Roman" w:eastAsia="Times New Roman" w:hAnsi="Times New Roman" w:cs="Times New Roman"/>
        </w:rPr>
        <w:t xml:space="preserve">O nível de </w:t>
      </w:r>
      <w:r w:rsidRPr="7C64760A">
        <w:rPr>
          <w:rFonts w:ascii="Times New Roman" w:eastAsia="Times New Roman" w:hAnsi="Times New Roman" w:cs="Times New Roman"/>
          <w:i/>
          <w:iCs/>
        </w:rPr>
        <w:t>disclosure</w:t>
      </w:r>
      <w:r w:rsidRPr="7C64760A">
        <w:rPr>
          <w:rFonts w:ascii="Times New Roman" w:eastAsia="Times New Roman" w:hAnsi="Times New Roman" w:cs="Times New Roman"/>
        </w:rPr>
        <w:t xml:space="preserve"> em Organizações do Terceiro Setor (OTS) no Estado do Ceará. </w:t>
      </w:r>
      <w:r w:rsidRPr="7C64760A">
        <w:rPr>
          <w:rFonts w:ascii="Times New Roman" w:eastAsia="Times New Roman" w:hAnsi="Times New Roman" w:cs="Times New Roman"/>
          <w:i/>
          <w:iCs/>
        </w:rPr>
        <w:t>Revista Ambiente Contábil</w:t>
      </w:r>
      <w:r w:rsidRPr="7C64760A">
        <w:rPr>
          <w:rFonts w:ascii="Times New Roman" w:eastAsia="Times New Roman" w:hAnsi="Times New Roman" w:cs="Times New Roman"/>
        </w:rPr>
        <w:t>, v. 12, n. 1, doi.org/10.21680/2176-9036.2020v12n1ID16503.</w:t>
      </w:r>
    </w:p>
    <w:p w14:paraId="74643AE0" w14:textId="1F412757" w:rsidR="00946FEE" w:rsidRDefault="00946FEE" w:rsidP="7C64760A">
      <w:pPr>
        <w:spacing w:after="0" w:line="240" w:lineRule="auto"/>
        <w:ind w:left="567" w:hanging="567"/>
        <w:jc w:val="both"/>
        <w:rPr>
          <w:rFonts w:ascii="Times New Roman" w:eastAsia="Times New Roman" w:hAnsi="Times New Roman" w:cs="Times New Roman"/>
        </w:rPr>
      </w:pPr>
    </w:p>
    <w:p w14:paraId="7A36B03A" w14:textId="1CC5D343" w:rsidR="00946FEE" w:rsidRDefault="241D4344" w:rsidP="7C64760A">
      <w:pPr>
        <w:spacing w:after="0" w:line="240" w:lineRule="auto"/>
        <w:ind w:left="567" w:hanging="567"/>
        <w:jc w:val="both"/>
        <w:rPr>
          <w:rFonts w:ascii="Times New Roman" w:eastAsia="Times New Roman" w:hAnsi="Times New Roman" w:cs="Times New Roman"/>
        </w:rPr>
      </w:pPr>
      <w:r w:rsidRPr="7C64760A">
        <w:rPr>
          <w:rFonts w:ascii="Times New Roman" w:eastAsia="Times New Roman" w:hAnsi="Times New Roman" w:cs="Times New Roman"/>
        </w:rPr>
        <w:t>Paes, J. E. S. (2001)</w:t>
      </w:r>
      <w:r w:rsidR="005E62E4">
        <w:rPr>
          <w:rFonts w:ascii="Times New Roman" w:eastAsia="Times New Roman" w:hAnsi="Times New Roman" w:cs="Times New Roman"/>
        </w:rPr>
        <w:t>.</w:t>
      </w:r>
      <w:r w:rsidRPr="7C64760A">
        <w:rPr>
          <w:rFonts w:ascii="Times New Roman" w:eastAsia="Times New Roman" w:hAnsi="Times New Roman" w:cs="Times New Roman"/>
        </w:rPr>
        <w:t xml:space="preserve"> </w:t>
      </w:r>
      <w:r w:rsidRPr="7C64760A">
        <w:rPr>
          <w:rFonts w:ascii="Times New Roman" w:eastAsia="Times New Roman" w:hAnsi="Times New Roman" w:cs="Times New Roman"/>
          <w:i/>
          <w:iCs/>
        </w:rPr>
        <w:t>Fundações e Entidades de Interesse Social</w:t>
      </w:r>
      <w:r w:rsidRPr="7C64760A">
        <w:rPr>
          <w:rFonts w:ascii="Times New Roman" w:eastAsia="Times New Roman" w:hAnsi="Times New Roman" w:cs="Times New Roman"/>
        </w:rPr>
        <w:t>: Aspectos jurídicos, administrativos, contábeis e tributários. 3. ed. Brasília: Brasília Jurídica.</w:t>
      </w:r>
    </w:p>
    <w:p w14:paraId="3EE20F9D" w14:textId="77777777" w:rsidR="007620F0" w:rsidRDefault="007620F0" w:rsidP="7C64760A">
      <w:pPr>
        <w:spacing w:after="0" w:line="240" w:lineRule="auto"/>
        <w:ind w:left="567" w:hanging="567"/>
        <w:jc w:val="both"/>
        <w:rPr>
          <w:rFonts w:ascii="Times New Roman" w:eastAsia="Times New Roman" w:hAnsi="Times New Roman" w:cs="Times New Roman"/>
        </w:rPr>
      </w:pPr>
    </w:p>
    <w:p w14:paraId="16DEA58A" w14:textId="07678B32" w:rsidR="007620F0" w:rsidRPr="00430A84" w:rsidRDefault="007620F0" w:rsidP="7C64760A">
      <w:pPr>
        <w:spacing w:after="0" w:line="240" w:lineRule="auto"/>
        <w:ind w:left="567" w:hanging="567"/>
        <w:jc w:val="both"/>
        <w:rPr>
          <w:rFonts w:ascii="Times New Roman" w:eastAsia="Times New Roman" w:hAnsi="Times New Roman" w:cs="Times New Roman"/>
        </w:rPr>
      </w:pPr>
      <w:r w:rsidRPr="00430A84">
        <w:rPr>
          <w:rFonts w:ascii="Times New Roman" w:eastAsia="Times New Roman" w:hAnsi="Times New Roman" w:cs="Times New Roman"/>
        </w:rPr>
        <w:t>Paes, J. E. S. (20</w:t>
      </w:r>
      <w:r w:rsidR="00430A84" w:rsidRPr="00430A84">
        <w:rPr>
          <w:rFonts w:ascii="Times New Roman" w:eastAsia="Times New Roman" w:hAnsi="Times New Roman" w:cs="Times New Roman"/>
        </w:rPr>
        <w:t>01</w:t>
      </w:r>
      <w:r w:rsidRPr="00430A84">
        <w:rPr>
          <w:rFonts w:ascii="Times New Roman" w:eastAsia="Times New Roman" w:hAnsi="Times New Roman" w:cs="Times New Roman"/>
        </w:rPr>
        <w:t>)</w:t>
      </w:r>
      <w:r w:rsidR="00430A84" w:rsidRPr="00430A84">
        <w:rPr>
          <w:rFonts w:ascii="Times New Roman" w:eastAsia="Times New Roman" w:hAnsi="Times New Roman" w:cs="Times New Roman"/>
        </w:rPr>
        <w:t xml:space="preserve">. </w:t>
      </w:r>
      <w:r w:rsidR="00430A84" w:rsidRPr="002D4CE2">
        <w:rPr>
          <w:rFonts w:ascii="Times New Roman" w:eastAsia="Times New Roman" w:hAnsi="Times New Roman" w:cs="Times New Roman"/>
          <w:i/>
          <w:iCs/>
        </w:rPr>
        <w:t>Fundações, associações e entidades de interesse social:</w:t>
      </w:r>
      <w:r w:rsidR="00430A84" w:rsidRPr="002D4CE2">
        <w:rPr>
          <w:rFonts w:ascii="Times New Roman" w:eastAsia="Times New Roman" w:hAnsi="Times New Roman" w:cs="Times New Roman"/>
        </w:rPr>
        <w:t xml:space="preserve"> aspectos jurídicos, administrativos, contabilísticos e tributários. 3. Ed. São Paulo: Forense.</w:t>
      </w:r>
    </w:p>
    <w:p w14:paraId="1A014102" w14:textId="13371A26" w:rsidR="00946FEE" w:rsidRDefault="00946FEE" w:rsidP="7C64760A">
      <w:pPr>
        <w:spacing w:after="0" w:line="240" w:lineRule="auto"/>
        <w:ind w:left="567" w:hanging="567"/>
        <w:jc w:val="both"/>
        <w:rPr>
          <w:rFonts w:ascii="Times New Roman" w:eastAsia="Times New Roman" w:hAnsi="Times New Roman" w:cs="Times New Roman"/>
        </w:rPr>
      </w:pPr>
    </w:p>
    <w:p w14:paraId="6BC7D903" w14:textId="0DE682C2" w:rsidR="00946FEE" w:rsidRPr="002328DC" w:rsidRDefault="241D4344" w:rsidP="7C64760A">
      <w:pPr>
        <w:spacing w:after="0" w:line="240" w:lineRule="auto"/>
        <w:ind w:left="567" w:hanging="567"/>
        <w:jc w:val="both"/>
        <w:rPr>
          <w:rFonts w:ascii="Times New Roman" w:eastAsia="Times New Roman" w:hAnsi="Times New Roman" w:cs="Times New Roman"/>
          <w:lang w:val="en-US"/>
        </w:rPr>
      </w:pPr>
      <w:r w:rsidRPr="002D4CE2">
        <w:rPr>
          <w:rFonts w:ascii="Times New Roman" w:eastAsia="Times New Roman" w:hAnsi="Times New Roman" w:cs="Times New Roman"/>
        </w:rPr>
        <w:t xml:space="preserve">Salamon, L. M.; Anheier, H. K. (1997). </w:t>
      </w:r>
      <w:r w:rsidRPr="002328DC">
        <w:rPr>
          <w:rFonts w:ascii="Times New Roman" w:eastAsia="Times New Roman" w:hAnsi="Times New Roman" w:cs="Times New Roman"/>
          <w:i/>
          <w:iCs/>
          <w:lang w:val="en-US"/>
        </w:rPr>
        <w:t>Defining the nonprofit sector</w:t>
      </w:r>
      <w:r w:rsidRPr="002328DC">
        <w:rPr>
          <w:rFonts w:ascii="Times New Roman" w:eastAsia="Times New Roman" w:hAnsi="Times New Roman" w:cs="Times New Roman"/>
          <w:lang w:val="en-US"/>
        </w:rPr>
        <w:t>. Baltimore: John Hopkins University Press.</w:t>
      </w:r>
    </w:p>
    <w:p w14:paraId="542B4CBE" w14:textId="4BBD4C3A" w:rsidR="00946FEE" w:rsidRPr="002328DC" w:rsidRDefault="00946FEE" w:rsidP="7C64760A">
      <w:pPr>
        <w:spacing w:after="0" w:line="240" w:lineRule="auto"/>
        <w:ind w:left="567" w:hanging="567"/>
        <w:jc w:val="both"/>
        <w:rPr>
          <w:rFonts w:ascii="Times New Roman" w:eastAsia="Times New Roman" w:hAnsi="Times New Roman" w:cs="Times New Roman"/>
          <w:lang w:val="en-US"/>
        </w:rPr>
      </w:pPr>
    </w:p>
    <w:p w14:paraId="2FA0A50C" w14:textId="02C39CF0" w:rsidR="00946FEE" w:rsidRDefault="241D4344" w:rsidP="7C64760A">
      <w:pPr>
        <w:spacing w:after="0" w:line="240" w:lineRule="auto"/>
        <w:ind w:left="567" w:hanging="567"/>
        <w:jc w:val="both"/>
        <w:rPr>
          <w:rFonts w:ascii="Times New Roman" w:eastAsia="Times New Roman" w:hAnsi="Times New Roman" w:cs="Times New Roman"/>
        </w:rPr>
      </w:pPr>
      <w:r w:rsidRPr="7C64760A">
        <w:rPr>
          <w:rFonts w:ascii="Times New Roman" w:eastAsia="Times New Roman" w:hAnsi="Times New Roman" w:cs="Times New Roman"/>
        </w:rPr>
        <w:t xml:space="preserve">Santos, C. M. V. dos, Ohayon, P., &amp; Pimenta, M. M. (2017). Divulgação via site e as características das empresas do terceiro setor: um estudo empírico das entidades cariocas. </w:t>
      </w:r>
      <w:r w:rsidRPr="7C64760A">
        <w:rPr>
          <w:rFonts w:ascii="Times New Roman" w:eastAsia="Times New Roman" w:hAnsi="Times New Roman" w:cs="Times New Roman"/>
          <w:i/>
          <w:iCs/>
        </w:rPr>
        <w:t>Avanços na contabilidade científica e aplicada</w:t>
      </w:r>
      <w:r w:rsidRPr="7C64760A">
        <w:rPr>
          <w:rFonts w:ascii="Times New Roman" w:eastAsia="Times New Roman" w:hAnsi="Times New Roman" w:cs="Times New Roman"/>
        </w:rPr>
        <w:t>, 10 (1), 073–090.</w:t>
      </w:r>
    </w:p>
    <w:p w14:paraId="2A2944BB" w14:textId="77777777" w:rsidR="00CF655B" w:rsidRDefault="00CF655B" w:rsidP="7C64760A">
      <w:pPr>
        <w:spacing w:after="0" w:line="240" w:lineRule="auto"/>
        <w:ind w:left="567" w:hanging="567"/>
        <w:jc w:val="both"/>
        <w:rPr>
          <w:rFonts w:ascii="Times New Roman" w:eastAsia="Times New Roman" w:hAnsi="Times New Roman" w:cs="Times New Roman"/>
        </w:rPr>
      </w:pPr>
    </w:p>
    <w:p w14:paraId="721FCE07" w14:textId="5388E7D4" w:rsidR="00CF655B" w:rsidRPr="00CF655B" w:rsidRDefault="00CF655B" w:rsidP="7C64760A">
      <w:pPr>
        <w:spacing w:after="0" w:line="240" w:lineRule="auto"/>
        <w:ind w:left="567" w:hanging="567"/>
        <w:jc w:val="both"/>
        <w:rPr>
          <w:rFonts w:ascii="Times New Roman" w:eastAsia="Times New Roman" w:hAnsi="Times New Roman" w:cs="Times New Roman"/>
        </w:rPr>
      </w:pPr>
      <w:r w:rsidRPr="00CF655B">
        <w:rPr>
          <w:rFonts w:ascii="Times New Roman" w:eastAsia="Times New Roman" w:hAnsi="Times New Roman" w:cs="Times New Roman"/>
        </w:rPr>
        <w:t xml:space="preserve">Slonski, V. (2001). </w:t>
      </w:r>
      <w:r w:rsidRPr="002D4CE2">
        <w:rPr>
          <w:rFonts w:ascii="Times New Roman" w:eastAsia="Times New Roman" w:hAnsi="Times New Roman" w:cs="Times New Roman"/>
          <w:i/>
          <w:iCs/>
        </w:rPr>
        <w:t>Manual de contabilidade pública</w:t>
      </w:r>
      <w:r w:rsidRPr="00CF655B">
        <w:rPr>
          <w:rFonts w:ascii="Times New Roman" w:eastAsia="Times New Roman" w:hAnsi="Times New Roman" w:cs="Times New Roman"/>
        </w:rPr>
        <w:t>: um enfoque na contabilidade municipal, de acordo com a Lei de Responsabilidade Fiscal. </w:t>
      </w:r>
      <w:r w:rsidRPr="002D4CE2">
        <w:rPr>
          <w:rFonts w:ascii="Times New Roman" w:eastAsia="Times New Roman" w:hAnsi="Times New Roman" w:cs="Times New Roman"/>
        </w:rPr>
        <w:t>São Paulo: Atlas</w:t>
      </w:r>
      <w:r w:rsidRPr="00CF655B">
        <w:rPr>
          <w:rFonts w:ascii="Times New Roman" w:eastAsia="Times New Roman" w:hAnsi="Times New Roman" w:cs="Times New Roman"/>
        </w:rPr>
        <w:t>.</w:t>
      </w:r>
    </w:p>
    <w:p w14:paraId="5CB9842E" w14:textId="13EC8ED2" w:rsidR="00946FEE" w:rsidRDefault="00946FEE" w:rsidP="7C64760A">
      <w:pPr>
        <w:spacing w:after="0" w:line="240" w:lineRule="auto"/>
        <w:ind w:left="567" w:hanging="567"/>
        <w:jc w:val="both"/>
        <w:rPr>
          <w:rFonts w:ascii="Times New Roman" w:eastAsia="Times New Roman" w:hAnsi="Times New Roman" w:cs="Times New Roman"/>
        </w:rPr>
      </w:pPr>
    </w:p>
    <w:p w14:paraId="32C33927" w14:textId="248C4B40" w:rsidR="00946FEE" w:rsidRDefault="241D4344" w:rsidP="7C64760A">
      <w:pPr>
        <w:spacing w:after="0" w:line="240" w:lineRule="auto"/>
        <w:ind w:left="567" w:hanging="567"/>
        <w:jc w:val="both"/>
        <w:rPr>
          <w:rFonts w:ascii="Times New Roman" w:eastAsia="Times New Roman" w:hAnsi="Times New Roman" w:cs="Times New Roman"/>
        </w:rPr>
      </w:pPr>
      <w:r w:rsidRPr="7C64760A">
        <w:rPr>
          <w:rFonts w:ascii="Times New Roman" w:eastAsia="Times New Roman" w:hAnsi="Times New Roman" w:cs="Times New Roman"/>
        </w:rPr>
        <w:lastRenderedPageBreak/>
        <w:t xml:space="preserve">Tello‐Gamarra, L., &amp; Verschoore, J. R. (2015). O desenvolvimento das competências coletivas no terceiro setor. </w:t>
      </w:r>
      <w:r w:rsidRPr="7C64760A">
        <w:rPr>
          <w:rFonts w:ascii="Times New Roman" w:eastAsia="Times New Roman" w:hAnsi="Times New Roman" w:cs="Times New Roman"/>
          <w:i/>
          <w:iCs/>
        </w:rPr>
        <w:t>Suma de Negócios</w:t>
      </w:r>
      <w:r w:rsidRPr="7C64760A">
        <w:rPr>
          <w:rFonts w:ascii="Times New Roman" w:eastAsia="Times New Roman" w:hAnsi="Times New Roman" w:cs="Times New Roman"/>
        </w:rPr>
        <w:t>, v. 6, Issue 14, p. 194-203, doi.org/10.1016/j.sumneg.2015.10.002.</w:t>
      </w:r>
    </w:p>
    <w:p w14:paraId="1902E7D2" w14:textId="33FB170C" w:rsidR="00946FEE" w:rsidRDefault="00946FEE" w:rsidP="7C64760A">
      <w:pPr>
        <w:spacing w:after="0" w:line="240" w:lineRule="auto"/>
        <w:ind w:left="567" w:hanging="567"/>
        <w:jc w:val="both"/>
        <w:rPr>
          <w:rFonts w:ascii="Times New Roman" w:eastAsia="Times New Roman" w:hAnsi="Times New Roman" w:cs="Times New Roman"/>
        </w:rPr>
      </w:pPr>
    </w:p>
    <w:p w14:paraId="60E13122" w14:textId="6E1701F0" w:rsidR="00946FEE" w:rsidRPr="002328DC" w:rsidRDefault="241D4344" w:rsidP="7C64760A">
      <w:pPr>
        <w:spacing w:after="0" w:line="240" w:lineRule="auto"/>
        <w:ind w:left="567" w:hanging="567"/>
        <w:jc w:val="both"/>
        <w:rPr>
          <w:rFonts w:ascii="Times New Roman" w:eastAsia="Times New Roman" w:hAnsi="Times New Roman" w:cs="Times New Roman"/>
          <w:lang w:val="en-US"/>
        </w:rPr>
      </w:pPr>
      <w:r w:rsidRPr="002328DC">
        <w:rPr>
          <w:rFonts w:ascii="Times New Roman" w:eastAsia="Times New Roman" w:hAnsi="Times New Roman" w:cs="Times New Roman"/>
          <w:lang w:val="en-US"/>
        </w:rPr>
        <w:t xml:space="preserve">Verrechia, R. (2001). Essays on disclosure. </w:t>
      </w:r>
      <w:r w:rsidRPr="002328DC">
        <w:rPr>
          <w:rFonts w:ascii="Times New Roman" w:eastAsia="Times New Roman" w:hAnsi="Times New Roman" w:cs="Times New Roman"/>
          <w:i/>
          <w:iCs/>
          <w:lang w:val="en-US"/>
        </w:rPr>
        <w:t>Journal of Accounting and Economics</w:t>
      </w:r>
      <w:r w:rsidRPr="002328DC">
        <w:rPr>
          <w:rFonts w:ascii="Times New Roman" w:eastAsia="Times New Roman" w:hAnsi="Times New Roman" w:cs="Times New Roman"/>
          <w:lang w:val="en-US"/>
        </w:rPr>
        <w:t>, 32(1-3), 97-180.</w:t>
      </w:r>
    </w:p>
    <w:p w14:paraId="4512061A" w14:textId="7F743509" w:rsidR="00946FEE" w:rsidRPr="002328DC" w:rsidRDefault="00946FEE" w:rsidP="30909213">
      <w:pPr>
        <w:spacing w:after="0" w:line="240" w:lineRule="auto"/>
        <w:jc w:val="both"/>
        <w:rPr>
          <w:rFonts w:ascii="Times New Roman" w:eastAsia="Times New Roman" w:hAnsi="Times New Roman" w:cs="Times New Roman"/>
          <w:color w:val="FF0000"/>
          <w:lang w:val="en-US"/>
        </w:rPr>
      </w:pPr>
    </w:p>
    <w:p w14:paraId="457984EC" w14:textId="618E2351" w:rsidR="00946FEE" w:rsidRPr="002328DC" w:rsidRDefault="00946FEE" w:rsidP="30909213">
      <w:pPr>
        <w:spacing w:after="0" w:line="240" w:lineRule="auto"/>
        <w:jc w:val="both"/>
        <w:rPr>
          <w:rFonts w:ascii="Times New Roman" w:eastAsia="Times New Roman" w:hAnsi="Times New Roman" w:cs="Times New Roman"/>
          <w:color w:val="FF0000"/>
          <w:lang w:val="en-US"/>
        </w:rPr>
      </w:pPr>
    </w:p>
    <w:p w14:paraId="1601597E" w14:textId="11EC0EFC" w:rsidR="00946FEE" w:rsidRPr="002328DC" w:rsidRDefault="00946FEE" w:rsidP="30909213">
      <w:pPr>
        <w:spacing w:after="0" w:line="240" w:lineRule="auto"/>
        <w:jc w:val="both"/>
        <w:rPr>
          <w:rFonts w:ascii="Times New Roman" w:eastAsia="Times New Roman" w:hAnsi="Times New Roman" w:cs="Times New Roman"/>
          <w:color w:val="FF0000"/>
          <w:lang w:val="en-US"/>
        </w:rPr>
      </w:pPr>
    </w:p>
    <w:p w14:paraId="24BD4093" w14:textId="07DA0090" w:rsidR="00946FEE" w:rsidRDefault="241D4344" w:rsidP="7C64760A">
      <w:pPr>
        <w:spacing w:after="0" w:line="240" w:lineRule="auto"/>
        <w:jc w:val="both"/>
        <w:rPr>
          <w:rFonts w:ascii="Times New Roman" w:eastAsia="Times New Roman" w:hAnsi="Times New Roman" w:cs="Times New Roman"/>
        </w:rPr>
      </w:pPr>
      <w:r w:rsidRPr="7C64760A">
        <w:rPr>
          <w:rFonts w:ascii="Times New Roman" w:eastAsia="Times New Roman" w:hAnsi="Times New Roman" w:cs="Times New Roman"/>
          <w:b/>
          <w:bCs/>
        </w:rPr>
        <w:t>APÊNDICES</w:t>
      </w:r>
    </w:p>
    <w:p w14:paraId="3688E41D" w14:textId="4856ED3F" w:rsidR="00946FEE" w:rsidRDefault="00946FEE" w:rsidP="7C64760A">
      <w:pPr>
        <w:spacing w:after="0" w:line="240" w:lineRule="auto"/>
        <w:jc w:val="both"/>
        <w:rPr>
          <w:rFonts w:ascii="Times New Roman" w:eastAsia="Times New Roman" w:hAnsi="Times New Roman" w:cs="Times New Roman"/>
        </w:rPr>
      </w:pPr>
    </w:p>
    <w:p w14:paraId="01AD3899" w14:textId="6133215C" w:rsidR="56B21466" w:rsidRDefault="56B21466" w:rsidP="7C64760A">
      <w:pPr>
        <w:spacing w:after="0" w:line="240" w:lineRule="auto"/>
        <w:rPr>
          <w:rFonts w:ascii="Times New Roman" w:eastAsia="Times New Roman" w:hAnsi="Times New Roman" w:cs="Times New Roman"/>
          <w:b/>
          <w:bCs/>
          <w:sz w:val="20"/>
          <w:szCs w:val="20"/>
        </w:rPr>
      </w:pPr>
      <w:r w:rsidRPr="7C64760A">
        <w:rPr>
          <w:rFonts w:ascii="Times New Roman" w:eastAsia="Times New Roman" w:hAnsi="Times New Roman" w:cs="Times New Roman"/>
          <w:b/>
          <w:bCs/>
          <w:sz w:val="20"/>
          <w:szCs w:val="20"/>
        </w:rPr>
        <w:t>Apêndice A</w:t>
      </w:r>
    </w:p>
    <w:p w14:paraId="2C79991A" w14:textId="7327AC2E" w:rsidR="56B21466" w:rsidRDefault="56B21466" w:rsidP="7C64760A">
      <w:pPr>
        <w:spacing w:after="0" w:line="240" w:lineRule="auto"/>
        <w:rPr>
          <w:rFonts w:ascii="Times New Roman" w:eastAsia="Times New Roman" w:hAnsi="Times New Roman" w:cs="Times New Roman"/>
          <w:i/>
          <w:iCs/>
          <w:sz w:val="20"/>
          <w:szCs w:val="20"/>
        </w:rPr>
      </w:pPr>
      <w:r w:rsidRPr="7C64760A">
        <w:rPr>
          <w:rFonts w:ascii="Times New Roman" w:eastAsia="Times New Roman" w:hAnsi="Times New Roman" w:cs="Times New Roman"/>
          <w:i/>
          <w:iCs/>
          <w:sz w:val="20"/>
          <w:szCs w:val="20"/>
        </w:rPr>
        <w:t>Composição das Receitas Arrecadadas pelas Fundações de Apoio (Exercício 2022)</w:t>
      </w:r>
    </w:p>
    <w:tbl>
      <w:tblPr>
        <w:tblStyle w:val="SimplesTabela2"/>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201"/>
        <w:gridCol w:w="1817"/>
        <w:gridCol w:w="1900"/>
        <w:gridCol w:w="1277"/>
        <w:gridCol w:w="1626"/>
        <w:gridCol w:w="1234"/>
      </w:tblGrid>
      <w:tr w:rsidR="30909213" w14:paraId="0822C0F1" w14:textId="77777777" w:rsidTr="7C64760A">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200" w:type="dxa"/>
            <w:tcBorders>
              <w:bottom w:val="single" w:sz="6" w:space="0" w:color="000000" w:themeColor="text1"/>
            </w:tcBorders>
            <w:tcMar>
              <w:left w:w="105" w:type="dxa"/>
              <w:right w:w="105" w:type="dxa"/>
            </w:tcMar>
          </w:tcPr>
          <w:p w14:paraId="7E55C2E0" w14:textId="06F22B4D" w:rsidR="30909213" w:rsidRDefault="1A4C1059" w:rsidP="7C64760A">
            <w:pPr>
              <w:jc w:val="cente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Fundação</w:t>
            </w:r>
          </w:p>
        </w:tc>
        <w:tc>
          <w:tcPr>
            <w:tcW w:w="1845" w:type="dxa"/>
            <w:tcBorders>
              <w:bottom w:val="single" w:sz="6" w:space="0" w:color="000000" w:themeColor="text1"/>
            </w:tcBorders>
            <w:tcMar>
              <w:left w:w="105" w:type="dxa"/>
              <w:right w:w="105" w:type="dxa"/>
            </w:tcMar>
          </w:tcPr>
          <w:p w14:paraId="4D125436" w14:textId="52AF8D58" w:rsidR="30909213" w:rsidRDefault="1A4C1059" w:rsidP="7C64760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7C64760A">
              <w:rPr>
                <w:rFonts w:ascii="Times New Roman" w:eastAsia="Times New Roman" w:hAnsi="Times New Roman" w:cs="Times New Roman"/>
                <w:sz w:val="20"/>
                <w:szCs w:val="20"/>
              </w:rPr>
              <w:t>Transferências Públicas (milhões R$)</w:t>
            </w:r>
          </w:p>
        </w:tc>
        <w:tc>
          <w:tcPr>
            <w:tcW w:w="1935" w:type="dxa"/>
            <w:tcBorders>
              <w:bottom w:val="single" w:sz="6" w:space="0" w:color="000000" w:themeColor="text1"/>
            </w:tcBorders>
            <w:tcMar>
              <w:left w:w="105" w:type="dxa"/>
              <w:right w:w="105" w:type="dxa"/>
            </w:tcMar>
          </w:tcPr>
          <w:p w14:paraId="0C748EC2" w14:textId="01881FD2" w:rsidR="30909213" w:rsidRDefault="1A4C1059" w:rsidP="7C64760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7C64760A">
              <w:rPr>
                <w:rFonts w:ascii="Times New Roman" w:eastAsia="Times New Roman" w:hAnsi="Times New Roman" w:cs="Times New Roman"/>
                <w:sz w:val="20"/>
                <w:szCs w:val="20"/>
              </w:rPr>
              <w:t>Transferências Internacionais (milhões R$)</w:t>
            </w:r>
          </w:p>
        </w:tc>
        <w:tc>
          <w:tcPr>
            <w:tcW w:w="1305" w:type="dxa"/>
            <w:tcBorders>
              <w:bottom w:val="single" w:sz="6" w:space="0" w:color="000000" w:themeColor="text1"/>
            </w:tcBorders>
            <w:tcMar>
              <w:left w:w="105" w:type="dxa"/>
              <w:right w:w="105" w:type="dxa"/>
            </w:tcMar>
          </w:tcPr>
          <w:p w14:paraId="6A344A3D" w14:textId="42EDB630" w:rsidR="30909213" w:rsidRDefault="1A4C1059" w:rsidP="7C64760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7C64760A">
              <w:rPr>
                <w:rFonts w:ascii="Times New Roman" w:eastAsia="Times New Roman" w:hAnsi="Times New Roman" w:cs="Times New Roman"/>
                <w:sz w:val="20"/>
                <w:szCs w:val="20"/>
              </w:rPr>
              <w:t>Receitas Próprias (milhões R$)</w:t>
            </w:r>
          </w:p>
        </w:tc>
        <w:tc>
          <w:tcPr>
            <w:tcW w:w="1680" w:type="dxa"/>
            <w:tcBorders>
              <w:bottom w:val="single" w:sz="6" w:space="0" w:color="000000" w:themeColor="text1"/>
            </w:tcBorders>
            <w:tcMar>
              <w:left w:w="105" w:type="dxa"/>
              <w:right w:w="105" w:type="dxa"/>
            </w:tcMar>
          </w:tcPr>
          <w:p w14:paraId="61244638" w14:textId="01721785" w:rsidR="30909213" w:rsidRDefault="1A4C1059" w:rsidP="7C64760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7C64760A">
              <w:rPr>
                <w:rFonts w:ascii="Times New Roman" w:eastAsia="Times New Roman" w:hAnsi="Times New Roman" w:cs="Times New Roman"/>
                <w:sz w:val="20"/>
                <w:szCs w:val="20"/>
              </w:rPr>
              <w:t>Receitas de Pessoas Físicas e Jurídicas (milhões R$)</w:t>
            </w:r>
          </w:p>
        </w:tc>
        <w:tc>
          <w:tcPr>
            <w:tcW w:w="1260" w:type="dxa"/>
            <w:tcBorders>
              <w:bottom w:val="single" w:sz="6" w:space="0" w:color="000000" w:themeColor="text1"/>
            </w:tcBorders>
            <w:tcMar>
              <w:left w:w="105" w:type="dxa"/>
              <w:right w:w="105" w:type="dxa"/>
            </w:tcMar>
          </w:tcPr>
          <w:p w14:paraId="209EB812" w14:textId="252E6213" w:rsidR="30909213" w:rsidRDefault="1A4C1059" w:rsidP="7C64760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7C64760A">
              <w:rPr>
                <w:rFonts w:ascii="Times New Roman" w:eastAsia="Times New Roman" w:hAnsi="Times New Roman" w:cs="Times New Roman"/>
                <w:sz w:val="20"/>
                <w:szCs w:val="20"/>
              </w:rPr>
              <w:t>Outras Receitas (milhões R$)</w:t>
            </w:r>
          </w:p>
        </w:tc>
      </w:tr>
      <w:tr w:rsidR="30909213" w14:paraId="3795D380" w14:textId="77777777" w:rsidTr="7C64760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single" w:sz="6" w:space="0" w:color="000000" w:themeColor="text1"/>
            </w:tcBorders>
            <w:tcMar>
              <w:left w:w="105" w:type="dxa"/>
              <w:right w:w="105" w:type="dxa"/>
            </w:tcMar>
          </w:tcPr>
          <w:p w14:paraId="6421B3FF" w14:textId="21881EC6"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FAPAC</w:t>
            </w:r>
          </w:p>
        </w:tc>
        <w:tc>
          <w:tcPr>
            <w:tcW w:w="1845" w:type="dxa"/>
            <w:tcBorders>
              <w:top w:val="single" w:sz="6" w:space="0" w:color="000000" w:themeColor="text1"/>
              <w:bottom w:val="single" w:sz="6" w:space="0" w:color="000000" w:themeColor="text1"/>
            </w:tcBorders>
            <w:tcMar>
              <w:left w:w="105" w:type="dxa"/>
              <w:right w:w="105" w:type="dxa"/>
            </w:tcMar>
          </w:tcPr>
          <w:p w14:paraId="1C1FCC76" w14:textId="4FC86D43"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30.020</w:t>
            </w:r>
          </w:p>
        </w:tc>
        <w:tc>
          <w:tcPr>
            <w:tcW w:w="1935" w:type="dxa"/>
            <w:tcBorders>
              <w:top w:val="single" w:sz="6" w:space="0" w:color="000000" w:themeColor="text1"/>
              <w:bottom w:val="single" w:sz="6" w:space="0" w:color="000000" w:themeColor="text1"/>
            </w:tcBorders>
            <w:tcMar>
              <w:left w:w="105" w:type="dxa"/>
              <w:right w:w="105" w:type="dxa"/>
            </w:tcMar>
          </w:tcPr>
          <w:p w14:paraId="083319A3" w14:textId="14647D54"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22.610</w:t>
            </w:r>
          </w:p>
        </w:tc>
        <w:tc>
          <w:tcPr>
            <w:tcW w:w="1305" w:type="dxa"/>
            <w:tcBorders>
              <w:top w:val="single" w:sz="6" w:space="0" w:color="000000" w:themeColor="text1"/>
              <w:bottom w:val="single" w:sz="6" w:space="0" w:color="000000" w:themeColor="text1"/>
            </w:tcBorders>
            <w:tcMar>
              <w:left w:w="105" w:type="dxa"/>
              <w:right w:w="105" w:type="dxa"/>
            </w:tcMar>
          </w:tcPr>
          <w:p w14:paraId="5E78E549" w14:textId="5EB63663"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6.030</w:t>
            </w:r>
          </w:p>
        </w:tc>
        <w:tc>
          <w:tcPr>
            <w:tcW w:w="1680" w:type="dxa"/>
            <w:tcBorders>
              <w:top w:val="single" w:sz="6" w:space="0" w:color="000000" w:themeColor="text1"/>
              <w:bottom w:val="single" w:sz="6" w:space="0" w:color="000000" w:themeColor="text1"/>
            </w:tcBorders>
            <w:tcMar>
              <w:left w:w="105" w:type="dxa"/>
              <w:right w:w="105" w:type="dxa"/>
            </w:tcMar>
          </w:tcPr>
          <w:p w14:paraId="230F57CB" w14:textId="4B3C20BD"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5.320</w:t>
            </w:r>
          </w:p>
        </w:tc>
        <w:tc>
          <w:tcPr>
            <w:tcW w:w="1260" w:type="dxa"/>
            <w:tcBorders>
              <w:top w:val="single" w:sz="6" w:space="0" w:color="000000" w:themeColor="text1"/>
              <w:bottom w:val="single" w:sz="6" w:space="0" w:color="000000" w:themeColor="text1"/>
            </w:tcBorders>
            <w:tcMar>
              <w:left w:w="105" w:type="dxa"/>
              <w:right w:w="105" w:type="dxa"/>
            </w:tcMar>
          </w:tcPr>
          <w:p w14:paraId="0633DDD3" w14:textId="1ADCDAF7"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1.150</w:t>
            </w:r>
          </w:p>
        </w:tc>
      </w:tr>
      <w:tr w:rsidR="30909213" w14:paraId="4D670CC4" w14:textId="77777777" w:rsidTr="7C64760A">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nil"/>
            </w:tcBorders>
            <w:tcMar>
              <w:left w:w="105" w:type="dxa"/>
              <w:right w:w="105" w:type="dxa"/>
            </w:tcMar>
          </w:tcPr>
          <w:p w14:paraId="44BB6B05" w14:textId="2B8A1D13"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PAFEAL</w:t>
            </w:r>
          </w:p>
        </w:tc>
        <w:tc>
          <w:tcPr>
            <w:tcW w:w="1845" w:type="dxa"/>
            <w:tcBorders>
              <w:top w:val="single" w:sz="6" w:space="0" w:color="000000" w:themeColor="text1"/>
              <w:bottom w:val="nil"/>
            </w:tcBorders>
            <w:tcMar>
              <w:left w:w="105" w:type="dxa"/>
              <w:right w:w="105" w:type="dxa"/>
            </w:tcMar>
          </w:tcPr>
          <w:p w14:paraId="7A7AE137" w14:textId="4FD894A5"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47.450</w:t>
            </w:r>
          </w:p>
        </w:tc>
        <w:tc>
          <w:tcPr>
            <w:tcW w:w="1935" w:type="dxa"/>
            <w:tcBorders>
              <w:top w:val="single" w:sz="6" w:space="0" w:color="000000" w:themeColor="text1"/>
              <w:bottom w:val="nil"/>
            </w:tcBorders>
            <w:tcMar>
              <w:left w:w="105" w:type="dxa"/>
              <w:right w:w="105" w:type="dxa"/>
            </w:tcMar>
          </w:tcPr>
          <w:p w14:paraId="085D6F22" w14:textId="462106DB"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4.830</w:t>
            </w:r>
          </w:p>
        </w:tc>
        <w:tc>
          <w:tcPr>
            <w:tcW w:w="1305" w:type="dxa"/>
            <w:tcBorders>
              <w:top w:val="single" w:sz="6" w:space="0" w:color="000000" w:themeColor="text1"/>
              <w:bottom w:val="nil"/>
            </w:tcBorders>
            <w:tcMar>
              <w:left w:w="105" w:type="dxa"/>
              <w:right w:w="105" w:type="dxa"/>
            </w:tcMar>
          </w:tcPr>
          <w:p w14:paraId="02DB6193" w14:textId="13DDCFF6"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1.360</w:t>
            </w:r>
          </w:p>
        </w:tc>
        <w:tc>
          <w:tcPr>
            <w:tcW w:w="1680" w:type="dxa"/>
            <w:tcBorders>
              <w:top w:val="single" w:sz="6" w:space="0" w:color="000000" w:themeColor="text1"/>
              <w:bottom w:val="nil"/>
            </w:tcBorders>
            <w:tcMar>
              <w:left w:w="105" w:type="dxa"/>
              <w:right w:w="105" w:type="dxa"/>
            </w:tcMar>
          </w:tcPr>
          <w:p w14:paraId="4897BF5F" w14:textId="48E0BE9E"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10.240</w:t>
            </w:r>
          </w:p>
        </w:tc>
        <w:tc>
          <w:tcPr>
            <w:tcW w:w="1260" w:type="dxa"/>
            <w:tcBorders>
              <w:top w:val="single" w:sz="6" w:space="0" w:color="000000" w:themeColor="text1"/>
              <w:bottom w:val="nil"/>
            </w:tcBorders>
            <w:tcMar>
              <w:left w:w="105" w:type="dxa"/>
              <w:right w:w="105" w:type="dxa"/>
            </w:tcMar>
          </w:tcPr>
          <w:p w14:paraId="72B956C9" w14:textId="5D253C7F"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750</w:t>
            </w:r>
          </w:p>
        </w:tc>
      </w:tr>
      <w:tr w:rsidR="30909213" w14:paraId="2A90CF1D" w14:textId="77777777" w:rsidTr="7C64760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single" w:sz="6" w:space="0" w:color="000000" w:themeColor="text1"/>
            </w:tcBorders>
            <w:tcMar>
              <w:left w:w="105" w:type="dxa"/>
              <w:right w:w="105" w:type="dxa"/>
            </w:tcMar>
          </w:tcPr>
          <w:p w14:paraId="47657E7F" w14:textId="2C816B1C"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FAPEAP</w:t>
            </w:r>
          </w:p>
        </w:tc>
        <w:tc>
          <w:tcPr>
            <w:tcW w:w="1845" w:type="dxa"/>
            <w:tcBorders>
              <w:top w:val="single" w:sz="6" w:space="0" w:color="000000" w:themeColor="text1"/>
              <w:bottom w:val="single" w:sz="6" w:space="0" w:color="000000" w:themeColor="text1"/>
            </w:tcBorders>
            <w:tcMar>
              <w:left w:w="105" w:type="dxa"/>
              <w:right w:w="105" w:type="dxa"/>
            </w:tcMar>
          </w:tcPr>
          <w:p w14:paraId="208D484F" w14:textId="6EECCBFD"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20.780</w:t>
            </w:r>
          </w:p>
        </w:tc>
        <w:tc>
          <w:tcPr>
            <w:tcW w:w="1935" w:type="dxa"/>
            <w:tcBorders>
              <w:top w:val="single" w:sz="6" w:space="0" w:color="000000" w:themeColor="text1"/>
              <w:bottom w:val="single" w:sz="6" w:space="0" w:color="000000" w:themeColor="text1"/>
            </w:tcBorders>
            <w:tcMar>
              <w:left w:w="105" w:type="dxa"/>
              <w:right w:w="105" w:type="dxa"/>
            </w:tcMar>
          </w:tcPr>
          <w:p w14:paraId="0AD11767" w14:textId="25ED8BE8"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25.190</w:t>
            </w:r>
          </w:p>
        </w:tc>
        <w:tc>
          <w:tcPr>
            <w:tcW w:w="1305" w:type="dxa"/>
            <w:tcBorders>
              <w:top w:val="single" w:sz="6" w:space="0" w:color="000000" w:themeColor="text1"/>
              <w:bottom w:val="single" w:sz="6" w:space="0" w:color="000000" w:themeColor="text1"/>
            </w:tcBorders>
            <w:tcMar>
              <w:left w:w="105" w:type="dxa"/>
              <w:right w:w="105" w:type="dxa"/>
            </w:tcMar>
          </w:tcPr>
          <w:p w14:paraId="54DDB4AB" w14:textId="2584142D"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10.360</w:t>
            </w:r>
          </w:p>
        </w:tc>
        <w:tc>
          <w:tcPr>
            <w:tcW w:w="1680" w:type="dxa"/>
            <w:tcBorders>
              <w:top w:val="single" w:sz="6" w:space="0" w:color="000000" w:themeColor="text1"/>
              <w:bottom w:val="single" w:sz="6" w:space="0" w:color="000000" w:themeColor="text1"/>
            </w:tcBorders>
            <w:tcMar>
              <w:left w:w="105" w:type="dxa"/>
              <w:right w:w="105" w:type="dxa"/>
            </w:tcMar>
          </w:tcPr>
          <w:p w14:paraId="01B2F102" w14:textId="6455C84E"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5.660</w:t>
            </w:r>
          </w:p>
        </w:tc>
        <w:tc>
          <w:tcPr>
            <w:tcW w:w="1260" w:type="dxa"/>
            <w:tcBorders>
              <w:top w:val="single" w:sz="6" w:space="0" w:color="000000" w:themeColor="text1"/>
              <w:bottom w:val="single" w:sz="6" w:space="0" w:color="000000" w:themeColor="text1"/>
            </w:tcBorders>
            <w:tcMar>
              <w:left w:w="105" w:type="dxa"/>
              <w:right w:w="105" w:type="dxa"/>
            </w:tcMar>
          </w:tcPr>
          <w:p w14:paraId="2DD85705" w14:textId="4354A075"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3.750</w:t>
            </w:r>
          </w:p>
        </w:tc>
      </w:tr>
      <w:tr w:rsidR="30909213" w14:paraId="1C53717F" w14:textId="77777777" w:rsidTr="7C64760A">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nil"/>
            </w:tcBorders>
            <w:tcMar>
              <w:left w:w="105" w:type="dxa"/>
              <w:right w:w="105" w:type="dxa"/>
            </w:tcMar>
          </w:tcPr>
          <w:p w14:paraId="2ADEA5D0" w14:textId="7A119BC7"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FAPEAM</w:t>
            </w:r>
          </w:p>
        </w:tc>
        <w:tc>
          <w:tcPr>
            <w:tcW w:w="1845" w:type="dxa"/>
            <w:tcBorders>
              <w:top w:val="single" w:sz="6" w:space="0" w:color="000000" w:themeColor="text1"/>
              <w:bottom w:val="nil"/>
            </w:tcBorders>
            <w:tcMar>
              <w:left w:w="105" w:type="dxa"/>
              <w:right w:w="105" w:type="dxa"/>
            </w:tcMar>
          </w:tcPr>
          <w:p w14:paraId="09862157" w14:textId="3BA7571A"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31.950</w:t>
            </w:r>
          </w:p>
        </w:tc>
        <w:tc>
          <w:tcPr>
            <w:tcW w:w="1935" w:type="dxa"/>
            <w:tcBorders>
              <w:top w:val="single" w:sz="6" w:space="0" w:color="000000" w:themeColor="text1"/>
              <w:bottom w:val="nil"/>
            </w:tcBorders>
            <w:tcMar>
              <w:left w:w="105" w:type="dxa"/>
              <w:right w:w="105" w:type="dxa"/>
            </w:tcMar>
          </w:tcPr>
          <w:p w14:paraId="7805783D" w14:textId="582F6BE6"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27.780</w:t>
            </w:r>
          </w:p>
        </w:tc>
        <w:tc>
          <w:tcPr>
            <w:tcW w:w="1305" w:type="dxa"/>
            <w:tcBorders>
              <w:top w:val="single" w:sz="6" w:space="0" w:color="000000" w:themeColor="text1"/>
              <w:bottom w:val="nil"/>
            </w:tcBorders>
            <w:tcMar>
              <w:left w:w="105" w:type="dxa"/>
              <w:right w:w="105" w:type="dxa"/>
            </w:tcMar>
          </w:tcPr>
          <w:p w14:paraId="2B17302C" w14:textId="7631B4D6"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4.420</w:t>
            </w:r>
          </w:p>
        </w:tc>
        <w:tc>
          <w:tcPr>
            <w:tcW w:w="1680" w:type="dxa"/>
            <w:tcBorders>
              <w:top w:val="single" w:sz="6" w:space="0" w:color="000000" w:themeColor="text1"/>
              <w:bottom w:val="nil"/>
            </w:tcBorders>
            <w:tcMar>
              <w:left w:w="105" w:type="dxa"/>
              <w:right w:w="105" w:type="dxa"/>
            </w:tcMar>
          </w:tcPr>
          <w:p w14:paraId="061BD969" w14:textId="11AD01EF"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7.190</w:t>
            </w:r>
          </w:p>
        </w:tc>
        <w:tc>
          <w:tcPr>
            <w:tcW w:w="1260" w:type="dxa"/>
            <w:tcBorders>
              <w:top w:val="single" w:sz="6" w:space="0" w:color="000000" w:themeColor="text1"/>
              <w:bottom w:val="nil"/>
            </w:tcBorders>
            <w:tcMar>
              <w:left w:w="105" w:type="dxa"/>
              <w:right w:w="105" w:type="dxa"/>
            </w:tcMar>
          </w:tcPr>
          <w:p w14:paraId="55C87252" w14:textId="1CFEE53B"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1.320</w:t>
            </w:r>
          </w:p>
        </w:tc>
      </w:tr>
      <w:tr w:rsidR="30909213" w14:paraId="458A26C8" w14:textId="77777777" w:rsidTr="7C64760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single" w:sz="6" w:space="0" w:color="000000" w:themeColor="text1"/>
            </w:tcBorders>
            <w:tcMar>
              <w:left w:w="105" w:type="dxa"/>
              <w:right w:w="105" w:type="dxa"/>
            </w:tcMar>
          </w:tcPr>
          <w:p w14:paraId="0A165C0F" w14:textId="392700C0"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FAPESB</w:t>
            </w:r>
          </w:p>
        </w:tc>
        <w:tc>
          <w:tcPr>
            <w:tcW w:w="1845" w:type="dxa"/>
            <w:tcBorders>
              <w:top w:val="single" w:sz="6" w:space="0" w:color="000000" w:themeColor="text1"/>
              <w:bottom w:val="single" w:sz="6" w:space="0" w:color="000000" w:themeColor="text1"/>
            </w:tcBorders>
            <w:tcMar>
              <w:left w:w="105" w:type="dxa"/>
              <w:right w:w="105" w:type="dxa"/>
            </w:tcMar>
          </w:tcPr>
          <w:p w14:paraId="1837D5EE" w14:textId="082F215D"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42.620</w:t>
            </w:r>
          </w:p>
        </w:tc>
        <w:tc>
          <w:tcPr>
            <w:tcW w:w="1935" w:type="dxa"/>
            <w:tcBorders>
              <w:top w:val="single" w:sz="6" w:space="0" w:color="000000" w:themeColor="text1"/>
              <w:bottom w:val="single" w:sz="6" w:space="0" w:color="000000" w:themeColor="text1"/>
            </w:tcBorders>
            <w:tcMar>
              <w:left w:w="105" w:type="dxa"/>
              <w:right w:w="105" w:type="dxa"/>
            </w:tcMar>
          </w:tcPr>
          <w:p w14:paraId="08B4BCE1" w14:textId="798E2E49"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19.510</w:t>
            </w:r>
          </w:p>
        </w:tc>
        <w:tc>
          <w:tcPr>
            <w:tcW w:w="1305" w:type="dxa"/>
            <w:tcBorders>
              <w:top w:val="single" w:sz="6" w:space="0" w:color="000000" w:themeColor="text1"/>
              <w:bottom w:val="single" w:sz="6" w:space="0" w:color="000000" w:themeColor="text1"/>
            </w:tcBorders>
            <w:tcMar>
              <w:left w:w="105" w:type="dxa"/>
              <w:right w:w="105" w:type="dxa"/>
            </w:tcMar>
          </w:tcPr>
          <w:p w14:paraId="0143CD3E" w14:textId="05DDDC46"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12.600</w:t>
            </w:r>
          </w:p>
        </w:tc>
        <w:tc>
          <w:tcPr>
            <w:tcW w:w="1680" w:type="dxa"/>
            <w:tcBorders>
              <w:top w:val="single" w:sz="6" w:space="0" w:color="000000" w:themeColor="text1"/>
              <w:bottom w:val="single" w:sz="6" w:space="0" w:color="000000" w:themeColor="text1"/>
            </w:tcBorders>
            <w:tcMar>
              <w:left w:w="105" w:type="dxa"/>
              <w:right w:w="105" w:type="dxa"/>
            </w:tcMar>
          </w:tcPr>
          <w:p w14:paraId="502B2538" w14:textId="354D66E8"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930</w:t>
            </w:r>
          </w:p>
        </w:tc>
        <w:tc>
          <w:tcPr>
            <w:tcW w:w="1260" w:type="dxa"/>
            <w:tcBorders>
              <w:top w:val="single" w:sz="6" w:space="0" w:color="000000" w:themeColor="text1"/>
              <w:bottom w:val="single" w:sz="6" w:space="0" w:color="000000" w:themeColor="text1"/>
            </w:tcBorders>
            <w:tcMar>
              <w:left w:w="105" w:type="dxa"/>
              <w:right w:w="105" w:type="dxa"/>
            </w:tcMar>
          </w:tcPr>
          <w:p w14:paraId="6D7A30FF" w14:textId="2C955BF8"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4.020</w:t>
            </w:r>
          </w:p>
        </w:tc>
      </w:tr>
      <w:tr w:rsidR="30909213" w14:paraId="1DB156EF" w14:textId="77777777" w:rsidTr="7C64760A">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nil"/>
            </w:tcBorders>
            <w:tcMar>
              <w:left w:w="105" w:type="dxa"/>
              <w:right w:w="105" w:type="dxa"/>
            </w:tcMar>
          </w:tcPr>
          <w:p w14:paraId="44A50111" w14:textId="2EF5B149"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FUNCAP</w:t>
            </w:r>
          </w:p>
        </w:tc>
        <w:tc>
          <w:tcPr>
            <w:tcW w:w="1845" w:type="dxa"/>
            <w:tcBorders>
              <w:top w:val="single" w:sz="6" w:space="0" w:color="000000" w:themeColor="text1"/>
              <w:bottom w:val="nil"/>
            </w:tcBorders>
            <w:tcMar>
              <w:left w:w="105" w:type="dxa"/>
              <w:right w:w="105" w:type="dxa"/>
            </w:tcMar>
          </w:tcPr>
          <w:p w14:paraId="773E3F2D" w14:textId="1D9DB02B"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16.210</w:t>
            </w:r>
          </w:p>
        </w:tc>
        <w:tc>
          <w:tcPr>
            <w:tcW w:w="1935" w:type="dxa"/>
            <w:tcBorders>
              <w:top w:val="single" w:sz="6" w:space="0" w:color="000000" w:themeColor="text1"/>
              <w:bottom w:val="nil"/>
            </w:tcBorders>
            <w:tcMar>
              <w:left w:w="105" w:type="dxa"/>
              <w:right w:w="105" w:type="dxa"/>
            </w:tcMar>
          </w:tcPr>
          <w:p w14:paraId="7225A6DE" w14:textId="5F7D8098"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2.150</w:t>
            </w:r>
          </w:p>
        </w:tc>
        <w:tc>
          <w:tcPr>
            <w:tcW w:w="1305" w:type="dxa"/>
            <w:tcBorders>
              <w:top w:val="single" w:sz="6" w:space="0" w:color="000000" w:themeColor="text1"/>
              <w:bottom w:val="nil"/>
            </w:tcBorders>
            <w:tcMar>
              <w:left w:w="105" w:type="dxa"/>
              <w:right w:w="105" w:type="dxa"/>
            </w:tcMar>
          </w:tcPr>
          <w:p w14:paraId="0F7B9BD2" w14:textId="0933636A"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13.210</w:t>
            </w:r>
          </w:p>
        </w:tc>
        <w:tc>
          <w:tcPr>
            <w:tcW w:w="1680" w:type="dxa"/>
            <w:tcBorders>
              <w:top w:val="single" w:sz="6" w:space="0" w:color="000000" w:themeColor="text1"/>
              <w:bottom w:val="nil"/>
            </w:tcBorders>
            <w:tcMar>
              <w:left w:w="105" w:type="dxa"/>
              <w:right w:w="105" w:type="dxa"/>
            </w:tcMar>
          </w:tcPr>
          <w:p w14:paraId="7D17FFC3" w14:textId="171B88E8"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6.410</w:t>
            </w:r>
          </w:p>
        </w:tc>
        <w:tc>
          <w:tcPr>
            <w:tcW w:w="1260" w:type="dxa"/>
            <w:tcBorders>
              <w:top w:val="single" w:sz="6" w:space="0" w:color="000000" w:themeColor="text1"/>
              <w:bottom w:val="nil"/>
            </w:tcBorders>
            <w:tcMar>
              <w:left w:w="105" w:type="dxa"/>
              <w:right w:w="105" w:type="dxa"/>
            </w:tcMar>
          </w:tcPr>
          <w:p w14:paraId="0C8AA79B" w14:textId="49F16557"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2.450</w:t>
            </w:r>
          </w:p>
        </w:tc>
      </w:tr>
      <w:tr w:rsidR="30909213" w14:paraId="467BDCA3" w14:textId="77777777" w:rsidTr="7C64760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single" w:sz="6" w:space="0" w:color="000000" w:themeColor="text1"/>
            </w:tcBorders>
            <w:tcMar>
              <w:left w:w="105" w:type="dxa"/>
              <w:right w:w="105" w:type="dxa"/>
            </w:tcMar>
          </w:tcPr>
          <w:p w14:paraId="629A37D8" w14:textId="1658C725"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FAPDF</w:t>
            </w:r>
          </w:p>
        </w:tc>
        <w:tc>
          <w:tcPr>
            <w:tcW w:w="1845" w:type="dxa"/>
            <w:tcBorders>
              <w:top w:val="single" w:sz="6" w:space="0" w:color="000000" w:themeColor="text1"/>
              <w:bottom w:val="single" w:sz="6" w:space="0" w:color="000000" w:themeColor="text1"/>
            </w:tcBorders>
            <w:tcMar>
              <w:left w:w="105" w:type="dxa"/>
              <w:right w:w="105" w:type="dxa"/>
            </w:tcMar>
          </w:tcPr>
          <w:p w14:paraId="5AE9935F" w14:textId="0BCD1B25"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36.100</w:t>
            </w:r>
          </w:p>
        </w:tc>
        <w:tc>
          <w:tcPr>
            <w:tcW w:w="1935" w:type="dxa"/>
            <w:tcBorders>
              <w:top w:val="single" w:sz="6" w:space="0" w:color="000000" w:themeColor="text1"/>
              <w:bottom w:val="single" w:sz="6" w:space="0" w:color="000000" w:themeColor="text1"/>
            </w:tcBorders>
            <w:tcMar>
              <w:left w:w="105" w:type="dxa"/>
              <w:right w:w="105" w:type="dxa"/>
            </w:tcMar>
          </w:tcPr>
          <w:p w14:paraId="189945D5" w14:textId="3916B256"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17.780</w:t>
            </w:r>
          </w:p>
        </w:tc>
        <w:tc>
          <w:tcPr>
            <w:tcW w:w="1305" w:type="dxa"/>
            <w:tcBorders>
              <w:top w:val="single" w:sz="6" w:space="0" w:color="000000" w:themeColor="text1"/>
              <w:bottom w:val="single" w:sz="6" w:space="0" w:color="000000" w:themeColor="text1"/>
            </w:tcBorders>
            <w:tcMar>
              <w:left w:w="105" w:type="dxa"/>
              <w:right w:w="105" w:type="dxa"/>
            </w:tcMar>
          </w:tcPr>
          <w:p w14:paraId="0B1A13D0" w14:textId="34737B12"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3.620</w:t>
            </w:r>
          </w:p>
        </w:tc>
        <w:tc>
          <w:tcPr>
            <w:tcW w:w="1680" w:type="dxa"/>
            <w:tcBorders>
              <w:top w:val="single" w:sz="6" w:space="0" w:color="000000" w:themeColor="text1"/>
              <w:bottom w:val="single" w:sz="6" w:space="0" w:color="000000" w:themeColor="text1"/>
            </w:tcBorders>
            <w:tcMar>
              <w:left w:w="105" w:type="dxa"/>
              <w:right w:w="105" w:type="dxa"/>
            </w:tcMar>
          </w:tcPr>
          <w:p w14:paraId="037D3E75" w14:textId="30260AC7"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840</w:t>
            </w:r>
          </w:p>
        </w:tc>
        <w:tc>
          <w:tcPr>
            <w:tcW w:w="1260" w:type="dxa"/>
            <w:tcBorders>
              <w:top w:val="single" w:sz="6" w:space="0" w:color="000000" w:themeColor="text1"/>
              <w:bottom w:val="single" w:sz="6" w:space="0" w:color="000000" w:themeColor="text1"/>
            </w:tcBorders>
            <w:tcMar>
              <w:left w:w="105" w:type="dxa"/>
              <w:right w:w="105" w:type="dxa"/>
            </w:tcMar>
          </w:tcPr>
          <w:p w14:paraId="4FA03CDB" w14:textId="31C724D7"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3.000</w:t>
            </w:r>
          </w:p>
        </w:tc>
      </w:tr>
      <w:tr w:rsidR="30909213" w14:paraId="71132251" w14:textId="77777777" w:rsidTr="7C64760A">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nil"/>
            </w:tcBorders>
            <w:tcMar>
              <w:left w:w="105" w:type="dxa"/>
              <w:right w:w="105" w:type="dxa"/>
            </w:tcMar>
          </w:tcPr>
          <w:p w14:paraId="160F8109" w14:textId="494F960B"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FAPES</w:t>
            </w:r>
          </w:p>
        </w:tc>
        <w:tc>
          <w:tcPr>
            <w:tcW w:w="1845" w:type="dxa"/>
            <w:tcBorders>
              <w:top w:val="single" w:sz="6" w:space="0" w:color="000000" w:themeColor="text1"/>
              <w:bottom w:val="nil"/>
            </w:tcBorders>
            <w:tcMar>
              <w:left w:w="105" w:type="dxa"/>
              <w:right w:w="105" w:type="dxa"/>
            </w:tcMar>
          </w:tcPr>
          <w:p w14:paraId="2FB745F3" w14:textId="14E62676"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35.750</w:t>
            </w:r>
          </w:p>
        </w:tc>
        <w:tc>
          <w:tcPr>
            <w:tcW w:w="1935" w:type="dxa"/>
            <w:tcBorders>
              <w:top w:val="single" w:sz="6" w:space="0" w:color="000000" w:themeColor="text1"/>
              <w:bottom w:val="nil"/>
            </w:tcBorders>
            <w:tcMar>
              <w:left w:w="105" w:type="dxa"/>
              <w:right w:w="105" w:type="dxa"/>
            </w:tcMar>
          </w:tcPr>
          <w:p w14:paraId="4C9501C8" w14:textId="0D1A800E"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3.470</w:t>
            </w:r>
          </w:p>
        </w:tc>
        <w:tc>
          <w:tcPr>
            <w:tcW w:w="1305" w:type="dxa"/>
            <w:tcBorders>
              <w:top w:val="single" w:sz="6" w:space="0" w:color="000000" w:themeColor="text1"/>
              <w:bottom w:val="nil"/>
            </w:tcBorders>
            <w:tcMar>
              <w:left w:w="105" w:type="dxa"/>
              <w:right w:w="105" w:type="dxa"/>
            </w:tcMar>
          </w:tcPr>
          <w:p w14:paraId="11EB9386" w14:textId="45F1BFAD"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12.280</w:t>
            </w:r>
          </w:p>
        </w:tc>
        <w:tc>
          <w:tcPr>
            <w:tcW w:w="1680" w:type="dxa"/>
            <w:tcBorders>
              <w:top w:val="single" w:sz="6" w:space="0" w:color="000000" w:themeColor="text1"/>
              <w:bottom w:val="nil"/>
            </w:tcBorders>
            <w:tcMar>
              <w:left w:w="105" w:type="dxa"/>
              <w:right w:w="105" w:type="dxa"/>
            </w:tcMar>
          </w:tcPr>
          <w:p w14:paraId="1439EE1B" w14:textId="3EFCC212"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11.100</w:t>
            </w:r>
          </w:p>
        </w:tc>
        <w:tc>
          <w:tcPr>
            <w:tcW w:w="1260" w:type="dxa"/>
            <w:tcBorders>
              <w:top w:val="single" w:sz="6" w:space="0" w:color="000000" w:themeColor="text1"/>
              <w:bottom w:val="nil"/>
            </w:tcBorders>
            <w:tcMar>
              <w:left w:w="105" w:type="dxa"/>
              <w:right w:w="105" w:type="dxa"/>
            </w:tcMar>
          </w:tcPr>
          <w:p w14:paraId="21923A54" w14:textId="77086F32"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670</w:t>
            </w:r>
          </w:p>
        </w:tc>
      </w:tr>
      <w:tr w:rsidR="30909213" w14:paraId="00311A8E" w14:textId="77777777" w:rsidTr="7C64760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single" w:sz="6" w:space="0" w:color="000000" w:themeColor="text1"/>
            </w:tcBorders>
            <w:tcMar>
              <w:left w:w="105" w:type="dxa"/>
              <w:right w:w="105" w:type="dxa"/>
            </w:tcMar>
          </w:tcPr>
          <w:p w14:paraId="526F2FD0" w14:textId="1506E406"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FAPEG</w:t>
            </w:r>
          </w:p>
        </w:tc>
        <w:tc>
          <w:tcPr>
            <w:tcW w:w="1845" w:type="dxa"/>
            <w:tcBorders>
              <w:top w:val="single" w:sz="6" w:space="0" w:color="000000" w:themeColor="text1"/>
              <w:bottom w:val="single" w:sz="6" w:space="0" w:color="000000" w:themeColor="text1"/>
            </w:tcBorders>
            <w:tcMar>
              <w:left w:w="105" w:type="dxa"/>
              <w:right w:w="105" w:type="dxa"/>
            </w:tcMar>
          </w:tcPr>
          <w:p w14:paraId="0C63C223" w14:textId="085ECDAA"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20.220</w:t>
            </w:r>
          </w:p>
        </w:tc>
        <w:tc>
          <w:tcPr>
            <w:tcW w:w="1935" w:type="dxa"/>
            <w:tcBorders>
              <w:top w:val="single" w:sz="6" w:space="0" w:color="000000" w:themeColor="text1"/>
              <w:bottom w:val="single" w:sz="6" w:space="0" w:color="000000" w:themeColor="text1"/>
            </w:tcBorders>
            <w:tcMar>
              <w:left w:w="105" w:type="dxa"/>
              <w:right w:w="105" w:type="dxa"/>
            </w:tcMar>
          </w:tcPr>
          <w:p w14:paraId="68791E0C" w14:textId="67937892"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7.390</w:t>
            </w:r>
          </w:p>
        </w:tc>
        <w:tc>
          <w:tcPr>
            <w:tcW w:w="1305" w:type="dxa"/>
            <w:tcBorders>
              <w:top w:val="single" w:sz="6" w:space="0" w:color="000000" w:themeColor="text1"/>
              <w:bottom w:val="single" w:sz="6" w:space="0" w:color="000000" w:themeColor="text1"/>
            </w:tcBorders>
            <w:tcMar>
              <w:left w:w="105" w:type="dxa"/>
              <w:right w:w="105" w:type="dxa"/>
            </w:tcMar>
          </w:tcPr>
          <w:p w14:paraId="47237DB4" w14:textId="3CEE7895"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17.920</w:t>
            </w:r>
          </w:p>
        </w:tc>
        <w:tc>
          <w:tcPr>
            <w:tcW w:w="1680" w:type="dxa"/>
            <w:tcBorders>
              <w:top w:val="single" w:sz="6" w:space="0" w:color="000000" w:themeColor="text1"/>
              <w:bottom w:val="single" w:sz="6" w:space="0" w:color="000000" w:themeColor="text1"/>
            </w:tcBorders>
            <w:tcMar>
              <w:left w:w="105" w:type="dxa"/>
              <w:right w:w="105" w:type="dxa"/>
            </w:tcMar>
          </w:tcPr>
          <w:p w14:paraId="02BC8E3B" w14:textId="17C12078"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1.530</w:t>
            </w:r>
          </w:p>
        </w:tc>
        <w:tc>
          <w:tcPr>
            <w:tcW w:w="1260" w:type="dxa"/>
            <w:tcBorders>
              <w:top w:val="single" w:sz="6" w:space="0" w:color="000000" w:themeColor="text1"/>
              <w:bottom w:val="single" w:sz="6" w:space="0" w:color="000000" w:themeColor="text1"/>
            </w:tcBorders>
            <w:tcMar>
              <w:left w:w="105" w:type="dxa"/>
              <w:right w:w="105" w:type="dxa"/>
            </w:tcMar>
          </w:tcPr>
          <w:p w14:paraId="2AFB73D1" w14:textId="0A6400DF"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1.290</w:t>
            </w:r>
          </w:p>
        </w:tc>
      </w:tr>
      <w:tr w:rsidR="30909213" w14:paraId="029DEC19" w14:textId="77777777" w:rsidTr="7C64760A">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nil"/>
            </w:tcBorders>
            <w:tcMar>
              <w:left w:w="105" w:type="dxa"/>
              <w:right w:w="105" w:type="dxa"/>
            </w:tcMar>
          </w:tcPr>
          <w:p w14:paraId="106DA05F" w14:textId="7FE5B763"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FAPEMA</w:t>
            </w:r>
          </w:p>
        </w:tc>
        <w:tc>
          <w:tcPr>
            <w:tcW w:w="1845" w:type="dxa"/>
            <w:tcBorders>
              <w:top w:val="single" w:sz="6" w:space="0" w:color="000000" w:themeColor="text1"/>
              <w:bottom w:val="nil"/>
            </w:tcBorders>
            <w:tcMar>
              <w:left w:w="105" w:type="dxa"/>
              <w:right w:w="105" w:type="dxa"/>
            </w:tcMar>
          </w:tcPr>
          <w:p w14:paraId="383212B3" w14:textId="4CD21691"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44.610</w:t>
            </w:r>
          </w:p>
        </w:tc>
        <w:tc>
          <w:tcPr>
            <w:tcW w:w="1935" w:type="dxa"/>
            <w:tcBorders>
              <w:top w:val="single" w:sz="6" w:space="0" w:color="000000" w:themeColor="text1"/>
              <w:bottom w:val="nil"/>
            </w:tcBorders>
            <w:tcMar>
              <w:left w:w="105" w:type="dxa"/>
              <w:right w:w="105" w:type="dxa"/>
            </w:tcMar>
          </w:tcPr>
          <w:p w14:paraId="12923D66" w14:textId="2082E389"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21.700</w:t>
            </w:r>
          </w:p>
        </w:tc>
        <w:tc>
          <w:tcPr>
            <w:tcW w:w="1305" w:type="dxa"/>
            <w:tcBorders>
              <w:top w:val="single" w:sz="6" w:space="0" w:color="000000" w:themeColor="text1"/>
              <w:bottom w:val="nil"/>
            </w:tcBorders>
            <w:tcMar>
              <w:left w:w="105" w:type="dxa"/>
              <w:right w:w="105" w:type="dxa"/>
            </w:tcMar>
          </w:tcPr>
          <w:p w14:paraId="42E8F2E8" w14:textId="319FAB19"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19.730</w:t>
            </w:r>
          </w:p>
        </w:tc>
        <w:tc>
          <w:tcPr>
            <w:tcW w:w="1680" w:type="dxa"/>
            <w:tcBorders>
              <w:top w:val="single" w:sz="6" w:space="0" w:color="000000" w:themeColor="text1"/>
              <w:bottom w:val="nil"/>
            </w:tcBorders>
            <w:tcMar>
              <w:left w:w="105" w:type="dxa"/>
              <w:right w:w="105" w:type="dxa"/>
            </w:tcMar>
          </w:tcPr>
          <w:p w14:paraId="1E93C723" w14:textId="69C5F56F"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4.710</w:t>
            </w:r>
          </w:p>
        </w:tc>
        <w:tc>
          <w:tcPr>
            <w:tcW w:w="1260" w:type="dxa"/>
            <w:tcBorders>
              <w:top w:val="single" w:sz="6" w:space="0" w:color="000000" w:themeColor="text1"/>
              <w:bottom w:val="nil"/>
            </w:tcBorders>
            <w:tcMar>
              <w:left w:w="105" w:type="dxa"/>
              <w:right w:w="105" w:type="dxa"/>
            </w:tcMar>
          </w:tcPr>
          <w:p w14:paraId="2C8F1FD4" w14:textId="5C98DF2E"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2.540</w:t>
            </w:r>
          </w:p>
        </w:tc>
      </w:tr>
      <w:tr w:rsidR="30909213" w14:paraId="741BDE12" w14:textId="77777777" w:rsidTr="7C64760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single" w:sz="6" w:space="0" w:color="000000" w:themeColor="text1"/>
            </w:tcBorders>
            <w:tcMar>
              <w:left w:w="105" w:type="dxa"/>
              <w:right w:w="105" w:type="dxa"/>
            </w:tcMar>
          </w:tcPr>
          <w:p w14:paraId="12C1FFAE" w14:textId="4B5D10B4"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FAPEMAT</w:t>
            </w:r>
          </w:p>
        </w:tc>
        <w:tc>
          <w:tcPr>
            <w:tcW w:w="1845" w:type="dxa"/>
            <w:tcBorders>
              <w:top w:val="single" w:sz="6" w:space="0" w:color="000000" w:themeColor="text1"/>
              <w:bottom w:val="single" w:sz="6" w:space="0" w:color="000000" w:themeColor="text1"/>
            </w:tcBorders>
            <w:tcMar>
              <w:left w:w="105" w:type="dxa"/>
              <w:right w:w="105" w:type="dxa"/>
            </w:tcMar>
          </w:tcPr>
          <w:p w14:paraId="3FCB78CA" w14:textId="3BAA4133"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11.410</w:t>
            </w:r>
          </w:p>
        </w:tc>
        <w:tc>
          <w:tcPr>
            <w:tcW w:w="1935" w:type="dxa"/>
            <w:tcBorders>
              <w:top w:val="single" w:sz="6" w:space="0" w:color="000000" w:themeColor="text1"/>
              <w:bottom w:val="single" w:sz="6" w:space="0" w:color="000000" w:themeColor="text1"/>
            </w:tcBorders>
            <w:tcMar>
              <w:left w:w="105" w:type="dxa"/>
              <w:right w:w="105" w:type="dxa"/>
            </w:tcMar>
          </w:tcPr>
          <w:p w14:paraId="77893D92" w14:textId="07F7D89B"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19.320</w:t>
            </w:r>
          </w:p>
        </w:tc>
        <w:tc>
          <w:tcPr>
            <w:tcW w:w="1305" w:type="dxa"/>
            <w:tcBorders>
              <w:top w:val="single" w:sz="6" w:space="0" w:color="000000" w:themeColor="text1"/>
              <w:bottom w:val="single" w:sz="6" w:space="0" w:color="000000" w:themeColor="text1"/>
            </w:tcBorders>
            <w:tcMar>
              <w:left w:w="105" w:type="dxa"/>
              <w:right w:w="105" w:type="dxa"/>
            </w:tcMar>
          </w:tcPr>
          <w:p w14:paraId="1D0609AE" w14:textId="111D78ED"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6.410</w:t>
            </w:r>
          </w:p>
        </w:tc>
        <w:tc>
          <w:tcPr>
            <w:tcW w:w="1680" w:type="dxa"/>
            <w:tcBorders>
              <w:top w:val="single" w:sz="6" w:space="0" w:color="000000" w:themeColor="text1"/>
              <w:bottom w:val="single" w:sz="6" w:space="0" w:color="000000" w:themeColor="text1"/>
            </w:tcBorders>
            <w:tcMar>
              <w:left w:w="105" w:type="dxa"/>
              <w:right w:w="105" w:type="dxa"/>
            </w:tcMar>
          </w:tcPr>
          <w:p w14:paraId="7C64FE44" w14:textId="5BAEE11B"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9.710</w:t>
            </w:r>
          </w:p>
        </w:tc>
        <w:tc>
          <w:tcPr>
            <w:tcW w:w="1260" w:type="dxa"/>
            <w:tcBorders>
              <w:top w:val="single" w:sz="6" w:space="0" w:color="000000" w:themeColor="text1"/>
              <w:bottom w:val="single" w:sz="6" w:space="0" w:color="000000" w:themeColor="text1"/>
            </w:tcBorders>
            <w:tcMar>
              <w:left w:w="105" w:type="dxa"/>
              <w:right w:w="105" w:type="dxa"/>
            </w:tcMar>
          </w:tcPr>
          <w:p w14:paraId="3A8EAE41" w14:textId="282097ED"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1.220</w:t>
            </w:r>
          </w:p>
        </w:tc>
      </w:tr>
      <w:tr w:rsidR="30909213" w14:paraId="46BCDB85" w14:textId="77777777" w:rsidTr="7C64760A">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nil"/>
            </w:tcBorders>
            <w:tcMar>
              <w:left w:w="105" w:type="dxa"/>
              <w:right w:w="105" w:type="dxa"/>
            </w:tcMar>
          </w:tcPr>
          <w:p w14:paraId="66DC5393" w14:textId="0E2448AB"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FUNDECT</w:t>
            </w:r>
          </w:p>
        </w:tc>
        <w:tc>
          <w:tcPr>
            <w:tcW w:w="1845" w:type="dxa"/>
            <w:tcBorders>
              <w:top w:val="single" w:sz="6" w:space="0" w:color="000000" w:themeColor="text1"/>
              <w:bottom w:val="nil"/>
            </w:tcBorders>
            <w:tcMar>
              <w:left w:w="105" w:type="dxa"/>
              <w:right w:w="105" w:type="dxa"/>
            </w:tcMar>
          </w:tcPr>
          <w:p w14:paraId="641F5FE0" w14:textId="7C592B92"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7.450</w:t>
            </w:r>
          </w:p>
        </w:tc>
        <w:tc>
          <w:tcPr>
            <w:tcW w:w="1935" w:type="dxa"/>
            <w:tcBorders>
              <w:top w:val="single" w:sz="6" w:space="0" w:color="000000" w:themeColor="text1"/>
              <w:bottom w:val="nil"/>
            </w:tcBorders>
            <w:tcMar>
              <w:left w:w="105" w:type="dxa"/>
              <w:right w:w="105" w:type="dxa"/>
            </w:tcMar>
          </w:tcPr>
          <w:p w14:paraId="57997A8C" w14:textId="2CCFC235"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12.020</w:t>
            </w:r>
          </w:p>
        </w:tc>
        <w:tc>
          <w:tcPr>
            <w:tcW w:w="1305" w:type="dxa"/>
            <w:tcBorders>
              <w:top w:val="single" w:sz="6" w:space="0" w:color="000000" w:themeColor="text1"/>
              <w:bottom w:val="nil"/>
            </w:tcBorders>
            <w:tcMar>
              <w:left w:w="105" w:type="dxa"/>
              <w:right w:w="105" w:type="dxa"/>
            </w:tcMar>
          </w:tcPr>
          <w:p w14:paraId="4AC7C8B7" w14:textId="242F6C6F"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15.560</w:t>
            </w:r>
          </w:p>
        </w:tc>
        <w:tc>
          <w:tcPr>
            <w:tcW w:w="1680" w:type="dxa"/>
            <w:tcBorders>
              <w:top w:val="single" w:sz="6" w:space="0" w:color="000000" w:themeColor="text1"/>
              <w:bottom w:val="nil"/>
            </w:tcBorders>
            <w:tcMar>
              <w:left w:w="105" w:type="dxa"/>
              <w:right w:w="105" w:type="dxa"/>
            </w:tcMar>
          </w:tcPr>
          <w:p w14:paraId="3A2FCBC6" w14:textId="469F59F7"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5.780</w:t>
            </w:r>
          </w:p>
        </w:tc>
        <w:tc>
          <w:tcPr>
            <w:tcW w:w="1260" w:type="dxa"/>
            <w:tcBorders>
              <w:top w:val="single" w:sz="6" w:space="0" w:color="000000" w:themeColor="text1"/>
              <w:bottom w:val="nil"/>
            </w:tcBorders>
            <w:tcMar>
              <w:left w:w="105" w:type="dxa"/>
              <w:right w:w="105" w:type="dxa"/>
            </w:tcMar>
          </w:tcPr>
          <w:p w14:paraId="2D379C21" w14:textId="0DFE9F4C"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3.340</w:t>
            </w:r>
          </w:p>
        </w:tc>
      </w:tr>
      <w:tr w:rsidR="30909213" w14:paraId="2DD2C927" w14:textId="77777777" w:rsidTr="7C64760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single" w:sz="6" w:space="0" w:color="000000" w:themeColor="text1"/>
            </w:tcBorders>
            <w:tcMar>
              <w:left w:w="105" w:type="dxa"/>
              <w:right w:w="105" w:type="dxa"/>
            </w:tcMar>
          </w:tcPr>
          <w:p w14:paraId="645B94F9" w14:textId="36E11614"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FAPEMIG</w:t>
            </w:r>
          </w:p>
        </w:tc>
        <w:tc>
          <w:tcPr>
            <w:tcW w:w="1845" w:type="dxa"/>
            <w:tcBorders>
              <w:top w:val="single" w:sz="6" w:space="0" w:color="000000" w:themeColor="text1"/>
              <w:bottom w:val="single" w:sz="6" w:space="0" w:color="000000" w:themeColor="text1"/>
            </w:tcBorders>
            <w:tcMar>
              <w:left w:w="105" w:type="dxa"/>
              <w:right w:w="105" w:type="dxa"/>
            </w:tcMar>
          </w:tcPr>
          <w:p w14:paraId="5400F83C" w14:textId="565981D6"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33.570</w:t>
            </w:r>
          </w:p>
        </w:tc>
        <w:tc>
          <w:tcPr>
            <w:tcW w:w="1935" w:type="dxa"/>
            <w:tcBorders>
              <w:top w:val="single" w:sz="6" w:space="0" w:color="000000" w:themeColor="text1"/>
              <w:bottom w:val="single" w:sz="6" w:space="0" w:color="000000" w:themeColor="text1"/>
            </w:tcBorders>
            <w:tcMar>
              <w:left w:w="105" w:type="dxa"/>
              <w:right w:w="105" w:type="dxa"/>
            </w:tcMar>
          </w:tcPr>
          <w:p w14:paraId="2A669D0C" w14:textId="4192730A"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16.390</w:t>
            </w:r>
          </w:p>
        </w:tc>
        <w:tc>
          <w:tcPr>
            <w:tcW w:w="1305" w:type="dxa"/>
            <w:tcBorders>
              <w:top w:val="single" w:sz="6" w:space="0" w:color="000000" w:themeColor="text1"/>
              <w:bottom w:val="single" w:sz="6" w:space="0" w:color="000000" w:themeColor="text1"/>
            </w:tcBorders>
            <w:tcMar>
              <w:left w:w="105" w:type="dxa"/>
              <w:right w:w="105" w:type="dxa"/>
            </w:tcMar>
          </w:tcPr>
          <w:p w14:paraId="69B10564" w14:textId="2100B5D6"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8.010</w:t>
            </w:r>
          </w:p>
        </w:tc>
        <w:tc>
          <w:tcPr>
            <w:tcW w:w="1680" w:type="dxa"/>
            <w:tcBorders>
              <w:top w:val="single" w:sz="6" w:space="0" w:color="000000" w:themeColor="text1"/>
              <w:bottom w:val="single" w:sz="6" w:space="0" w:color="000000" w:themeColor="text1"/>
            </w:tcBorders>
            <w:tcMar>
              <w:left w:w="105" w:type="dxa"/>
              <w:right w:w="105" w:type="dxa"/>
            </w:tcMar>
          </w:tcPr>
          <w:p w14:paraId="1A3ED9F8" w14:textId="2EDD6EFF"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14.130</w:t>
            </w:r>
          </w:p>
        </w:tc>
        <w:tc>
          <w:tcPr>
            <w:tcW w:w="1260" w:type="dxa"/>
            <w:tcBorders>
              <w:top w:val="single" w:sz="6" w:space="0" w:color="000000" w:themeColor="text1"/>
              <w:bottom w:val="single" w:sz="6" w:space="0" w:color="000000" w:themeColor="text1"/>
            </w:tcBorders>
            <w:tcMar>
              <w:left w:w="105" w:type="dxa"/>
              <w:right w:w="105" w:type="dxa"/>
            </w:tcMar>
          </w:tcPr>
          <w:p w14:paraId="171AD4F8" w14:textId="64097E0D"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1.400</w:t>
            </w:r>
          </w:p>
        </w:tc>
      </w:tr>
      <w:tr w:rsidR="30909213" w14:paraId="4058BE86" w14:textId="77777777" w:rsidTr="7C64760A">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nil"/>
            </w:tcBorders>
            <w:tcMar>
              <w:left w:w="105" w:type="dxa"/>
              <w:right w:w="105" w:type="dxa"/>
            </w:tcMar>
          </w:tcPr>
          <w:p w14:paraId="283B3ED0" w14:textId="572D1628"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FAPESPA</w:t>
            </w:r>
          </w:p>
        </w:tc>
        <w:tc>
          <w:tcPr>
            <w:tcW w:w="1845" w:type="dxa"/>
            <w:tcBorders>
              <w:top w:val="single" w:sz="6" w:space="0" w:color="000000" w:themeColor="text1"/>
              <w:bottom w:val="nil"/>
            </w:tcBorders>
            <w:tcMar>
              <w:left w:w="105" w:type="dxa"/>
              <w:right w:w="105" w:type="dxa"/>
            </w:tcMar>
          </w:tcPr>
          <w:p w14:paraId="13FE855E" w14:textId="071B130A"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14.680</w:t>
            </w:r>
          </w:p>
        </w:tc>
        <w:tc>
          <w:tcPr>
            <w:tcW w:w="1935" w:type="dxa"/>
            <w:tcBorders>
              <w:top w:val="single" w:sz="6" w:space="0" w:color="000000" w:themeColor="text1"/>
              <w:bottom w:val="nil"/>
            </w:tcBorders>
            <w:tcMar>
              <w:left w:w="105" w:type="dxa"/>
              <w:right w:w="105" w:type="dxa"/>
            </w:tcMar>
          </w:tcPr>
          <w:p w14:paraId="33F6FA3C" w14:textId="036359C4"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27.630</w:t>
            </w:r>
          </w:p>
        </w:tc>
        <w:tc>
          <w:tcPr>
            <w:tcW w:w="1305" w:type="dxa"/>
            <w:tcBorders>
              <w:top w:val="single" w:sz="6" w:space="0" w:color="000000" w:themeColor="text1"/>
              <w:bottom w:val="nil"/>
            </w:tcBorders>
            <w:tcMar>
              <w:left w:w="105" w:type="dxa"/>
              <w:right w:w="105" w:type="dxa"/>
            </w:tcMar>
          </w:tcPr>
          <w:p w14:paraId="4956FB1C" w14:textId="77347089"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1.230</w:t>
            </w:r>
          </w:p>
        </w:tc>
        <w:tc>
          <w:tcPr>
            <w:tcW w:w="1680" w:type="dxa"/>
            <w:tcBorders>
              <w:top w:val="single" w:sz="6" w:space="0" w:color="000000" w:themeColor="text1"/>
              <w:bottom w:val="nil"/>
            </w:tcBorders>
            <w:tcMar>
              <w:left w:w="105" w:type="dxa"/>
              <w:right w:w="105" w:type="dxa"/>
            </w:tcMar>
          </w:tcPr>
          <w:p w14:paraId="2D813FDA" w14:textId="7E4A4878"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3.280</w:t>
            </w:r>
          </w:p>
        </w:tc>
        <w:tc>
          <w:tcPr>
            <w:tcW w:w="1260" w:type="dxa"/>
            <w:tcBorders>
              <w:top w:val="single" w:sz="6" w:space="0" w:color="000000" w:themeColor="text1"/>
              <w:bottom w:val="nil"/>
            </w:tcBorders>
            <w:tcMar>
              <w:left w:w="105" w:type="dxa"/>
              <w:right w:w="105" w:type="dxa"/>
            </w:tcMar>
          </w:tcPr>
          <w:p w14:paraId="703D303B" w14:textId="5E636D1F"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3.960</w:t>
            </w:r>
          </w:p>
        </w:tc>
      </w:tr>
      <w:tr w:rsidR="30909213" w14:paraId="0DCD03F6" w14:textId="77777777" w:rsidTr="7C64760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single" w:sz="6" w:space="0" w:color="000000" w:themeColor="text1"/>
            </w:tcBorders>
            <w:tcMar>
              <w:left w:w="105" w:type="dxa"/>
              <w:right w:w="105" w:type="dxa"/>
            </w:tcMar>
          </w:tcPr>
          <w:p w14:paraId="26BFB5CA" w14:textId="22A85999"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FAPESQ</w:t>
            </w:r>
          </w:p>
        </w:tc>
        <w:tc>
          <w:tcPr>
            <w:tcW w:w="1845" w:type="dxa"/>
            <w:tcBorders>
              <w:top w:val="single" w:sz="6" w:space="0" w:color="000000" w:themeColor="text1"/>
              <w:bottom w:val="single" w:sz="6" w:space="0" w:color="000000" w:themeColor="text1"/>
            </w:tcBorders>
            <w:tcMar>
              <w:left w:w="105" w:type="dxa"/>
              <w:right w:w="105" w:type="dxa"/>
            </w:tcMar>
          </w:tcPr>
          <w:p w14:paraId="7431F23C" w14:textId="31298361"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2.850</w:t>
            </w:r>
          </w:p>
        </w:tc>
        <w:tc>
          <w:tcPr>
            <w:tcW w:w="1935" w:type="dxa"/>
            <w:tcBorders>
              <w:top w:val="single" w:sz="6" w:space="0" w:color="000000" w:themeColor="text1"/>
              <w:bottom w:val="single" w:sz="6" w:space="0" w:color="000000" w:themeColor="text1"/>
            </w:tcBorders>
            <w:tcMar>
              <w:left w:w="105" w:type="dxa"/>
              <w:right w:w="105" w:type="dxa"/>
            </w:tcMar>
          </w:tcPr>
          <w:p w14:paraId="71B6141C" w14:textId="69B45D8F"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15.170</w:t>
            </w:r>
          </w:p>
        </w:tc>
        <w:tc>
          <w:tcPr>
            <w:tcW w:w="1305" w:type="dxa"/>
            <w:tcBorders>
              <w:top w:val="single" w:sz="6" w:space="0" w:color="000000" w:themeColor="text1"/>
              <w:bottom w:val="single" w:sz="6" w:space="0" w:color="000000" w:themeColor="text1"/>
            </w:tcBorders>
            <w:tcMar>
              <w:left w:w="105" w:type="dxa"/>
              <w:right w:w="105" w:type="dxa"/>
            </w:tcMar>
          </w:tcPr>
          <w:p w14:paraId="6ED69716" w14:textId="0C9F7883"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2.750</w:t>
            </w:r>
          </w:p>
        </w:tc>
        <w:tc>
          <w:tcPr>
            <w:tcW w:w="1680" w:type="dxa"/>
            <w:tcBorders>
              <w:top w:val="single" w:sz="6" w:space="0" w:color="000000" w:themeColor="text1"/>
              <w:bottom w:val="single" w:sz="6" w:space="0" w:color="000000" w:themeColor="text1"/>
            </w:tcBorders>
            <w:tcMar>
              <w:left w:w="105" w:type="dxa"/>
              <w:right w:w="105" w:type="dxa"/>
            </w:tcMar>
          </w:tcPr>
          <w:p w14:paraId="69BB4CD7" w14:textId="2E3969F5"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12.960</w:t>
            </w:r>
          </w:p>
        </w:tc>
        <w:tc>
          <w:tcPr>
            <w:tcW w:w="1260" w:type="dxa"/>
            <w:tcBorders>
              <w:top w:val="single" w:sz="6" w:space="0" w:color="000000" w:themeColor="text1"/>
              <w:bottom w:val="single" w:sz="6" w:space="0" w:color="000000" w:themeColor="text1"/>
            </w:tcBorders>
            <w:tcMar>
              <w:left w:w="105" w:type="dxa"/>
              <w:right w:w="105" w:type="dxa"/>
            </w:tcMar>
          </w:tcPr>
          <w:p w14:paraId="52D64E20" w14:textId="57A41D5B"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1.500</w:t>
            </w:r>
          </w:p>
        </w:tc>
      </w:tr>
      <w:tr w:rsidR="30909213" w14:paraId="0AD19F7C" w14:textId="77777777" w:rsidTr="7C64760A">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nil"/>
            </w:tcBorders>
            <w:tcMar>
              <w:left w:w="105" w:type="dxa"/>
              <w:right w:w="105" w:type="dxa"/>
            </w:tcMar>
          </w:tcPr>
          <w:p w14:paraId="039DD14F" w14:textId="31B96218"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w:t>
            </w:r>
          </w:p>
        </w:tc>
        <w:tc>
          <w:tcPr>
            <w:tcW w:w="1845" w:type="dxa"/>
            <w:tcBorders>
              <w:top w:val="single" w:sz="6" w:space="0" w:color="000000" w:themeColor="text1"/>
              <w:bottom w:val="nil"/>
            </w:tcBorders>
            <w:tcMar>
              <w:left w:w="105" w:type="dxa"/>
              <w:right w:w="105" w:type="dxa"/>
            </w:tcMar>
          </w:tcPr>
          <w:p w14:paraId="7293B9A9" w14:textId="6CBC2528"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43.620</w:t>
            </w:r>
          </w:p>
        </w:tc>
        <w:tc>
          <w:tcPr>
            <w:tcW w:w="1935" w:type="dxa"/>
            <w:tcBorders>
              <w:top w:val="single" w:sz="6" w:space="0" w:color="000000" w:themeColor="text1"/>
              <w:bottom w:val="nil"/>
            </w:tcBorders>
            <w:tcMar>
              <w:left w:w="105" w:type="dxa"/>
              <w:right w:w="105" w:type="dxa"/>
            </w:tcMar>
          </w:tcPr>
          <w:p w14:paraId="7EE011E2" w14:textId="2E45F23B"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15.470</w:t>
            </w:r>
          </w:p>
        </w:tc>
        <w:tc>
          <w:tcPr>
            <w:tcW w:w="1305" w:type="dxa"/>
            <w:tcBorders>
              <w:top w:val="single" w:sz="6" w:space="0" w:color="000000" w:themeColor="text1"/>
              <w:bottom w:val="nil"/>
            </w:tcBorders>
            <w:tcMar>
              <w:left w:w="105" w:type="dxa"/>
              <w:right w:w="105" w:type="dxa"/>
            </w:tcMar>
          </w:tcPr>
          <w:p w14:paraId="31413889" w14:textId="1FE7B52C"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11.560</w:t>
            </w:r>
          </w:p>
        </w:tc>
        <w:tc>
          <w:tcPr>
            <w:tcW w:w="1680" w:type="dxa"/>
            <w:tcBorders>
              <w:top w:val="single" w:sz="6" w:space="0" w:color="000000" w:themeColor="text1"/>
              <w:bottom w:val="nil"/>
            </w:tcBorders>
            <w:tcMar>
              <w:left w:w="105" w:type="dxa"/>
              <w:right w:w="105" w:type="dxa"/>
            </w:tcMar>
          </w:tcPr>
          <w:p w14:paraId="4093CC36" w14:textId="3C0D7E00"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2.910</w:t>
            </w:r>
          </w:p>
        </w:tc>
        <w:tc>
          <w:tcPr>
            <w:tcW w:w="1260" w:type="dxa"/>
            <w:tcBorders>
              <w:top w:val="single" w:sz="6" w:space="0" w:color="000000" w:themeColor="text1"/>
              <w:bottom w:val="nil"/>
            </w:tcBorders>
            <w:tcMar>
              <w:left w:w="105" w:type="dxa"/>
              <w:right w:w="105" w:type="dxa"/>
            </w:tcMar>
          </w:tcPr>
          <w:p w14:paraId="6498C862" w14:textId="3ABFE237"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2.590</w:t>
            </w:r>
          </w:p>
        </w:tc>
      </w:tr>
      <w:tr w:rsidR="30909213" w14:paraId="35A901D2" w14:textId="77777777" w:rsidTr="7C64760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single" w:sz="6" w:space="0" w:color="000000" w:themeColor="text1"/>
            </w:tcBorders>
            <w:tcMar>
              <w:left w:w="105" w:type="dxa"/>
              <w:right w:w="105" w:type="dxa"/>
            </w:tcMar>
          </w:tcPr>
          <w:p w14:paraId="63B349D1" w14:textId="0E699E93"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FACEPE</w:t>
            </w:r>
          </w:p>
        </w:tc>
        <w:tc>
          <w:tcPr>
            <w:tcW w:w="1845" w:type="dxa"/>
            <w:tcBorders>
              <w:top w:val="single" w:sz="6" w:space="0" w:color="000000" w:themeColor="text1"/>
              <w:bottom w:val="single" w:sz="6" w:space="0" w:color="000000" w:themeColor="text1"/>
            </w:tcBorders>
            <w:tcMar>
              <w:left w:w="105" w:type="dxa"/>
              <w:right w:w="105" w:type="dxa"/>
            </w:tcMar>
          </w:tcPr>
          <w:p w14:paraId="20BF429F" w14:textId="49C68BF6"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13.250</w:t>
            </w:r>
          </w:p>
        </w:tc>
        <w:tc>
          <w:tcPr>
            <w:tcW w:w="1935" w:type="dxa"/>
            <w:tcBorders>
              <w:top w:val="single" w:sz="6" w:space="0" w:color="000000" w:themeColor="text1"/>
              <w:bottom w:val="single" w:sz="6" w:space="0" w:color="000000" w:themeColor="text1"/>
            </w:tcBorders>
            <w:tcMar>
              <w:left w:w="105" w:type="dxa"/>
              <w:right w:w="105" w:type="dxa"/>
            </w:tcMar>
          </w:tcPr>
          <w:p w14:paraId="0B60EDA7" w14:textId="5FBF6899"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28.030</w:t>
            </w:r>
          </w:p>
        </w:tc>
        <w:tc>
          <w:tcPr>
            <w:tcW w:w="1305" w:type="dxa"/>
            <w:tcBorders>
              <w:top w:val="single" w:sz="6" w:space="0" w:color="000000" w:themeColor="text1"/>
              <w:bottom w:val="single" w:sz="6" w:space="0" w:color="000000" w:themeColor="text1"/>
            </w:tcBorders>
            <w:tcMar>
              <w:left w:w="105" w:type="dxa"/>
              <w:right w:w="105" w:type="dxa"/>
            </w:tcMar>
          </w:tcPr>
          <w:p w14:paraId="741EFA39" w14:textId="13F44741"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16.850</w:t>
            </w:r>
          </w:p>
        </w:tc>
        <w:tc>
          <w:tcPr>
            <w:tcW w:w="1680" w:type="dxa"/>
            <w:tcBorders>
              <w:top w:val="single" w:sz="6" w:space="0" w:color="000000" w:themeColor="text1"/>
              <w:bottom w:val="single" w:sz="6" w:space="0" w:color="000000" w:themeColor="text1"/>
            </w:tcBorders>
            <w:tcMar>
              <w:left w:w="105" w:type="dxa"/>
              <w:right w:w="105" w:type="dxa"/>
            </w:tcMar>
          </w:tcPr>
          <w:p w14:paraId="747A7B72" w14:textId="1C8F4811"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7.600</w:t>
            </w:r>
          </w:p>
        </w:tc>
        <w:tc>
          <w:tcPr>
            <w:tcW w:w="1260" w:type="dxa"/>
            <w:tcBorders>
              <w:top w:val="single" w:sz="6" w:space="0" w:color="000000" w:themeColor="text1"/>
              <w:bottom w:val="single" w:sz="6" w:space="0" w:color="000000" w:themeColor="text1"/>
            </w:tcBorders>
            <w:tcMar>
              <w:left w:w="105" w:type="dxa"/>
              <w:right w:w="105" w:type="dxa"/>
            </w:tcMar>
          </w:tcPr>
          <w:p w14:paraId="7B50537B" w14:textId="444A8686"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260</w:t>
            </w:r>
          </w:p>
        </w:tc>
      </w:tr>
      <w:tr w:rsidR="30909213" w14:paraId="7B6F609D" w14:textId="77777777" w:rsidTr="7C64760A">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nil"/>
            </w:tcBorders>
            <w:tcMar>
              <w:left w:w="105" w:type="dxa"/>
              <w:right w:w="105" w:type="dxa"/>
            </w:tcMar>
          </w:tcPr>
          <w:p w14:paraId="6C5F7A60" w14:textId="2734A4E6"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FAPEPI</w:t>
            </w:r>
          </w:p>
        </w:tc>
        <w:tc>
          <w:tcPr>
            <w:tcW w:w="1845" w:type="dxa"/>
            <w:tcBorders>
              <w:top w:val="single" w:sz="6" w:space="0" w:color="000000" w:themeColor="text1"/>
              <w:bottom w:val="nil"/>
            </w:tcBorders>
            <w:tcMar>
              <w:left w:w="105" w:type="dxa"/>
              <w:right w:w="105" w:type="dxa"/>
            </w:tcMar>
          </w:tcPr>
          <w:p w14:paraId="406E2E6B" w14:textId="7DCD2400"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11.470</w:t>
            </w:r>
          </w:p>
        </w:tc>
        <w:tc>
          <w:tcPr>
            <w:tcW w:w="1935" w:type="dxa"/>
            <w:tcBorders>
              <w:top w:val="single" w:sz="6" w:space="0" w:color="000000" w:themeColor="text1"/>
              <w:bottom w:val="nil"/>
            </w:tcBorders>
            <w:tcMar>
              <w:left w:w="105" w:type="dxa"/>
              <w:right w:w="105" w:type="dxa"/>
            </w:tcMar>
          </w:tcPr>
          <w:p w14:paraId="601E980B" w14:textId="5C3814D4"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13.880</w:t>
            </w:r>
          </w:p>
        </w:tc>
        <w:tc>
          <w:tcPr>
            <w:tcW w:w="1305" w:type="dxa"/>
            <w:tcBorders>
              <w:top w:val="single" w:sz="6" w:space="0" w:color="000000" w:themeColor="text1"/>
              <w:bottom w:val="nil"/>
            </w:tcBorders>
            <w:tcMar>
              <w:left w:w="105" w:type="dxa"/>
              <w:right w:w="105" w:type="dxa"/>
            </w:tcMar>
          </w:tcPr>
          <w:p w14:paraId="316ED59C" w14:textId="0D49F81C"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6.780</w:t>
            </w:r>
          </w:p>
        </w:tc>
        <w:tc>
          <w:tcPr>
            <w:tcW w:w="1680" w:type="dxa"/>
            <w:tcBorders>
              <w:top w:val="single" w:sz="6" w:space="0" w:color="000000" w:themeColor="text1"/>
              <w:bottom w:val="nil"/>
            </w:tcBorders>
            <w:tcMar>
              <w:left w:w="105" w:type="dxa"/>
              <w:right w:w="105" w:type="dxa"/>
            </w:tcMar>
          </w:tcPr>
          <w:p w14:paraId="7B197981" w14:textId="576C09FF"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8.160</w:t>
            </w:r>
          </w:p>
        </w:tc>
        <w:tc>
          <w:tcPr>
            <w:tcW w:w="1260" w:type="dxa"/>
            <w:tcBorders>
              <w:top w:val="single" w:sz="6" w:space="0" w:color="000000" w:themeColor="text1"/>
              <w:bottom w:val="nil"/>
            </w:tcBorders>
            <w:tcMar>
              <w:left w:w="105" w:type="dxa"/>
              <w:right w:w="105" w:type="dxa"/>
            </w:tcMar>
          </w:tcPr>
          <w:p w14:paraId="7500A52E" w14:textId="145FA637"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2.530</w:t>
            </w:r>
          </w:p>
        </w:tc>
      </w:tr>
      <w:tr w:rsidR="30909213" w14:paraId="41F910F8" w14:textId="77777777" w:rsidTr="7C64760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single" w:sz="6" w:space="0" w:color="000000" w:themeColor="text1"/>
            </w:tcBorders>
            <w:tcMar>
              <w:left w:w="105" w:type="dxa"/>
              <w:right w:w="105" w:type="dxa"/>
            </w:tcMar>
          </w:tcPr>
          <w:p w14:paraId="0EFE1AD4" w14:textId="684B1752"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FAPERJ</w:t>
            </w:r>
          </w:p>
        </w:tc>
        <w:tc>
          <w:tcPr>
            <w:tcW w:w="1845" w:type="dxa"/>
            <w:tcBorders>
              <w:top w:val="single" w:sz="6" w:space="0" w:color="000000" w:themeColor="text1"/>
              <w:bottom w:val="single" w:sz="6" w:space="0" w:color="000000" w:themeColor="text1"/>
            </w:tcBorders>
            <w:tcMar>
              <w:left w:w="105" w:type="dxa"/>
              <w:right w:w="105" w:type="dxa"/>
            </w:tcMar>
          </w:tcPr>
          <w:p w14:paraId="13AEC74C" w14:textId="484C8648"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29.900</w:t>
            </w:r>
          </w:p>
        </w:tc>
        <w:tc>
          <w:tcPr>
            <w:tcW w:w="1935" w:type="dxa"/>
            <w:tcBorders>
              <w:top w:val="single" w:sz="6" w:space="0" w:color="000000" w:themeColor="text1"/>
              <w:bottom w:val="single" w:sz="6" w:space="0" w:color="000000" w:themeColor="text1"/>
            </w:tcBorders>
            <w:tcMar>
              <w:left w:w="105" w:type="dxa"/>
              <w:right w:w="105" w:type="dxa"/>
            </w:tcMar>
          </w:tcPr>
          <w:p w14:paraId="4CC41089" w14:textId="29096E18"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9.720</w:t>
            </w:r>
          </w:p>
        </w:tc>
        <w:tc>
          <w:tcPr>
            <w:tcW w:w="1305" w:type="dxa"/>
            <w:tcBorders>
              <w:top w:val="single" w:sz="6" w:space="0" w:color="000000" w:themeColor="text1"/>
              <w:bottom w:val="single" w:sz="6" w:space="0" w:color="000000" w:themeColor="text1"/>
            </w:tcBorders>
            <w:tcMar>
              <w:left w:w="105" w:type="dxa"/>
              <w:right w:w="105" w:type="dxa"/>
            </w:tcMar>
          </w:tcPr>
          <w:p w14:paraId="68CA36E1" w14:textId="66602F44"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16.240</w:t>
            </w:r>
          </w:p>
        </w:tc>
        <w:tc>
          <w:tcPr>
            <w:tcW w:w="1680" w:type="dxa"/>
            <w:tcBorders>
              <w:top w:val="single" w:sz="6" w:space="0" w:color="000000" w:themeColor="text1"/>
              <w:bottom w:val="single" w:sz="6" w:space="0" w:color="000000" w:themeColor="text1"/>
            </w:tcBorders>
            <w:tcMar>
              <w:left w:w="105" w:type="dxa"/>
              <w:right w:w="105" w:type="dxa"/>
            </w:tcMar>
          </w:tcPr>
          <w:p w14:paraId="4D3BF3BD" w14:textId="0556E264"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3.980</w:t>
            </w:r>
          </w:p>
        </w:tc>
        <w:tc>
          <w:tcPr>
            <w:tcW w:w="1260" w:type="dxa"/>
            <w:tcBorders>
              <w:top w:val="single" w:sz="6" w:space="0" w:color="000000" w:themeColor="text1"/>
              <w:bottom w:val="single" w:sz="6" w:space="0" w:color="000000" w:themeColor="text1"/>
            </w:tcBorders>
            <w:tcMar>
              <w:left w:w="105" w:type="dxa"/>
              <w:right w:w="105" w:type="dxa"/>
            </w:tcMar>
          </w:tcPr>
          <w:p w14:paraId="649EB426" w14:textId="61688820"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2.930</w:t>
            </w:r>
          </w:p>
        </w:tc>
      </w:tr>
      <w:tr w:rsidR="30909213" w14:paraId="4748EAF6" w14:textId="77777777" w:rsidTr="7C64760A">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nil"/>
            </w:tcBorders>
            <w:tcMar>
              <w:left w:w="105" w:type="dxa"/>
              <w:right w:w="105" w:type="dxa"/>
            </w:tcMar>
          </w:tcPr>
          <w:p w14:paraId="15FA6E61" w14:textId="4FC3C111"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FAPERN</w:t>
            </w:r>
          </w:p>
        </w:tc>
        <w:tc>
          <w:tcPr>
            <w:tcW w:w="1845" w:type="dxa"/>
            <w:tcBorders>
              <w:top w:val="single" w:sz="6" w:space="0" w:color="000000" w:themeColor="text1"/>
              <w:bottom w:val="nil"/>
            </w:tcBorders>
            <w:tcMar>
              <w:left w:w="105" w:type="dxa"/>
              <w:right w:w="105" w:type="dxa"/>
            </w:tcMar>
          </w:tcPr>
          <w:p w14:paraId="75DA0C97" w14:textId="29F7AD9C"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19.580</w:t>
            </w:r>
          </w:p>
        </w:tc>
        <w:tc>
          <w:tcPr>
            <w:tcW w:w="1935" w:type="dxa"/>
            <w:tcBorders>
              <w:top w:val="single" w:sz="6" w:space="0" w:color="000000" w:themeColor="text1"/>
              <w:bottom w:val="nil"/>
            </w:tcBorders>
            <w:tcMar>
              <w:left w:w="105" w:type="dxa"/>
              <w:right w:w="105" w:type="dxa"/>
            </w:tcMar>
          </w:tcPr>
          <w:p w14:paraId="780FEFEF" w14:textId="6ED7D43D"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6.140</w:t>
            </w:r>
          </w:p>
        </w:tc>
        <w:tc>
          <w:tcPr>
            <w:tcW w:w="1305" w:type="dxa"/>
            <w:tcBorders>
              <w:top w:val="single" w:sz="6" w:space="0" w:color="000000" w:themeColor="text1"/>
              <w:bottom w:val="nil"/>
            </w:tcBorders>
            <w:tcMar>
              <w:left w:w="105" w:type="dxa"/>
              <w:right w:w="105" w:type="dxa"/>
            </w:tcMar>
          </w:tcPr>
          <w:p w14:paraId="3B8369A8" w14:textId="77584757"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7.950</w:t>
            </w:r>
          </w:p>
        </w:tc>
        <w:tc>
          <w:tcPr>
            <w:tcW w:w="1680" w:type="dxa"/>
            <w:tcBorders>
              <w:top w:val="single" w:sz="6" w:space="0" w:color="000000" w:themeColor="text1"/>
              <w:bottom w:val="nil"/>
            </w:tcBorders>
            <w:tcMar>
              <w:left w:w="105" w:type="dxa"/>
              <w:right w:w="105" w:type="dxa"/>
            </w:tcMar>
          </w:tcPr>
          <w:p w14:paraId="7ACEBE69" w14:textId="35F38543"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13.520</w:t>
            </w:r>
          </w:p>
        </w:tc>
        <w:tc>
          <w:tcPr>
            <w:tcW w:w="1260" w:type="dxa"/>
            <w:tcBorders>
              <w:top w:val="single" w:sz="6" w:space="0" w:color="000000" w:themeColor="text1"/>
              <w:bottom w:val="nil"/>
            </w:tcBorders>
            <w:tcMar>
              <w:left w:w="105" w:type="dxa"/>
              <w:right w:w="105" w:type="dxa"/>
            </w:tcMar>
          </w:tcPr>
          <w:p w14:paraId="77258383" w14:textId="6A5EF01E"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2.180</w:t>
            </w:r>
          </w:p>
        </w:tc>
      </w:tr>
      <w:tr w:rsidR="30909213" w14:paraId="743ADBC5" w14:textId="77777777" w:rsidTr="7C64760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single" w:sz="6" w:space="0" w:color="000000" w:themeColor="text1"/>
            </w:tcBorders>
            <w:tcMar>
              <w:left w:w="105" w:type="dxa"/>
              <w:right w:w="105" w:type="dxa"/>
            </w:tcMar>
          </w:tcPr>
          <w:p w14:paraId="4C4A63B7" w14:textId="6FCC80A0"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FAPERGS</w:t>
            </w:r>
          </w:p>
        </w:tc>
        <w:tc>
          <w:tcPr>
            <w:tcW w:w="1845" w:type="dxa"/>
            <w:tcBorders>
              <w:top w:val="single" w:sz="6" w:space="0" w:color="000000" w:themeColor="text1"/>
              <w:bottom w:val="single" w:sz="6" w:space="0" w:color="000000" w:themeColor="text1"/>
            </w:tcBorders>
            <w:tcMar>
              <w:left w:w="105" w:type="dxa"/>
              <w:right w:w="105" w:type="dxa"/>
            </w:tcMar>
          </w:tcPr>
          <w:p w14:paraId="0F4C8BD0" w14:textId="5A787452"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35.650</w:t>
            </w:r>
          </w:p>
        </w:tc>
        <w:tc>
          <w:tcPr>
            <w:tcW w:w="1935" w:type="dxa"/>
            <w:tcBorders>
              <w:top w:val="single" w:sz="6" w:space="0" w:color="000000" w:themeColor="text1"/>
              <w:bottom w:val="single" w:sz="6" w:space="0" w:color="000000" w:themeColor="text1"/>
            </w:tcBorders>
            <w:tcMar>
              <w:left w:w="105" w:type="dxa"/>
              <w:right w:w="105" w:type="dxa"/>
            </w:tcMar>
          </w:tcPr>
          <w:p w14:paraId="09D5A0CA" w14:textId="1A74D0FF"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4.670</w:t>
            </w:r>
          </w:p>
        </w:tc>
        <w:tc>
          <w:tcPr>
            <w:tcW w:w="1305" w:type="dxa"/>
            <w:tcBorders>
              <w:top w:val="single" w:sz="6" w:space="0" w:color="000000" w:themeColor="text1"/>
              <w:bottom w:val="single" w:sz="6" w:space="0" w:color="000000" w:themeColor="text1"/>
            </w:tcBorders>
            <w:tcMar>
              <w:left w:w="105" w:type="dxa"/>
              <w:right w:w="105" w:type="dxa"/>
            </w:tcMar>
          </w:tcPr>
          <w:p w14:paraId="5BAAF9E7" w14:textId="3B161098"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3.590</w:t>
            </w:r>
          </w:p>
        </w:tc>
        <w:tc>
          <w:tcPr>
            <w:tcW w:w="1680" w:type="dxa"/>
            <w:tcBorders>
              <w:top w:val="single" w:sz="6" w:space="0" w:color="000000" w:themeColor="text1"/>
              <w:bottom w:val="single" w:sz="6" w:space="0" w:color="000000" w:themeColor="text1"/>
            </w:tcBorders>
            <w:tcMar>
              <w:left w:w="105" w:type="dxa"/>
              <w:right w:w="105" w:type="dxa"/>
            </w:tcMar>
          </w:tcPr>
          <w:p w14:paraId="6C61A763" w14:textId="738D7D74"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2.100</w:t>
            </w:r>
          </w:p>
        </w:tc>
        <w:tc>
          <w:tcPr>
            <w:tcW w:w="1260" w:type="dxa"/>
            <w:tcBorders>
              <w:top w:val="single" w:sz="6" w:space="0" w:color="000000" w:themeColor="text1"/>
              <w:bottom w:val="single" w:sz="6" w:space="0" w:color="000000" w:themeColor="text1"/>
            </w:tcBorders>
            <w:tcMar>
              <w:left w:w="105" w:type="dxa"/>
              <w:right w:w="105" w:type="dxa"/>
            </w:tcMar>
          </w:tcPr>
          <w:p w14:paraId="60838FD2" w14:textId="778EC301"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280</w:t>
            </w:r>
          </w:p>
        </w:tc>
      </w:tr>
      <w:tr w:rsidR="30909213" w14:paraId="56F3EE6C" w14:textId="77777777" w:rsidTr="7C64760A">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nil"/>
            </w:tcBorders>
            <w:tcMar>
              <w:left w:w="105" w:type="dxa"/>
              <w:right w:w="105" w:type="dxa"/>
            </w:tcMar>
          </w:tcPr>
          <w:p w14:paraId="2211D71A" w14:textId="3F76019B"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FAPERO</w:t>
            </w:r>
          </w:p>
        </w:tc>
        <w:tc>
          <w:tcPr>
            <w:tcW w:w="1845" w:type="dxa"/>
            <w:tcBorders>
              <w:top w:val="single" w:sz="6" w:space="0" w:color="000000" w:themeColor="text1"/>
              <w:bottom w:val="nil"/>
            </w:tcBorders>
            <w:tcMar>
              <w:left w:w="105" w:type="dxa"/>
              <w:right w:w="105" w:type="dxa"/>
            </w:tcMar>
          </w:tcPr>
          <w:p w14:paraId="0FA686B4" w14:textId="30CCEDA5"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10.790</w:t>
            </w:r>
          </w:p>
        </w:tc>
        <w:tc>
          <w:tcPr>
            <w:tcW w:w="1935" w:type="dxa"/>
            <w:tcBorders>
              <w:top w:val="single" w:sz="6" w:space="0" w:color="000000" w:themeColor="text1"/>
              <w:bottom w:val="nil"/>
            </w:tcBorders>
            <w:tcMar>
              <w:left w:w="105" w:type="dxa"/>
              <w:right w:w="105" w:type="dxa"/>
            </w:tcMar>
          </w:tcPr>
          <w:p w14:paraId="0C316F67" w14:textId="13D78BBC"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25.070</w:t>
            </w:r>
          </w:p>
        </w:tc>
        <w:tc>
          <w:tcPr>
            <w:tcW w:w="1305" w:type="dxa"/>
            <w:tcBorders>
              <w:top w:val="single" w:sz="6" w:space="0" w:color="000000" w:themeColor="text1"/>
              <w:bottom w:val="nil"/>
            </w:tcBorders>
            <w:tcMar>
              <w:left w:w="105" w:type="dxa"/>
              <w:right w:w="105" w:type="dxa"/>
            </w:tcMar>
          </w:tcPr>
          <w:p w14:paraId="69FA138F" w14:textId="13A72086"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8.770</w:t>
            </w:r>
          </w:p>
        </w:tc>
        <w:tc>
          <w:tcPr>
            <w:tcW w:w="1680" w:type="dxa"/>
            <w:tcBorders>
              <w:top w:val="single" w:sz="6" w:space="0" w:color="000000" w:themeColor="text1"/>
              <w:bottom w:val="nil"/>
            </w:tcBorders>
            <w:tcMar>
              <w:left w:w="105" w:type="dxa"/>
              <w:right w:w="105" w:type="dxa"/>
            </w:tcMar>
          </w:tcPr>
          <w:p w14:paraId="2D1BC04B" w14:textId="14C36410"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14.450</w:t>
            </w:r>
          </w:p>
        </w:tc>
        <w:tc>
          <w:tcPr>
            <w:tcW w:w="1260" w:type="dxa"/>
            <w:tcBorders>
              <w:top w:val="single" w:sz="6" w:space="0" w:color="000000" w:themeColor="text1"/>
              <w:bottom w:val="nil"/>
            </w:tcBorders>
            <w:tcMar>
              <w:left w:w="105" w:type="dxa"/>
              <w:right w:w="105" w:type="dxa"/>
            </w:tcMar>
          </w:tcPr>
          <w:p w14:paraId="271438AF" w14:textId="39A38143"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3.140</w:t>
            </w:r>
          </w:p>
        </w:tc>
      </w:tr>
      <w:tr w:rsidR="30909213" w14:paraId="4104E7BC" w14:textId="77777777" w:rsidTr="7C64760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single" w:sz="6" w:space="0" w:color="000000" w:themeColor="text1"/>
            </w:tcBorders>
            <w:tcMar>
              <w:left w:w="105" w:type="dxa"/>
              <w:right w:w="105" w:type="dxa"/>
            </w:tcMar>
          </w:tcPr>
          <w:p w14:paraId="67E58B68" w14:textId="74650E7D"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FAPERR</w:t>
            </w:r>
          </w:p>
        </w:tc>
        <w:tc>
          <w:tcPr>
            <w:tcW w:w="1845" w:type="dxa"/>
            <w:tcBorders>
              <w:top w:val="single" w:sz="6" w:space="0" w:color="000000" w:themeColor="text1"/>
              <w:bottom w:val="single" w:sz="6" w:space="0" w:color="000000" w:themeColor="text1"/>
            </w:tcBorders>
            <w:tcMar>
              <w:left w:w="105" w:type="dxa"/>
              <w:right w:w="105" w:type="dxa"/>
            </w:tcMar>
          </w:tcPr>
          <w:p w14:paraId="74FE975E" w14:textId="3FA3AA39"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24.360</w:t>
            </w:r>
          </w:p>
        </w:tc>
        <w:tc>
          <w:tcPr>
            <w:tcW w:w="1935" w:type="dxa"/>
            <w:tcBorders>
              <w:top w:val="single" w:sz="6" w:space="0" w:color="000000" w:themeColor="text1"/>
              <w:bottom w:val="single" w:sz="6" w:space="0" w:color="000000" w:themeColor="text1"/>
            </w:tcBorders>
            <w:tcMar>
              <w:left w:w="105" w:type="dxa"/>
              <w:right w:w="105" w:type="dxa"/>
            </w:tcMar>
          </w:tcPr>
          <w:p w14:paraId="4FCE8D82" w14:textId="7437DFD1"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1.970</w:t>
            </w:r>
          </w:p>
        </w:tc>
        <w:tc>
          <w:tcPr>
            <w:tcW w:w="1305" w:type="dxa"/>
            <w:tcBorders>
              <w:top w:val="single" w:sz="6" w:space="0" w:color="000000" w:themeColor="text1"/>
              <w:bottom w:val="single" w:sz="6" w:space="0" w:color="000000" w:themeColor="text1"/>
            </w:tcBorders>
            <w:tcMar>
              <w:left w:w="105" w:type="dxa"/>
              <w:right w:w="105" w:type="dxa"/>
            </w:tcMar>
          </w:tcPr>
          <w:p w14:paraId="69DF235D" w14:textId="2DD97D99"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5.530</w:t>
            </w:r>
          </w:p>
        </w:tc>
        <w:tc>
          <w:tcPr>
            <w:tcW w:w="1680" w:type="dxa"/>
            <w:tcBorders>
              <w:top w:val="single" w:sz="6" w:space="0" w:color="000000" w:themeColor="text1"/>
              <w:bottom w:val="single" w:sz="6" w:space="0" w:color="000000" w:themeColor="text1"/>
            </w:tcBorders>
            <w:tcMar>
              <w:left w:w="105" w:type="dxa"/>
              <w:right w:w="105" w:type="dxa"/>
            </w:tcMar>
          </w:tcPr>
          <w:p w14:paraId="47750D70" w14:textId="4B42C17B"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12.040</w:t>
            </w:r>
          </w:p>
        </w:tc>
        <w:tc>
          <w:tcPr>
            <w:tcW w:w="1260" w:type="dxa"/>
            <w:tcBorders>
              <w:top w:val="single" w:sz="6" w:space="0" w:color="000000" w:themeColor="text1"/>
              <w:bottom w:val="single" w:sz="6" w:space="0" w:color="000000" w:themeColor="text1"/>
            </w:tcBorders>
            <w:tcMar>
              <w:left w:w="105" w:type="dxa"/>
              <w:right w:w="105" w:type="dxa"/>
            </w:tcMar>
          </w:tcPr>
          <w:p w14:paraId="06B28892" w14:textId="2D3A231B"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4.940</w:t>
            </w:r>
          </w:p>
        </w:tc>
      </w:tr>
      <w:tr w:rsidR="30909213" w14:paraId="5E920017" w14:textId="77777777" w:rsidTr="7C64760A">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nil"/>
            </w:tcBorders>
            <w:tcMar>
              <w:left w:w="105" w:type="dxa"/>
              <w:right w:w="105" w:type="dxa"/>
            </w:tcMar>
          </w:tcPr>
          <w:p w14:paraId="58608141" w14:textId="7C95A6D2"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FAPESC</w:t>
            </w:r>
          </w:p>
        </w:tc>
        <w:tc>
          <w:tcPr>
            <w:tcW w:w="1845" w:type="dxa"/>
            <w:tcBorders>
              <w:top w:val="single" w:sz="6" w:space="0" w:color="000000" w:themeColor="text1"/>
              <w:bottom w:val="nil"/>
            </w:tcBorders>
            <w:tcMar>
              <w:left w:w="105" w:type="dxa"/>
              <w:right w:w="105" w:type="dxa"/>
            </w:tcMar>
          </w:tcPr>
          <w:p w14:paraId="5D8C3CDC" w14:textId="1ED35E8A"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22.080</w:t>
            </w:r>
          </w:p>
        </w:tc>
        <w:tc>
          <w:tcPr>
            <w:tcW w:w="1935" w:type="dxa"/>
            <w:tcBorders>
              <w:top w:val="single" w:sz="6" w:space="0" w:color="000000" w:themeColor="text1"/>
              <w:bottom w:val="nil"/>
            </w:tcBorders>
            <w:tcMar>
              <w:left w:w="105" w:type="dxa"/>
              <w:right w:w="105" w:type="dxa"/>
            </w:tcMar>
          </w:tcPr>
          <w:p w14:paraId="07E8B622" w14:textId="07ECC6F5"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29.350</w:t>
            </w:r>
          </w:p>
        </w:tc>
        <w:tc>
          <w:tcPr>
            <w:tcW w:w="1305" w:type="dxa"/>
            <w:tcBorders>
              <w:top w:val="single" w:sz="6" w:space="0" w:color="000000" w:themeColor="text1"/>
              <w:bottom w:val="nil"/>
            </w:tcBorders>
            <w:tcMar>
              <w:left w:w="105" w:type="dxa"/>
              <w:right w:w="105" w:type="dxa"/>
            </w:tcMar>
          </w:tcPr>
          <w:p w14:paraId="057D4B6A" w14:textId="49A839E7"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18.890</w:t>
            </w:r>
          </w:p>
        </w:tc>
        <w:tc>
          <w:tcPr>
            <w:tcW w:w="1680" w:type="dxa"/>
            <w:tcBorders>
              <w:top w:val="single" w:sz="6" w:space="0" w:color="000000" w:themeColor="text1"/>
              <w:bottom w:val="nil"/>
            </w:tcBorders>
            <w:tcMar>
              <w:left w:w="105" w:type="dxa"/>
              <w:right w:w="105" w:type="dxa"/>
            </w:tcMar>
          </w:tcPr>
          <w:p w14:paraId="086EFF3B" w14:textId="0CCEB141"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3.030</w:t>
            </w:r>
          </w:p>
        </w:tc>
        <w:tc>
          <w:tcPr>
            <w:tcW w:w="1260" w:type="dxa"/>
            <w:tcBorders>
              <w:top w:val="single" w:sz="6" w:space="0" w:color="000000" w:themeColor="text1"/>
              <w:bottom w:val="nil"/>
            </w:tcBorders>
            <w:tcMar>
              <w:left w:w="105" w:type="dxa"/>
              <w:right w:w="105" w:type="dxa"/>
            </w:tcMar>
          </w:tcPr>
          <w:p w14:paraId="0EE09A9A" w14:textId="441E37BE"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410</w:t>
            </w:r>
          </w:p>
        </w:tc>
      </w:tr>
      <w:tr w:rsidR="30909213" w14:paraId="624ACD76" w14:textId="77777777" w:rsidTr="7C64760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single" w:sz="6" w:space="0" w:color="000000" w:themeColor="text1"/>
            </w:tcBorders>
            <w:tcMar>
              <w:left w:w="105" w:type="dxa"/>
              <w:right w:w="105" w:type="dxa"/>
            </w:tcMar>
          </w:tcPr>
          <w:p w14:paraId="4AC80762" w14:textId="372E50BC"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FAPESP</w:t>
            </w:r>
          </w:p>
        </w:tc>
        <w:tc>
          <w:tcPr>
            <w:tcW w:w="1845" w:type="dxa"/>
            <w:tcBorders>
              <w:top w:val="single" w:sz="6" w:space="0" w:color="000000" w:themeColor="text1"/>
              <w:bottom w:val="single" w:sz="6" w:space="0" w:color="000000" w:themeColor="text1"/>
            </w:tcBorders>
            <w:tcMar>
              <w:left w:w="105" w:type="dxa"/>
              <w:right w:w="105" w:type="dxa"/>
            </w:tcMar>
          </w:tcPr>
          <w:p w14:paraId="504A248D" w14:textId="07630CB7"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1.907.890</w:t>
            </w:r>
          </w:p>
        </w:tc>
        <w:tc>
          <w:tcPr>
            <w:tcW w:w="1935" w:type="dxa"/>
            <w:tcBorders>
              <w:top w:val="single" w:sz="6" w:space="0" w:color="000000" w:themeColor="text1"/>
              <w:bottom w:val="single" w:sz="6" w:space="0" w:color="000000" w:themeColor="text1"/>
            </w:tcBorders>
            <w:tcMar>
              <w:left w:w="105" w:type="dxa"/>
              <w:right w:w="105" w:type="dxa"/>
            </w:tcMar>
          </w:tcPr>
          <w:p w14:paraId="1107317E" w14:textId="2B6DDBC9"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29.910</w:t>
            </w:r>
          </w:p>
        </w:tc>
        <w:tc>
          <w:tcPr>
            <w:tcW w:w="1305" w:type="dxa"/>
            <w:tcBorders>
              <w:top w:val="single" w:sz="6" w:space="0" w:color="000000" w:themeColor="text1"/>
              <w:bottom w:val="single" w:sz="6" w:space="0" w:color="000000" w:themeColor="text1"/>
            </w:tcBorders>
            <w:tcMar>
              <w:left w:w="105" w:type="dxa"/>
              <w:right w:w="105" w:type="dxa"/>
            </w:tcMar>
          </w:tcPr>
          <w:p w14:paraId="0D1B178F" w14:textId="6F255E15"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19.570</w:t>
            </w:r>
          </w:p>
        </w:tc>
        <w:tc>
          <w:tcPr>
            <w:tcW w:w="1680" w:type="dxa"/>
            <w:tcBorders>
              <w:top w:val="single" w:sz="6" w:space="0" w:color="000000" w:themeColor="text1"/>
              <w:bottom w:val="single" w:sz="6" w:space="0" w:color="000000" w:themeColor="text1"/>
            </w:tcBorders>
            <w:tcMar>
              <w:left w:w="105" w:type="dxa"/>
              <w:right w:w="105" w:type="dxa"/>
            </w:tcMar>
          </w:tcPr>
          <w:p w14:paraId="4F4D1E6A" w14:textId="53CE4013"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13.060</w:t>
            </w:r>
          </w:p>
        </w:tc>
        <w:tc>
          <w:tcPr>
            <w:tcW w:w="1260" w:type="dxa"/>
            <w:tcBorders>
              <w:top w:val="single" w:sz="6" w:space="0" w:color="000000" w:themeColor="text1"/>
              <w:bottom w:val="single" w:sz="6" w:space="0" w:color="000000" w:themeColor="text1"/>
            </w:tcBorders>
            <w:tcMar>
              <w:left w:w="105" w:type="dxa"/>
              <w:right w:w="105" w:type="dxa"/>
            </w:tcMar>
          </w:tcPr>
          <w:p w14:paraId="061DAE8D" w14:textId="058533F7"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640</w:t>
            </w:r>
          </w:p>
        </w:tc>
      </w:tr>
      <w:tr w:rsidR="30909213" w14:paraId="7B0DC68A" w14:textId="77777777" w:rsidTr="7C64760A">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nil"/>
            </w:tcBorders>
            <w:tcMar>
              <w:left w:w="105" w:type="dxa"/>
              <w:right w:w="105" w:type="dxa"/>
            </w:tcMar>
          </w:tcPr>
          <w:p w14:paraId="418C2A00" w14:textId="00547D74"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FAPITEC</w:t>
            </w:r>
          </w:p>
        </w:tc>
        <w:tc>
          <w:tcPr>
            <w:tcW w:w="1845" w:type="dxa"/>
            <w:tcBorders>
              <w:top w:val="single" w:sz="6" w:space="0" w:color="000000" w:themeColor="text1"/>
              <w:bottom w:val="nil"/>
            </w:tcBorders>
            <w:tcMar>
              <w:left w:w="105" w:type="dxa"/>
              <w:right w:w="105" w:type="dxa"/>
            </w:tcMar>
          </w:tcPr>
          <w:p w14:paraId="3964F452" w14:textId="6B9C76F2"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18.170</w:t>
            </w:r>
          </w:p>
        </w:tc>
        <w:tc>
          <w:tcPr>
            <w:tcW w:w="1935" w:type="dxa"/>
            <w:tcBorders>
              <w:top w:val="single" w:sz="6" w:space="0" w:color="000000" w:themeColor="text1"/>
              <w:bottom w:val="nil"/>
            </w:tcBorders>
            <w:tcMar>
              <w:left w:w="105" w:type="dxa"/>
              <w:right w:w="105" w:type="dxa"/>
            </w:tcMar>
          </w:tcPr>
          <w:p w14:paraId="6F2C3BBA" w14:textId="5CE4390B"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11.380</w:t>
            </w:r>
          </w:p>
        </w:tc>
        <w:tc>
          <w:tcPr>
            <w:tcW w:w="1305" w:type="dxa"/>
            <w:tcBorders>
              <w:top w:val="single" w:sz="6" w:space="0" w:color="000000" w:themeColor="text1"/>
              <w:bottom w:val="nil"/>
            </w:tcBorders>
            <w:tcMar>
              <w:left w:w="105" w:type="dxa"/>
              <w:right w:w="105" w:type="dxa"/>
            </w:tcMar>
          </w:tcPr>
          <w:p w14:paraId="2C99DEDA" w14:textId="62EEC2E6"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11.570</w:t>
            </w:r>
          </w:p>
        </w:tc>
        <w:tc>
          <w:tcPr>
            <w:tcW w:w="1680" w:type="dxa"/>
            <w:tcBorders>
              <w:top w:val="single" w:sz="6" w:space="0" w:color="000000" w:themeColor="text1"/>
              <w:bottom w:val="nil"/>
            </w:tcBorders>
            <w:tcMar>
              <w:left w:w="105" w:type="dxa"/>
              <w:right w:w="105" w:type="dxa"/>
            </w:tcMar>
          </w:tcPr>
          <w:p w14:paraId="683AFCE3" w14:textId="148C67A6"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4.600</w:t>
            </w:r>
          </w:p>
        </w:tc>
        <w:tc>
          <w:tcPr>
            <w:tcW w:w="1260" w:type="dxa"/>
            <w:tcBorders>
              <w:top w:val="single" w:sz="6" w:space="0" w:color="000000" w:themeColor="text1"/>
              <w:bottom w:val="nil"/>
            </w:tcBorders>
            <w:tcMar>
              <w:left w:w="105" w:type="dxa"/>
              <w:right w:w="105" w:type="dxa"/>
            </w:tcMar>
          </w:tcPr>
          <w:p w14:paraId="0C658E38" w14:textId="487283BD" w:rsidR="30909213" w:rsidRDefault="1A4C1059" w:rsidP="7C64760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3.810</w:t>
            </w:r>
          </w:p>
        </w:tc>
      </w:tr>
      <w:tr w:rsidR="30909213" w14:paraId="1234AFF2" w14:textId="77777777" w:rsidTr="7C64760A">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sz="6" w:space="0" w:color="000000" w:themeColor="text1"/>
              <w:bottom w:val="single" w:sz="6" w:space="0" w:color="000000" w:themeColor="text1"/>
            </w:tcBorders>
            <w:tcMar>
              <w:left w:w="105" w:type="dxa"/>
              <w:right w:w="105" w:type="dxa"/>
            </w:tcMar>
          </w:tcPr>
          <w:p w14:paraId="327FC67E" w14:textId="3C71DAF8" w:rsidR="30909213" w:rsidRDefault="1A4C1059" w:rsidP="7C64760A">
            <w:pPr>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FAPT</w:t>
            </w:r>
          </w:p>
        </w:tc>
        <w:tc>
          <w:tcPr>
            <w:tcW w:w="1845" w:type="dxa"/>
            <w:tcBorders>
              <w:top w:val="single" w:sz="6" w:space="0" w:color="000000" w:themeColor="text1"/>
              <w:bottom w:val="single" w:sz="6" w:space="0" w:color="000000" w:themeColor="text1"/>
            </w:tcBorders>
            <w:tcMar>
              <w:left w:w="105" w:type="dxa"/>
              <w:right w:w="105" w:type="dxa"/>
            </w:tcMar>
          </w:tcPr>
          <w:p w14:paraId="7FB3B46F" w14:textId="1EDE22E6"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40.400</w:t>
            </w:r>
          </w:p>
        </w:tc>
        <w:tc>
          <w:tcPr>
            <w:tcW w:w="1935" w:type="dxa"/>
            <w:tcBorders>
              <w:top w:val="single" w:sz="6" w:space="0" w:color="000000" w:themeColor="text1"/>
              <w:bottom w:val="single" w:sz="6" w:space="0" w:color="000000" w:themeColor="text1"/>
            </w:tcBorders>
            <w:tcMar>
              <w:left w:w="105" w:type="dxa"/>
              <w:right w:w="105" w:type="dxa"/>
            </w:tcMar>
          </w:tcPr>
          <w:p w14:paraId="6CCB555C" w14:textId="003E68EC"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6.760</w:t>
            </w:r>
          </w:p>
        </w:tc>
        <w:tc>
          <w:tcPr>
            <w:tcW w:w="1305" w:type="dxa"/>
            <w:tcBorders>
              <w:top w:val="single" w:sz="6" w:space="0" w:color="000000" w:themeColor="text1"/>
              <w:bottom w:val="single" w:sz="6" w:space="0" w:color="000000" w:themeColor="text1"/>
            </w:tcBorders>
            <w:tcMar>
              <w:left w:w="105" w:type="dxa"/>
              <w:right w:w="105" w:type="dxa"/>
            </w:tcMar>
          </w:tcPr>
          <w:p w14:paraId="51934A3C" w14:textId="40C08669"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8.910</w:t>
            </w:r>
          </w:p>
        </w:tc>
        <w:tc>
          <w:tcPr>
            <w:tcW w:w="1680" w:type="dxa"/>
            <w:tcBorders>
              <w:top w:val="single" w:sz="6" w:space="0" w:color="000000" w:themeColor="text1"/>
              <w:bottom w:val="single" w:sz="6" w:space="0" w:color="000000" w:themeColor="text1"/>
            </w:tcBorders>
            <w:tcMar>
              <w:left w:w="105" w:type="dxa"/>
              <w:right w:w="105" w:type="dxa"/>
            </w:tcMar>
          </w:tcPr>
          <w:p w14:paraId="2D5A9A75" w14:textId="7D816100"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8.130</w:t>
            </w:r>
          </w:p>
        </w:tc>
        <w:tc>
          <w:tcPr>
            <w:tcW w:w="1260" w:type="dxa"/>
            <w:tcBorders>
              <w:top w:val="single" w:sz="6" w:space="0" w:color="000000" w:themeColor="text1"/>
              <w:bottom w:val="single" w:sz="6" w:space="0" w:color="000000" w:themeColor="text1"/>
            </w:tcBorders>
            <w:tcMar>
              <w:left w:w="105" w:type="dxa"/>
              <w:right w:w="105" w:type="dxa"/>
            </w:tcMar>
          </w:tcPr>
          <w:p w14:paraId="1A2E1FD6" w14:textId="6E4F2E85" w:rsidR="30909213" w:rsidRDefault="1A4C1059" w:rsidP="7C64760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2.310</w:t>
            </w:r>
          </w:p>
        </w:tc>
      </w:tr>
    </w:tbl>
    <w:p w14:paraId="48C64FC7" w14:textId="336FEA42" w:rsidR="00946FEE" w:rsidRDefault="241D4344" w:rsidP="7C64760A">
      <w:pPr>
        <w:spacing w:after="0" w:line="240" w:lineRule="auto"/>
        <w:jc w:val="both"/>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Fonte: Elaborado pelos autores.</w:t>
      </w:r>
    </w:p>
    <w:p w14:paraId="6945E3E1" w14:textId="5BE81AA2" w:rsidR="00946FEE" w:rsidRDefault="00946FEE" w:rsidP="7C64760A">
      <w:pPr>
        <w:spacing w:after="0" w:line="240" w:lineRule="auto"/>
        <w:jc w:val="both"/>
        <w:rPr>
          <w:rFonts w:ascii="Times New Roman" w:eastAsia="Times New Roman" w:hAnsi="Times New Roman" w:cs="Times New Roman"/>
        </w:rPr>
      </w:pPr>
    </w:p>
    <w:p w14:paraId="68A69A05" w14:textId="63136CC9" w:rsidR="00946FEE" w:rsidRDefault="00946FEE" w:rsidP="7C64760A">
      <w:pPr>
        <w:spacing w:after="0" w:line="240" w:lineRule="auto"/>
        <w:jc w:val="both"/>
        <w:rPr>
          <w:rFonts w:ascii="Times New Roman" w:eastAsia="Times New Roman" w:hAnsi="Times New Roman" w:cs="Times New Roman"/>
        </w:rPr>
      </w:pPr>
    </w:p>
    <w:p w14:paraId="4067D0ED" w14:textId="5A5FD55E" w:rsidR="626FCED7" w:rsidRDefault="626FCED7" w:rsidP="7C64760A">
      <w:pPr>
        <w:spacing w:after="0" w:line="240" w:lineRule="auto"/>
        <w:rPr>
          <w:rFonts w:ascii="Times New Roman" w:eastAsia="Times New Roman" w:hAnsi="Times New Roman" w:cs="Times New Roman"/>
          <w:b/>
          <w:bCs/>
          <w:sz w:val="20"/>
          <w:szCs w:val="20"/>
        </w:rPr>
      </w:pPr>
      <w:r w:rsidRPr="7C64760A">
        <w:rPr>
          <w:rFonts w:ascii="Times New Roman" w:eastAsia="Times New Roman" w:hAnsi="Times New Roman" w:cs="Times New Roman"/>
          <w:b/>
          <w:bCs/>
          <w:sz w:val="20"/>
          <w:szCs w:val="20"/>
        </w:rPr>
        <w:t>Apêndice B</w:t>
      </w:r>
    </w:p>
    <w:p w14:paraId="75F5E98D" w14:textId="62AA1B7B" w:rsidR="626FCED7" w:rsidRDefault="626FCED7" w:rsidP="7C64760A">
      <w:pPr>
        <w:spacing w:after="0" w:line="240" w:lineRule="auto"/>
        <w:rPr>
          <w:rFonts w:ascii="Times New Roman" w:eastAsia="Times New Roman" w:hAnsi="Times New Roman" w:cs="Times New Roman"/>
          <w:i/>
          <w:iCs/>
          <w:sz w:val="20"/>
          <w:szCs w:val="20"/>
        </w:rPr>
      </w:pPr>
      <w:r w:rsidRPr="7C64760A">
        <w:rPr>
          <w:rFonts w:ascii="Times New Roman" w:eastAsia="Times New Roman" w:hAnsi="Times New Roman" w:cs="Times New Roman"/>
          <w:i/>
          <w:iCs/>
          <w:sz w:val="20"/>
          <w:szCs w:val="20"/>
        </w:rPr>
        <w:t>Instrumento de Coleta: Indicadores do Nível de Transparência</w:t>
      </w:r>
    </w:p>
    <w:tbl>
      <w:tblPr>
        <w:tblStyle w:val="SimplesTabela2"/>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10"/>
        <w:gridCol w:w="8640"/>
      </w:tblGrid>
      <w:tr w:rsidR="30909213" w14:paraId="3D35781B" w14:textId="77777777" w:rsidTr="7C64760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bottom w:val="single" w:sz="6" w:space="0" w:color="000000" w:themeColor="text1"/>
            </w:tcBorders>
            <w:shd w:val="clear" w:color="auto" w:fill="D9D9D9" w:themeFill="background1" w:themeFillShade="D9"/>
            <w:tcMar>
              <w:left w:w="105" w:type="dxa"/>
              <w:right w:w="105" w:type="dxa"/>
            </w:tcMar>
          </w:tcPr>
          <w:p w14:paraId="5F8A72C6" w14:textId="06ED2860" w:rsidR="30909213" w:rsidRDefault="1A4C1059" w:rsidP="7C64760A">
            <w:pPr>
              <w:jc w:val="both"/>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lastRenderedPageBreak/>
              <w:t>A) Informação geral</w:t>
            </w:r>
          </w:p>
        </w:tc>
      </w:tr>
      <w:tr w:rsidR="30909213" w14:paraId="3F26F29A"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16BBB702" w14:textId="436F35AF"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w:t>
            </w:r>
          </w:p>
        </w:tc>
        <w:tc>
          <w:tcPr>
            <w:tcW w:w="8640" w:type="dxa"/>
            <w:tcBorders>
              <w:top w:val="single" w:sz="6" w:space="0" w:color="000000" w:themeColor="text1"/>
              <w:bottom w:val="single" w:sz="6" w:space="0" w:color="000000" w:themeColor="text1"/>
            </w:tcBorders>
            <w:tcMar>
              <w:left w:w="105" w:type="dxa"/>
              <w:right w:w="105" w:type="dxa"/>
            </w:tcMar>
          </w:tcPr>
          <w:p w14:paraId="7D14153E" w14:textId="522C49A9"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Informa claramente sobre o seu ramo de atividade</w:t>
            </w:r>
          </w:p>
        </w:tc>
      </w:tr>
      <w:tr w:rsidR="30909213" w14:paraId="280BF28A"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49F384BD" w14:textId="3D898878"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w:t>
            </w:r>
          </w:p>
        </w:tc>
        <w:tc>
          <w:tcPr>
            <w:tcW w:w="8640" w:type="dxa"/>
            <w:tcBorders>
              <w:top w:val="single" w:sz="6" w:space="0" w:color="000000" w:themeColor="text1"/>
              <w:bottom w:val="nil"/>
            </w:tcBorders>
            <w:tcMar>
              <w:left w:w="105" w:type="dxa"/>
              <w:right w:w="105" w:type="dxa"/>
            </w:tcMar>
          </w:tcPr>
          <w:p w14:paraId="01C35E4B" w14:textId="4327695C"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Indica inequivocamente quem são os beneficiários das suas operações</w:t>
            </w:r>
          </w:p>
        </w:tc>
      </w:tr>
      <w:tr w:rsidR="30909213" w14:paraId="32D26A99"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5339ABAA" w14:textId="4A49C52B"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w:t>
            </w:r>
          </w:p>
        </w:tc>
        <w:tc>
          <w:tcPr>
            <w:tcW w:w="8640" w:type="dxa"/>
            <w:tcBorders>
              <w:top w:val="single" w:sz="6" w:space="0" w:color="000000" w:themeColor="text1"/>
              <w:bottom w:val="single" w:sz="6" w:space="0" w:color="000000" w:themeColor="text1"/>
            </w:tcBorders>
            <w:tcMar>
              <w:left w:w="105" w:type="dxa"/>
              <w:right w:w="105" w:type="dxa"/>
            </w:tcMar>
          </w:tcPr>
          <w:p w14:paraId="4B72F530" w14:textId="44494700"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A missão da organização está claramente definida</w:t>
            </w:r>
          </w:p>
        </w:tc>
      </w:tr>
      <w:tr w:rsidR="30909213" w14:paraId="03DDB852"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2D9285B8" w14:textId="0657F27A"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w:t>
            </w:r>
          </w:p>
        </w:tc>
        <w:tc>
          <w:tcPr>
            <w:tcW w:w="8640" w:type="dxa"/>
            <w:tcBorders>
              <w:top w:val="single" w:sz="6" w:space="0" w:color="000000" w:themeColor="text1"/>
              <w:bottom w:val="nil"/>
            </w:tcBorders>
            <w:tcMar>
              <w:left w:w="105" w:type="dxa"/>
              <w:right w:w="105" w:type="dxa"/>
            </w:tcMar>
          </w:tcPr>
          <w:p w14:paraId="79E6946C" w14:textId="0B5005A6"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A visão da organização está claramente definida</w:t>
            </w:r>
          </w:p>
        </w:tc>
      </w:tr>
      <w:tr w:rsidR="30909213" w14:paraId="7AB0DCAC"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3AF763CC" w14:textId="26735C71"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w:t>
            </w:r>
          </w:p>
        </w:tc>
        <w:tc>
          <w:tcPr>
            <w:tcW w:w="8640" w:type="dxa"/>
            <w:tcBorders>
              <w:top w:val="single" w:sz="6" w:space="0" w:color="000000" w:themeColor="text1"/>
              <w:bottom w:val="single" w:sz="6" w:space="0" w:color="000000" w:themeColor="text1"/>
            </w:tcBorders>
            <w:tcMar>
              <w:left w:w="105" w:type="dxa"/>
              <w:right w:w="105" w:type="dxa"/>
            </w:tcMar>
          </w:tcPr>
          <w:p w14:paraId="2BC13AAB" w14:textId="0B40A284"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Os valores estão enunciados e a interpretação que a organização faz deles são definidos</w:t>
            </w:r>
          </w:p>
        </w:tc>
      </w:tr>
      <w:tr w:rsidR="30909213" w14:paraId="27345B56"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07BDD75A" w14:textId="079AB834"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w:t>
            </w:r>
          </w:p>
        </w:tc>
        <w:tc>
          <w:tcPr>
            <w:tcW w:w="8640" w:type="dxa"/>
            <w:tcBorders>
              <w:top w:val="single" w:sz="6" w:space="0" w:color="000000" w:themeColor="text1"/>
              <w:bottom w:val="nil"/>
            </w:tcBorders>
            <w:tcMar>
              <w:left w:w="105" w:type="dxa"/>
              <w:right w:w="105" w:type="dxa"/>
            </w:tcMar>
          </w:tcPr>
          <w:p w14:paraId="69538888" w14:textId="507890AB"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Informações sobre os interesses que representa (da ciência e tecnologia, de ensino, pesquisa e extensão)</w:t>
            </w:r>
          </w:p>
        </w:tc>
      </w:tr>
      <w:tr w:rsidR="30909213" w14:paraId="3A67C404"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1AEB5AC6" w14:textId="3F304BD5"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w:t>
            </w:r>
          </w:p>
        </w:tc>
        <w:tc>
          <w:tcPr>
            <w:tcW w:w="8640" w:type="dxa"/>
            <w:tcBorders>
              <w:top w:val="single" w:sz="6" w:space="0" w:color="000000" w:themeColor="text1"/>
              <w:bottom w:val="single" w:sz="6" w:space="0" w:color="000000" w:themeColor="text1"/>
            </w:tcBorders>
            <w:tcMar>
              <w:left w:w="105" w:type="dxa"/>
              <w:right w:w="105" w:type="dxa"/>
            </w:tcMar>
          </w:tcPr>
          <w:p w14:paraId="00C5E9F4" w14:textId="7CFF5AAD"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Os objetivos da organização são claros, precisos e passíveis de avaliação</w:t>
            </w:r>
          </w:p>
        </w:tc>
      </w:tr>
      <w:tr w:rsidR="30909213" w14:paraId="4A4E10EE"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5AA0DE12" w14:textId="2CE99F50"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8</w:t>
            </w:r>
          </w:p>
        </w:tc>
        <w:tc>
          <w:tcPr>
            <w:tcW w:w="8640" w:type="dxa"/>
            <w:tcBorders>
              <w:top w:val="single" w:sz="6" w:space="0" w:color="000000" w:themeColor="text1"/>
              <w:bottom w:val="nil"/>
            </w:tcBorders>
            <w:tcMar>
              <w:left w:w="105" w:type="dxa"/>
              <w:right w:w="105" w:type="dxa"/>
            </w:tcMar>
          </w:tcPr>
          <w:p w14:paraId="253306F3" w14:textId="6888ADDA"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Descrição dos projetos e programas desenvolvidos.</w:t>
            </w:r>
          </w:p>
        </w:tc>
      </w:tr>
      <w:tr w:rsidR="30909213" w14:paraId="01A0AA2C"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4FCA8DEF" w14:textId="1A30E705"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9</w:t>
            </w:r>
          </w:p>
        </w:tc>
        <w:tc>
          <w:tcPr>
            <w:tcW w:w="8640" w:type="dxa"/>
            <w:tcBorders>
              <w:top w:val="single" w:sz="6" w:space="0" w:color="000000" w:themeColor="text1"/>
              <w:bottom w:val="single" w:sz="6" w:space="0" w:color="000000" w:themeColor="text1"/>
            </w:tcBorders>
            <w:tcMar>
              <w:left w:w="105" w:type="dxa"/>
              <w:right w:w="105" w:type="dxa"/>
            </w:tcMar>
          </w:tcPr>
          <w:p w14:paraId="5BE7F360" w14:textId="0D8D797D"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Calendário de eventos</w:t>
            </w:r>
          </w:p>
        </w:tc>
      </w:tr>
      <w:tr w:rsidR="30909213" w14:paraId="58F08EC4"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10BABEB8" w14:textId="0BD47F8D"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10</w:t>
            </w:r>
          </w:p>
        </w:tc>
        <w:tc>
          <w:tcPr>
            <w:tcW w:w="8640" w:type="dxa"/>
            <w:tcBorders>
              <w:top w:val="single" w:sz="6" w:space="0" w:color="000000" w:themeColor="text1"/>
              <w:bottom w:val="nil"/>
            </w:tcBorders>
            <w:tcMar>
              <w:left w:w="105" w:type="dxa"/>
              <w:right w:w="105" w:type="dxa"/>
            </w:tcMar>
          </w:tcPr>
          <w:p w14:paraId="4D2D500F" w14:textId="7446912C"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Serviço de notícias</w:t>
            </w:r>
          </w:p>
        </w:tc>
      </w:tr>
      <w:tr w:rsidR="30909213" w14:paraId="44EEF0A5"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02EE3D7B" w14:textId="3B9DBD96"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11</w:t>
            </w:r>
          </w:p>
        </w:tc>
        <w:tc>
          <w:tcPr>
            <w:tcW w:w="8640" w:type="dxa"/>
            <w:tcBorders>
              <w:top w:val="single" w:sz="6" w:space="0" w:color="000000" w:themeColor="text1"/>
              <w:bottom w:val="single" w:sz="6" w:space="0" w:color="000000" w:themeColor="text1"/>
            </w:tcBorders>
            <w:tcMar>
              <w:left w:w="105" w:type="dxa"/>
              <w:right w:w="105" w:type="dxa"/>
            </w:tcMar>
          </w:tcPr>
          <w:p w14:paraId="32B3C30E" w14:textId="0E542B68"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Fornece informações precisas e quantitativas sobre o ambiente político da organização não governamental de desenvolvimento</w:t>
            </w:r>
          </w:p>
        </w:tc>
      </w:tr>
      <w:tr w:rsidR="30909213" w14:paraId="04873DB3"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2EDAE209" w14:textId="49CF7FE7"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12</w:t>
            </w:r>
          </w:p>
        </w:tc>
        <w:tc>
          <w:tcPr>
            <w:tcW w:w="8640" w:type="dxa"/>
            <w:tcBorders>
              <w:top w:val="single" w:sz="6" w:space="0" w:color="000000" w:themeColor="text1"/>
              <w:bottom w:val="nil"/>
            </w:tcBorders>
            <w:tcMar>
              <w:left w:w="105" w:type="dxa"/>
              <w:right w:w="105" w:type="dxa"/>
            </w:tcMar>
          </w:tcPr>
          <w:p w14:paraId="7DC4D610" w14:textId="62F963E6"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Informa sobre os processos de qualidade implementados pela organização</w:t>
            </w:r>
          </w:p>
        </w:tc>
      </w:tr>
      <w:tr w:rsidR="30909213" w14:paraId="45A8F806"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2B09811B" w14:textId="4544A36C"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13</w:t>
            </w:r>
          </w:p>
        </w:tc>
        <w:tc>
          <w:tcPr>
            <w:tcW w:w="8640" w:type="dxa"/>
            <w:tcBorders>
              <w:top w:val="single" w:sz="6" w:space="0" w:color="000000" w:themeColor="text1"/>
              <w:bottom w:val="single" w:sz="6" w:space="0" w:color="000000" w:themeColor="text1"/>
            </w:tcBorders>
            <w:tcMar>
              <w:left w:w="105" w:type="dxa"/>
              <w:right w:w="105" w:type="dxa"/>
            </w:tcMar>
          </w:tcPr>
          <w:p w14:paraId="32348405" w14:textId="2447E675"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Informa sobre o total de pessoas contratadas</w:t>
            </w:r>
          </w:p>
        </w:tc>
      </w:tr>
      <w:tr w:rsidR="30909213" w14:paraId="1422A622"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5D6E74EA" w14:textId="42075E6D"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14</w:t>
            </w:r>
          </w:p>
        </w:tc>
        <w:tc>
          <w:tcPr>
            <w:tcW w:w="8640" w:type="dxa"/>
            <w:tcBorders>
              <w:top w:val="single" w:sz="6" w:space="0" w:color="000000" w:themeColor="text1"/>
              <w:bottom w:val="nil"/>
            </w:tcBorders>
            <w:tcMar>
              <w:left w:w="105" w:type="dxa"/>
              <w:right w:w="105" w:type="dxa"/>
            </w:tcMar>
          </w:tcPr>
          <w:p w14:paraId="6C6453B5" w14:textId="2091E0D4"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Informa sobre a existência do total de voluntários</w:t>
            </w:r>
          </w:p>
        </w:tc>
      </w:tr>
      <w:tr w:rsidR="30909213" w14:paraId="72C4CB04"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279C8DB1" w14:textId="598C2BA3"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15</w:t>
            </w:r>
          </w:p>
        </w:tc>
        <w:tc>
          <w:tcPr>
            <w:tcW w:w="8640" w:type="dxa"/>
            <w:tcBorders>
              <w:top w:val="single" w:sz="6" w:space="0" w:color="000000" w:themeColor="text1"/>
              <w:bottom w:val="single" w:sz="6" w:space="0" w:color="000000" w:themeColor="text1"/>
            </w:tcBorders>
            <w:tcMar>
              <w:left w:w="105" w:type="dxa"/>
              <w:right w:w="105" w:type="dxa"/>
            </w:tcMar>
          </w:tcPr>
          <w:p w14:paraId="31740EE6" w14:textId="4AC4B86C"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Informações sobre o regime jurídico e tipo de contratos de trabalho do pessoal</w:t>
            </w:r>
          </w:p>
        </w:tc>
      </w:tr>
      <w:tr w:rsidR="30909213" w14:paraId="2216D545"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7C0ED0AB" w14:textId="7683204B"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16</w:t>
            </w:r>
          </w:p>
        </w:tc>
        <w:tc>
          <w:tcPr>
            <w:tcW w:w="8640" w:type="dxa"/>
            <w:tcBorders>
              <w:top w:val="single" w:sz="6" w:space="0" w:color="000000" w:themeColor="text1"/>
              <w:bottom w:val="nil"/>
            </w:tcBorders>
            <w:tcMar>
              <w:left w:w="105" w:type="dxa"/>
              <w:right w:w="105" w:type="dxa"/>
            </w:tcMar>
          </w:tcPr>
          <w:p w14:paraId="6E62A4EA" w14:textId="448C6496"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Indica a estrutura da organização</w:t>
            </w:r>
          </w:p>
        </w:tc>
      </w:tr>
      <w:tr w:rsidR="30909213" w14:paraId="4FACD43F"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253783D9" w14:textId="36841EC9"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17</w:t>
            </w:r>
          </w:p>
        </w:tc>
        <w:tc>
          <w:tcPr>
            <w:tcW w:w="8640" w:type="dxa"/>
            <w:tcBorders>
              <w:top w:val="single" w:sz="6" w:space="0" w:color="000000" w:themeColor="text1"/>
              <w:bottom w:val="single" w:sz="6" w:space="0" w:color="000000" w:themeColor="text1"/>
            </w:tcBorders>
            <w:tcMar>
              <w:left w:w="105" w:type="dxa"/>
              <w:right w:w="105" w:type="dxa"/>
            </w:tcMar>
          </w:tcPr>
          <w:p w14:paraId="1C92384B" w14:textId="6CD5D18C"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Informações sobre treinamentos realizados pelo pessoal da organização</w:t>
            </w:r>
          </w:p>
        </w:tc>
      </w:tr>
      <w:tr w:rsidR="30909213" w14:paraId="305FE73E"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38415487" w14:textId="1CF87135"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18</w:t>
            </w:r>
          </w:p>
        </w:tc>
        <w:tc>
          <w:tcPr>
            <w:tcW w:w="8640" w:type="dxa"/>
            <w:tcBorders>
              <w:top w:val="single" w:sz="6" w:space="0" w:color="000000" w:themeColor="text1"/>
              <w:bottom w:val="nil"/>
            </w:tcBorders>
            <w:tcMar>
              <w:left w:w="105" w:type="dxa"/>
              <w:right w:w="105" w:type="dxa"/>
            </w:tcMar>
          </w:tcPr>
          <w:p w14:paraId="6D685908" w14:textId="52D85D6C"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Recursos educacionais</w:t>
            </w:r>
          </w:p>
        </w:tc>
      </w:tr>
      <w:tr w:rsidR="30909213" w14:paraId="193BF191"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0B834076" w14:textId="06E47AA6"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19</w:t>
            </w:r>
          </w:p>
        </w:tc>
        <w:tc>
          <w:tcPr>
            <w:tcW w:w="8640" w:type="dxa"/>
            <w:tcBorders>
              <w:top w:val="single" w:sz="6" w:space="0" w:color="000000" w:themeColor="text1"/>
              <w:bottom w:val="single" w:sz="6" w:space="0" w:color="000000" w:themeColor="text1"/>
            </w:tcBorders>
            <w:tcMar>
              <w:left w:w="105" w:type="dxa"/>
              <w:right w:w="105" w:type="dxa"/>
            </w:tcMar>
          </w:tcPr>
          <w:p w14:paraId="643C1643" w14:textId="01ED5E20"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Informações sobre vínculos com financiadores, associações ou empresas</w:t>
            </w:r>
          </w:p>
        </w:tc>
      </w:tr>
      <w:tr w:rsidR="30909213" w14:paraId="354AB689"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top w:val="single" w:sz="6" w:space="0" w:color="000000" w:themeColor="text1"/>
              <w:bottom w:val="nil"/>
            </w:tcBorders>
            <w:shd w:val="clear" w:color="auto" w:fill="D9D9D9" w:themeFill="background1" w:themeFillShade="D9"/>
            <w:tcMar>
              <w:left w:w="105" w:type="dxa"/>
              <w:right w:w="105" w:type="dxa"/>
            </w:tcMar>
          </w:tcPr>
          <w:p w14:paraId="4C640AEC" w14:textId="2EA4126A" w:rsidR="30909213" w:rsidRDefault="1A4C1059" w:rsidP="7C64760A">
            <w:pPr>
              <w:jc w:val="both"/>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B) Governança e informações financeiras</w:t>
            </w:r>
          </w:p>
        </w:tc>
      </w:tr>
      <w:tr w:rsidR="30909213" w14:paraId="53441797"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64615D0F" w14:textId="64CF5409"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20</w:t>
            </w:r>
          </w:p>
        </w:tc>
        <w:tc>
          <w:tcPr>
            <w:tcW w:w="8640" w:type="dxa"/>
            <w:tcBorders>
              <w:top w:val="single" w:sz="6" w:space="0" w:color="000000" w:themeColor="text1"/>
              <w:bottom w:val="single" w:sz="6" w:space="0" w:color="000000" w:themeColor="text1"/>
            </w:tcBorders>
            <w:tcMar>
              <w:left w:w="105" w:type="dxa"/>
              <w:right w:w="105" w:type="dxa"/>
            </w:tcMar>
          </w:tcPr>
          <w:p w14:paraId="56B65A79" w14:textId="422E6404"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Nomes e histórico sucinto de todos os membros dos conselhos diretivos e de administração</w:t>
            </w:r>
          </w:p>
        </w:tc>
      </w:tr>
      <w:tr w:rsidR="30909213" w14:paraId="7431D0AC"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37AC965E" w14:textId="34EACBB2"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21</w:t>
            </w:r>
          </w:p>
        </w:tc>
        <w:tc>
          <w:tcPr>
            <w:tcW w:w="8640" w:type="dxa"/>
            <w:tcBorders>
              <w:top w:val="single" w:sz="6" w:space="0" w:color="000000" w:themeColor="text1"/>
              <w:bottom w:val="nil"/>
            </w:tcBorders>
            <w:tcMar>
              <w:left w:w="105" w:type="dxa"/>
              <w:right w:w="105" w:type="dxa"/>
            </w:tcMar>
          </w:tcPr>
          <w:p w14:paraId="7919B051" w14:textId="59E54F06"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Calendário de reuniões</w:t>
            </w:r>
          </w:p>
        </w:tc>
      </w:tr>
      <w:tr w:rsidR="30909213" w14:paraId="3F9E7DC1"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3976F80D" w14:textId="3CB758B0"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22</w:t>
            </w:r>
          </w:p>
        </w:tc>
        <w:tc>
          <w:tcPr>
            <w:tcW w:w="8640" w:type="dxa"/>
            <w:tcBorders>
              <w:top w:val="single" w:sz="6" w:space="0" w:color="000000" w:themeColor="text1"/>
              <w:bottom w:val="single" w:sz="6" w:space="0" w:color="000000" w:themeColor="text1"/>
            </w:tcBorders>
            <w:tcMar>
              <w:left w:w="105" w:type="dxa"/>
              <w:right w:w="105" w:type="dxa"/>
            </w:tcMar>
          </w:tcPr>
          <w:p w14:paraId="4B859D7F" w14:textId="46DFF242"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Estatutos, regulamentos ou regimes internos de funcionamento</w:t>
            </w:r>
          </w:p>
        </w:tc>
      </w:tr>
      <w:tr w:rsidR="30909213" w14:paraId="7D56799B"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76C6C5F7" w14:textId="775755AE"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23</w:t>
            </w:r>
          </w:p>
        </w:tc>
        <w:tc>
          <w:tcPr>
            <w:tcW w:w="8640" w:type="dxa"/>
            <w:tcBorders>
              <w:top w:val="single" w:sz="6" w:space="0" w:color="000000" w:themeColor="text1"/>
              <w:bottom w:val="nil"/>
            </w:tcBorders>
            <w:tcMar>
              <w:left w:w="105" w:type="dxa"/>
              <w:right w:w="105" w:type="dxa"/>
            </w:tcMar>
          </w:tcPr>
          <w:p w14:paraId="474A8F57" w14:textId="24EDBCBA"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Divulga os acordos adotados nas reuniões convocadas</w:t>
            </w:r>
          </w:p>
        </w:tc>
      </w:tr>
      <w:tr w:rsidR="30909213" w14:paraId="1B1D0A4F"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3C384006" w14:textId="05ECD59B"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24</w:t>
            </w:r>
          </w:p>
        </w:tc>
        <w:tc>
          <w:tcPr>
            <w:tcW w:w="8640" w:type="dxa"/>
            <w:tcBorders>
              <w:top w:val="single" w:sz="6" w:space="0" w:color="000000" w:themeColor="text1"/>
              <w:bottom w:val="single" w:sz="6" w:space="0" w:color="000000" w:themeColor="text1"/>
            </w:tcBorders>
            <w:tcMar>
              <w:left w:w="105" w:type="dxa"/>
              <w:right w:w="105" w:type="dxa"/>
            </w:tcMar>
          </w:tcPr>
          <w:p w14:paraId="5BF14690" w14:textId="4C8F8273"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Informa sobre os procedimentos de eleição e destituição de membros do conselho de administração curadores</w:t>
            </w:r>
          </w:p>
        </w:tc>
      </w:tr>
      <w:tr w:rsidR="30909213" w14:paraId="4EB94062"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6959BF7A" w14:textId="795110CD"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25</w:t>
            </w:r>
          </w:p>
        </w:tc>
        <w:tc>
          <w:tcPr>
            <w:tcW w:w="8640" w:type="dxa"/>
            <w:tcBorders>
              <w:top w:val="single" w:sz="6" w:space="0" w:color="000000" w:themeColor="text1"/>
              <w:bottom w:val="nil"/>
            </w:tcBorders>
            <w:tcMar>
              <w:left w:w="105" w:type="dxa"/>
              <w:right w:w="105" w:type="dxa"/>
            </w:tcMar>
          </w:tcPr>
          <w:p w14:paraId="113345C3" w14:textId="51E8061B"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Informa sobre a política de remuneração dos componentes do conselho diretivo e de administração</w:t>
            </w:r>
          </w:p>
        </w:tc>
      </w:tr>
      <w:tr w:rsidR="30909213" w14:paraId="6DA408B4"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33B73765" w14:textId="019C6117"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26</w:t>
            </w:r>
          </w:p>
        </w:tc>
        <w:tc>
          <w:tcPr>
            <w:tcW w:w="8640" w:type="dxa"/>
            <w:tcBorders>
              <w:top w:val="single" w:sz="6" w:space="0" w:color="000000" w:themeColor="text1"/>
              <w:bottom w:val="single" w:sz="6" w:space="0" w:color="000000" w:themeColor="text1"/>
            </w:tcBorders>
            <w:tcMar>
              <w:left w:w="105" w:type="dxa"/>
              <w:right w:w="105" w:type="dxa"/>
            </w:tcMar>
          </w:tcPr>
          <w:p w14:paraId="0B2AB143" w14:textId="05AA027E"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Eixo estratégico do orçamento</w:t>
            </w:r>
          </w:p>
        </w:tc>
      </w:tr>
      <w:tr w:rsidR="30909213" w14:paraId="2C5E6413"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661DC939" w14:textId="1514DC55"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27</w:t>
            </w:r>
          </w:p>
        </w:tc>
        <w:tc>
          <w:tcPr>
            <w:tcW w:w="8640" w:type="dxa"/>
            <w:tcBorders>
              <w:top w:val="single" w:sz="6" w:space="0" w:color="000000" w:themeColor="text1"/>
              <w:bottom w:val="nil"/>
            </w:tcBorders>
            <w:tcMar>
              <w:left w:w="105" w:type="dxa"/>
              <w:right w:w="105" w:type="dxa"/>
            </w:tcMar>
          </w:tcPr>
          <w:p w14:paraId="21935DF0" w14:textId="17033753"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Orçamento distribuído por programas, projetos e convênios</w:t>
            </w:r>
          </w:p>
        </w:tc>
      </w:tr>
      <w:tr w:rsidR="30909213" w14:paraId="1D235475"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5FF0EE82" w14:textId="7F699163"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28</w:t>
            </w:r>
          </w:p>
        </w:tc>
        <w:tc>
          <w:tcPr>
            <w:tcW w:w="8640" w:type="dxa"/>
            <w:tcBorders>
              <w:top w:val="single" w:sz="6" w:space="0" w:color="000000" w:themeColor="text1"/>
              <w:bottom w:val="single" w:sz="6" w:space="0" w:color="000000" w:themeColor="text1"/>
            </w:tcBorders>
            <w:tcMar>
              <w:left w:w="105" w:type="dxa"/>
              <w:right w:w="105" w:type="dxa"/>
            </w:tcMar>
          </w:tcPr>
          <w:p w14:paraId="05062D4D" w14:textId="170646C7"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Despesas orçamentárias por classe</w:t>
            </w:r>
          </w:p>
        </w:tc>
      </w:tr>
      <w:tr w:rsidR="30909213" w14:paraId="43471123"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01DB234B" w14:textId="0A3ECB7C"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29</w:t>
            </w:r>
          </w:p>
        </w:tc>
        <w:tc>
          <w:tcPr>
            <w:tcW w:w="8640" w:type="dxa"/>
            <w:tcBorders>
              <w:top w:val="single" w:sz="6" w:space="0" w:color="000000" w:themeColor="text1"/>
              <w:bottom w:val="nil"/>
            </w:tcBorders>
            <w:tcMar>
              <w:left w:w="105" w:type="dxa"/>
              <w:right w:w="105" w:type="dxa"/>
            </w:tcMar>
          </w:tcPr>
          <w:p w14:paraId="294C8DE6" w14:textId="4AA7F0DD"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Oferece resumos de dados financeiros</w:t>
            </w:r>
          </w:p>
        </w:tc>
      </w:tr>
      <w:tr w:rsidR="30909213" w14:paraId="22B31017"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45E0A1D5" w14:textId="6E65D15B"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30</w:t>
            </w:r>
          </w:p>
        </w:tc>
        <w:tc>
          <w:tcPr>
            <w:tcW w:w="8640" w:type="dxa"/>
            <w:tcBorders>
              <w:top w:val="single" w:sz="6" w:space="0" w:color="000000" w:themeColor="text1"/>
              <w:bottom w:val="single" w:sz="6" w:space="0" w:color="000000" w:themeColor="text1"/>
            </w:tcBorders>
            <w:tcMar>
              <w:left w:w="105" w:type="dxa"/>
              <w:right w:w="105" w:type="dxa"/>
            </w:tcMar>
          </w:tcPr>
          <w:p w14:paraId="4932FDCF" w14:textId="0B0371FA"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Slides e gráficos são incluídos como suporte à apresentação dos dados financeiros</w:t>
            </w:r>
          </w:p>
        </w:tc>
      </w:tr>
      <w:tr w:rsidR="30909213" w14:paraId="0AB8013B"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74BB882E" w14:textId="1FFEB6F7"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31</w:t>
            </w:r>
          </w:p>
        </w:tc>
        <w:tc>
          <w:tcPr>
            <w:tcW w:w="8640" w:type="dxa"/>
            <w:tcBorders>
              <w:top w:val="single" w:sz="6" w:space="0" w:color="000000" w:themeColor="text1"/>
              <w:bottom w:val="nil"/>
            </w:tcBorders>
            <w:tcMar>
              <w:left w:w="105" w:type="dxa"/>
              <w:right w:w="105" w:type="dxa"/>
            </w:tcMar>
          </w:tcPr>
          <w:p w14:paraId="14B195F9" w14:textId="7DBDFA0C"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Relatório anual (2022) - (gestão, atividades, planejamento estratégico e prestação de contas TCU)</w:t>
            </w:r>
          </w:p>
        </w:tc>
      </w:tr>
      <w:tr w:rsidR="30909213" w14:paraId="0EB1458E"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665CF7F2" w14:textId="23412A02"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32</w:t>
            </w:r>
          </w:p>
        </w:tc>
        <w:tc>
          <w:tcPr>
            <w:tcW w:w="8640" w:type="dxa"/>
            <w:tcBorders>
              <w:top w:val="single" w:sz="6" w:space="0" w:color="000000" w:themeColor="text1"/>
              <w:bottom w:val="single" w:sz="6" w:space="0" w:color="000000" w:themeColor="text1"/>
            </w:tcBorders>
            <w:tcMar>
              <w:left w:w="105" w:type="dxa"/>
              <w:right w:w="105" w:type="dxa"/>
            </w:tcMar>
          </w:tcPr>
          <w:p w14:paraId="5273A1F7" w14:textId="3E0E5D51"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Relatórios anuais de anos anteriores (mínimo 2 anos) 2021, 2020</w:t>
            </w:r>
          </w:p>
        </w:tc>
      </w:tr>
      <w:tr w:rsidR="30909213" w14:paraId="0A49BFED"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6FE75FE7" w14:textId="5BA2735F"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33</w:t>
            </w:r>
          </w:p>
        </w:tc>
        <w:tc>
          <w:tcPr>
            <w:tcW w:w="8640" w:type="dxa"/>
            <w:tcBorders>
              <w:top w:val="single" w:sz="6" w:space="0" w:color="000000" w:themeColor="text1"/>
              <w:bottom w:val="nil"/>
            </w:tcBorders>
            <w:tcMar>
              <w:left w:w="105" w:type="dxa"/>
              <w:right w:w="105" w:type="dxa"/>
            </w:tcMar>
          </w:tcPr>
          <w:p w14:paraId="41CC911C" w14:textId="215D78EE"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Balanço patrimonial do exercício atual</w:t>
            </w:r>
          </w:p>
        </w:tc>
      </w:tr>
      <w:tr w:rsidR="30909213" w14:paraId="275CC03A"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62A2F382" w14:textId="72ECC89C"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34</w:t>
            </w:r>
          </w:p>
        </w:tc>
        <w:tc>
          <w:tcPr>
            <w:tcW w:w="8640" w:type="dxa"/>
            <w:tcBorders>
              <w:top w:val="single" w:sz="6" w:space="0" w:color="000000" w:themeColor="text1"/>
              <w:bottom w:val="single" w:sz="6" w:space="0" w:color="000000" w:themeColor="text1"/>
            </w:tcBorders>
            <w:tcMar>
              <w:left w:w="105" w:type="dxa"/>
              <w:right w:w="105" w:type="dxa"/>
            </w:tcMar>
          </w:tcPr>
          <w:p w14:paraId="606AFCA0" w14:textId="3B399ADE"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Balanço patrimonial dos anos anteriores (mínimo 2 anos)</w:t>
            </w:r>
          </w:p>
        </w:tc>
      </w:tr>
      <w:tr w:rsidR="30909213" w14:paraId="11C765F8"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74FB914A" w14:textId="0617EC21"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35</w:t>
            </w:r>
          </w:p>
        </w:tc>
        <w:tc>
          <w:tcPr>
            <w:tcW w:w="8640" w:type="dxa"/>
            <w:tcBorders>
              <w:top w:val="single" w:sz="6" w:space="0" w:color="000000" w:themeColor="text1"/>
              <w:bottom w:val="nil"/>
            </w:tcBorders>
            <w:tcMar>
              <w:left w:w="105" w:type="dxa"/>
              <w:right w:w="105" w:type="dxa"/>
            </w:tcMar>
          </w:tcPr>
          <w:p w14:paraId="1353EA9C" w14:textId="1B3B9CA3"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Demonstração do resultado do exercício atual</w:t>
            </w:r>
          </w:p>
        </w:tc>
      </w:tr>
      <w:tr w:rsidR="30909213" w14:paraId="0D30A7B6"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2C092A66" w14:textId="1E6E4925"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36</w:t>
            </w:r>
          </w:p>
        </w:tc>
        <w:tc>
          <w:tcPr>
            <w:tcW w:w="8640" w:type="dxa"/>
            <w:tcBorders>
              <w:top w:val="single" w:sz="6" w:space="0" w:color="000000" w:themeColor="text1"/>
              <w:bottom w:val="single" w:sz="6" w:space="0" w:color="000000" w:themeColor="text1"/>
            </w:tcBorders>
            <w:tcMar>
              <w:left w:w="105" w:type="dxa"/>
              <w:right w:w="105" w:type="dxa"/>
            </w:tcMar>
          </w:tcPr>
          <w:p w14:paraId="0A22CC4E" w14:textId="24ADA5DD"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Demonstração do resultado dos anos anteriores (mínimo 2 anos)</w:t>
            </w:r>
          </w:p>
        </w:tc>
      </w:tr>
      <w:tr w:rsidR="30909213" w14:paraId="5AD69E3F"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6D1E8298" w14:textId="4153B3B6"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37</w:t>
            </w:r>
          </w:p>
        </w:tc>
        <w:tc>
          <w:tcPr>
            <w:tcW w:w="8640" w:type="dxa"/>
            <w:tcBorders>
              <w:top w:val="single" w:sz="6" w:space="0" w:color="000000" w:themeColor="text1"/>
              <w:bottom w:val="nil"/>
            </w:tcBorders>
            <w:tcMar>
              <w:left w:w="105" w:type="dxa"/>
              <w:right w:w="105" w:type="dxa"/>
            </w:tcMar>
          </w:tcPr>
          <w:p w14:paraId="1E908455" w14:textId="5FE0B204"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Demonstração das Mutações do Patrimônio Líquido do exercício atual</w:t>
            </w:r>
          </w:p>
        </w:tc>
      </w:tr>
      <w:tr w:rsidR="30909213" w14:paraId="54485BE6"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0354CF76" w14:textId="6AD088B5"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38</w:t>
            </w:r>
          </w:p>
        </w:tc>
        <w:tc>
          <w:tcPr>
            <w:tcW w:w="8640" w:type="dxa"/>
            <w:tcBorders>
              <w:top w:val="single" w:sz="6" w:space="0" w:color="000000" w:themeColor="text1"/>
              <w:bottom w:val="single" w:sz="6" w:space="0" w:color="000000" w:themeColor="text1"/>
            </w:tcBorders>
            <w:tcMar>
              <w:left w:w="105" w:type="dxa"/>
              <w:right w:w="105" w:type="dxa"/>
            </w:tcMar>
          </w:tcPr>
          <w:p w14:paraId="5AD3DCC3" w14:textId="147CCC5D"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Demonstração das Mutações do Patrimônio Líquido dos anos anteriores (mínimo 2 anos)</w:t>
            </w:r>
          </w:p>
        </w:tc>
      </w:tr>
      <w:tr w:rsidR="30909213" w14:paraId="1A1CA640"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24D2DB2A" w14:textId="766A4D4F"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39</w:t>
            </w:r>
          </w:p>
        </w:tc>
        <w:tc>
          <w:tcPr>
            <w:tcW w:w="8640" w:type="dxa"/>
            <w:tcBorders>
              <w:top w:val="single" w:sz="6" w:space="0" w:color="000000" w:themeColor="text1"/>
              <w:bottom w:val="nil"/>
            </w:tcBorders>
            <w:tcMar>
              <w:left w:w="105" w:type="dxa"/>
              <w:right w:w="105" w:type="dxa"/>
            </w:tcMar>
          </w:tcPr>
          <w:p w14:paraId="4F8C4CAD" w14:textId="6FC534FB"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Notas explicativas do exercício atual</w:t>
            </w:r>
          </w:p>
        </w:tc>
      </w:tr>
      <w:tr w:rsidR="30909213" w14:paraId="5F177B46"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3E25D074" w14:textId="32D1B639"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lastRenderedPageBreak/>
              <w:t>40</w:t>
            </w:r>
          </w:p>
        </w:tc>
        <w:tc>
          <w:tcPr>
            <w:tcW w:w="8640" w:type="dxa"/>
            <w:tcBorders>
              <w:top w:val="single" w:sz="6" w:space="0" w:color="000000" w:themeColor="text1"/>
              <w:bottom w:val="single" w:sz="6" w:space="0" w:color="000000" w:themeColor="text1"/>
            </w:tcBorders>
            <w:tcMar>
              <w:left w:w="105" w:type="dxa"/>
              <w:right w:w="105" w:type="dxa"/>
            </w:tcMar>
          </w:tcPr>
          <w:p w14:paraId="42BE3FE6" w14:textId="47400B34"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Notas explicativas dos anos anteriores (mínimo 2 anos)</w:t>
            </w:r>
          </w:p>
        </w:tc>
      </w:tr>
      <w:tr w:rsidR="30909213" w14:paraId="194CC7D7"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75E3E8FD" w14:textId="7C8AFBFE"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41</w:t>
            </w:r>
          </w:p>
        </w:tc>
        <w:tc>
          <w:tcPr>
            <w:tcW w:w="8640" w:type="dxa"/>
            <w:tcBorders>
              <w:top w:val="single" w:sz="6" w:space="0" w:color="000000" w:themeColor="text1"/>
              <w:bottom w:val="nil"/>
            </w:tcBorders>
            <w:tcMar>
              <w:left w:w="105" w:type="dxa"/>
              <w:right w:w="105" w:type="dxa"/>
            </w:tcMar>
          </w:tcPr>
          <w:p w14:paraId="7A10FA90" w14:textId="186E2FB1"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Demonstrativo de receitas e despesas</w:t>
            </w:r>
          </w:p>
        </w:tc>
      </w:tr>
      <w:tr w:rsidR="30909213" w14:paraId="23FBB133"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5B505454" w14:textId="39BE192B"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42</w:t>
            </w:r>
          </w:p>
        </w:tc>
        <w:tc>
          <w:tcPr>
            <w:tcW w:w="8640" w:type="dxa"/>
            <w:tcBorders>
              <w:top w:val="single" w:sz="6" w:space="0" w:color="000000" w:themeColor="text1"/>
              <w:bottom w:val="single" w:sz="6" w:space="0" w:color="000000" w:themeColor="text1"/>
            </w:tcBorders>
            <w:tcMar>
              <w:left w:w="105" w:type="dxa"/>
              <w:right w:w="105" w:type="dxa"/>
            </w:tcMar>
          </w:tcPr>
          <w:p w14:paraId="0C344CC3" w14:textId="5EBFF338"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Demonstrativo de receitas e despesas de exercícios anteriores (mínimo 2 anos)</w:t>
            </w:r>
          </w:p>
        </w:tc>
      </w:tr>
      <w:tr w:rsidR="30909213" w14:paraId="7DBAB469"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23386B4B" w14:textId="799E67C2"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43</w:t>
            </w:r>
          </w:p>
        </w:tc>
        <w:tc>
          <w:tcPr>
            <w:tcW w:w="8640" w:type="dxa"/>
            <w:tcBorders>
              <w:top w:val="single" w:sz="6" w:space="0" w:color="000000" w:themeColor="text1"/>
              <w:bottom w:val="nil"/>
            </w:tcBorders>
            <w:tcMar>
              <w:left w:w="105" w:type="dxa"/>
              <w:right w:w="105" w:type="dxa"/>
            </w:tcMar>
          </w:tcPr>
          <w:p w14:paraId="4DC3BE35" w14:textId="596ED84F"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Origem e destinação dos recursos por projeto/programa e atividade</w:t>
            </w:r>
          </w:p>
        </w:tc>
      </w:tr>
      <w:tr w:rsidR="30909213" w14:paraId="4FE5E10C"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0B2CF14E" w14:textId="7546B2EC"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44</w:t>
            </w:r>
          </w:p>
        </w:tc>
        <w:tc>
          <w:tcPr>
            <w:tcW w:w="8640" w:type="dxa"/>
            <w:tcBorders>
              <w:top w:val="single" w:sz="6" w:space="0" w:color="000000" w:themeColor="text1"/>
              <w:bottom w:val="single" w:sz="6" w:space="0" w:color="000000" w:themeColor="text1"/>
            </w:tcBorders>
            <w:tcMar>
              <w:left w:w="105" w:type="dxa"/>
              <w:right w:w="105" w:type="dxa"/>
            </w:tcMar>
          </w:tcPr>
          <w:p w14:paraId="3748FB52" w14:textId="35FDA175"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Rácio entre os custos de captação dos recursos e os custos totais da organização</w:t>
            </w:r>
          </w:p>
        </w:tc>
      </w:tr>
      <w:tr w:rsidR="30909213" w14:paraId="5395CFFD"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02C7EE51" w14:textId="6F0172D0"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45</w:t>
            </w:r>
          </w:p>
        </w:tc>
        <w:tc>
          <w:tcPr>
            <w:tcW w:w="8640" w:type="dxa"/>
            <w:tcBorders>
              <w:top w:val="single" w:sz="6" w:space="0" w:color="000000" w:themeColor="text1"/>
              <w:bottom w:val="nil"/>
            </w:tcBorders>
            <w:tcMar>
              <w:left w:w="105" w:type="dxa"/>
              <w:right w:w="105" w:type="dxa"/>
            </w:tcMar>
          </w:tcPr>
          <w:p w14:paraId="4316B77A" w14:textId="1C3F5E01"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Rácio entre os custos fixos e os custos totais da organização</w:t>
            </w:r>
          </w:p>
        </w:tc>
      </w:tr>
      <w:tr w:rsidR="30909213" w14:paraId="59D0148B"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514EC6BC" w14:textId="1C1968C0"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46</w:t>
            </w:r>
          </w:p>
        </w:tc>
        <w:tc>
          <w:tcPr>
            <w:tcW w:w="8640" w:type="dxa"/>
            <w:tcBorders>
              <w:top w:val="single" w:sz="6" w:space="0" w:color="000000" w:themeColor="text1"/>
              <w:bottom w:val="single" w:sz="6" w:space="0" w:color="000000" w:themeColor="text1"/>
            </w:tcBorders>
            <w:tcMar>
              <w:left w:w="105" w:type="dxa"/>
              <w:right w:w="105" w:type="dxa"/>
            </w:tcMar>
          </w:tcPr>
          <w:p w14:paraId="36722089" w14:textId="5D9C0548"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Relatório de auditoria</w:t>
            </w:r>
          </w:p>
        </w:tc>
      </w:tr>
      <w:tr w:rsidR="30909213" w14:paraId="2F4153D2"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53D29079" w14:textId="7B1B2EA6"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47</w:t>
            </w:r>
          </w:p>
        </w:tc>
        <w:tc>
          <w:tcPr>
            <w:tcW w:w="8640" w:type="dxa"/>
            <w:tcBorders>
              <w:top w:val="single" w:sz="6" w:space="0" w:color="000000" w:themeColor="text1"/>
              <w:bottom w:val="nil"/>
            </w:tcBorders>
            <w:tcMar>
              <w:left w:w="105" w:type="dxa"/>
              <w:right w:w="105" w:type="dxa"/>
            </w:tcMar>
          </w:tcPr>
          <w:p w14:paraId="7ECBF929" w14:textId="44513D41"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Relatório de auditoria de anos anteriores (mínimo de 2 anos)</w:t>
            </w:r>
          </w:p>
        </w:tc>
      </w:tr>
      <w:tr w:rsidR="30909213" w14:paraId="3F59F3B1"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4B9CBD5A" w14:textId="5EF2D72E"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48</w:t>
            </w:r>
          </w:p>
        </w:tc>
        <w:tc>
          <w:tcPr>
            <w:tcW w:w="8640" w:type="dxa"/>
            <w:tcBorders>
              <w:top w:val="single" w:sz="6" w:space="0" w:color="000000" w:themeColor="text1"/>
              <w:bottom w:val="single" w:sz="6" w:space="0" w:color="000000" w:themeColor="text1"/>
            </w:tcBorders>
            <w:tcMar>
              <w:left w:w="105" w:type="dxa"/>
              <w:right w:w="105" w:type="dxa"/>
            </w:tcMar>
          </w:tcPr>
          <w:p w14:paraId="78717551" w14:textId="7E4E0E4D"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Apresenta as normas contábeis utilizadas</w:t>
            </w:r>
          </w:p>
        </w:tc>
      </w:tr>
      <w:tr w:rsidR="30909213" w14:paraId="4A92E893"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564B1EB9" w14:textId="179B2B59"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49</w:t>
            </w:r>
          </w:p>
        </w:tc>
        <w:tc>
          <w:tcPr>
            <w:tcW w:w="8640" w:type="dxa"/>
            <w:tcBorders>
              <w:top w:val="single" w:sz="6" w:space="0" w:color="000000" w:themeColor="text1"/>
              <w:bottom w:val="nil"/>
            </w:tcBorders>
            <w:tcMar>
              <w:left w:w="105" w:type="dxa"/>
              <w:right w:w="105" w:type="dxa"/>
            </w:tcMar>
          </w:tcPr>
          <w:p w14:paraId="53C7CBB6" w14:textId="5652E4BD"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Relatório de avaliação dos projetos e programas, com comparativo entre metas propostas e resultados alcançados</w:t>
            </w:r>
          </w:p>
        </w:tc>
      </w:tr>
      <w:tr w:rsidR="30909213" w14:paraId="7D444C23"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20B8B375" w14:textId="14780734"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50</w:t>
            </w:r>
          </w:p>
        </w:tc>
        <w:tc>
          <w:tcPr>
            <w:tcW w:w="8640" w:type="dxa"/>
            <w:tcBorders>
              <w:top w:val="single" w:sz="6" w:space="0" w:color="000000" w:themeColor="text1"/>
              <w:bottom w:val="single" w:sz="6" w:space="0" w:color="000000" w:themeColor="text1"/>
            </w:tcBorders>
            <w:tcMar>
              <w:left w:w="105" w:type="dxa"/>
              <w:right w:w="105" w:type="dxa"/>
            </w:tcMar>
          </w:tcPr>
          <w:p w14:paraId="16158A4A" w14:textId="4B3A2ECF"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Identificação dos principais fornecedores e coorganizadores das atividades</w:t>
            </w:r>
          </w:p>
        </w:tc>
      </w:tr>
      <w:tr w:rsidR="30909213" w14:paraId="60EB195C"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4E23F2A2" w14:textId="7FDA4073"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51</w:t>
            </w:r>
          </w:p>
        </w:tc>
        <w:tc>
          <w:tcPr>
            <w:tcW w:w="8640" w:type="dxa"/>
            <w:tcBorders>
              <w:top w:val="single" w:sz="6" w:space="0" w:color="000000" w:themeColor="text1"/>
              <w:bottom w:val="nil"/>
            </w:tcBorders>
            <w:tcMar>
              <w:left w:w="105" w:type="dxa"/>
              <w:right w:w="105" w:type="dxa"/>
            </w:tcMar>
          </w:tcPr>
          <w:p w14:paraId="5FB13FC3" w14:textId="5F7FD1F3"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Cópia dos contratos, termos e convênios firmados</w:t>
            </w:r>
          </w:p>
        </w:tc>
      </w:tr>
      <w:tr w:rsidR="30909213" w14:paraId="6A35ABFB"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top w:val="single" w:sz="6" w:space="0" w:color="000000" w:themeColor="text1"/>
              <w:bottom w:val="single" w:sz="6" w:space="0" w:color="000000" w:themeColor="text1"/>
            </w:tcBorders>
            <w:shd w:val="clear" w:color="auto" w:fill="D9D9D9" w:themeFill="background1" w:themeFillShade="D9"/>
            <w:tcMar>
              <w:left w:w="105" w:type="dxa"/>
              <w:right w:w="105" w:type="dxa"/>
            </w:tcMar>
          </w:tcPr>
          <w:p w14:paraId="642848E3" w14:textId="75FF30CC" w:rsidR="30909213" w:rsidRDefault="1A4C1059" w:rsidP="7C64760A">
            <w:pPr>
              <w:jc w:val="both"/>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C) Apresentação e navegação</w:t>
            </w:r>
          </w:p>
        </w:tc>
      </w:tr>
      <w:tr w:rsidR="30909213" w14:paraId="6DC64D37"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669843D4" w14:textId="6A5D9F83"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52</w:t>
            </w:r>
          </w:p>
        </w:tc>
        <w:tc>
          <w:tcPr>
            <w:tcW w:w="8640" w:type="dxa"/>
            <w:tcBorders>
              <w:top w:val="nil"/>
              <w:bottom w:val="nil"/>
            </w:tcBorders>
            <w:tcMar>
              <w:left w:w="105" w:type="dxa"/>
              <w:right w:w="105" w:type="dxa"/>
            </w:tcMar>
          </w:tcPr>
          <w:p w14:paraId="02CCBADB" w14:textId="605247A2"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Há uma área específica para governança e informações financeiras</w:t>
            </w:r>
          </w:p>
        </w:tc>
      </w:tr>
      <w:tr w:rsidR="30909213" w14:paraId="33580360"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177D16D1" w14:textId="267A12D9"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53</w:t>
            </w:r>
          </w:p>
        </w:tc>
        <w:tc>
          <w:tcPr>
            <w:tcW w:w="8640" w:type="dxa"/>
            <w:tcBorders>
              <w:top w:val="single" w:sz="6" w:space="0" w:color="000000" w:themeColor="text1"/>
              <w:bottom w:val="single" w:sz="6" w:space="0" w:color="000000" w:themeColor="text1"/>
            </w:tcBorders>
            <w:tcMar>
              <w:left w:w="105" w:type="dxa"/>
              <w:right w:w="105" w:type="dxa"/>
            </w:tcMar>
          </w:tcPr>
          <w:p w14:paraId="347ADE29" w14:textId="4C86F48C"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Há uma área específica para informações gerais</w:t>
            </w:r>
          </w:p>
        </w:tc>
      </w:tr>
      <w:tr w:rsidR="30909213" w14:paraId="4633F301"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203BE813" w14:textId="41C9D364"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54</w:t>
            </w:r>
          </w:p>
        </w:tc>
        <w:tc>
          <w:tcPr>
            <w:tcW w:w="8640" w:type="dxa"/>
            <w:tcBorders>
              <w:top w:val="single" w:sz="6" w:space="0" w:color="000000" w:themeColor="text1"/>
              <w:bottom w:val="nil"/>
            </w:tcBorders>
            <w:tcMar>
              <w:left w:w="105" w:type="dxa"/>
              <w:right w:w="105" w:type="dxa"/>
            </w:tcMar>
          </w:tcPr>
          <w:p w14:paraId="4B13E742" w14:textId="7FAAFD10"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Há links para outros sites relacionados</w:t>
            </w:r>
          </w:p>
        </w:tc>
      </w:tr>
      <w:tr w:rsidR="30909213" w14:paraId="73B2CB3E"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2A084588" w14:textId="49CF174D"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55</w:t>
            </w:r>
          </w:p>
        </w:tc>
        <w:tc>
          <w:tcPr>
            <w:tcW w:w="8640" w:type="dxa"/>
            <w:tcBorders>
              <w:top w:val="single" w:sz="6" w:space="0" w:color="000000" w:themeColor="text1"/>
              <w:bottom w:val="single" w:sz="6" w:space="0" w:color="000000" w:themeColor="text1"/>
            </w:tcBorders>
            <w:tcMar>
              <w:left w:w="105" w:type="dxa"/>
              <w:right w:w="105" w:type="dxa"/>
            </w:tcMar>
          </w:tcPr>
          <w:p w14:paraId="78004047" w14:textId="5B73B332"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Um endereço de e-mail para contato é fornecido</w:t>
            </w:r>
          </w:p>
        </w:tc>
      </w:tr>
      <w:tr w:rsidR="30909213" w14:paraId="0E0D48BE"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6B171656" w14:textId="3F586106"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56</w:t>
            </w:r>
          </w:p>
        </w:tc>
        <w:tc>
          <w:tcPr>
            <w:tcW w:w="8640" w:type="dxa"/>
            <w:tcBorders>
              <w:top w:val="single" w:sz="6" w:space="0" w:color="000000" w:themeColor="text1"/>
              <w:bottom w:val="nil"/>
            </w:tcBorders>
            <w:tcMar>
              <w:left w:w="105" w:type="dxa"/>
              <w:right w:w="105" w:type="dxa"/>
            </w:tcMar>
          </w:tcPr>
          <w:p w14:paraId="0F75B036" w14:textId="43C2A240"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O conteúdo é apresentado em um maneira estruturada e alinhada e pode ser acessado rápida e diretamente</w:t>
            </w:r>
          </w:p>
        </w:tc>
      </w:tr>
      <w:tr w:rsidR="30909213" w14:paraId="65EB8B97"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3AB909BF" w14:textId="027B236E"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57</w:t>
            </w:r>
          </w:p>
        </w:tc>
        <w:tc>
          <w:tcPr>
            <w:tcW w:w="8640" w:type="dxa"/>
            <w:tcBorders>
              <w:top w:val="single" w:sz="6" w:space="0" w:color="000000" w:themeColor="text1"/>
              <w:bottom w:val="single" w:sz="6" w:space="0" w:color="000000" w:themeColor="text1"/>
            </w:tcBorders>
            <w:tcMar>
              <w:left w:w="105" w:type="dxa"/>
              <w:right w:w="105" w:type="dxa"/>
            </w:tcMar>
          </w:tcPr>
          <w:p w14:paraId="5877D5DD" w14:textId="7D67DE17"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Os títulos são claros e significativos e a linguagem utilizada é adaptada aos cidadãos</w:t>
            </w:r>
          </w:p>
        </w:tc>
      </w:tr>
      <w:tr w:rsidR="30909213" w14:paraId="43151EDA"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30AA037E" w14:textId="3CB07F2A"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58</w:t>
            </w:r>
          </w:p>
        </w:tc>
        <w:tc>
          <w:tcPr>
            <w:tcW w:w="8640" w:type="dxa"/>
            <w:tcBorders>
              <w:top w:val="single" w:sz="6" w:space="0" w:color="000000" w:themeColor="text1"/>
              <w:bottom w:val="nil"/>
            </w:tcBorders>
            <w:tcMar>
              <w:left w:w="105" w:type="dxa"/>
              <w:right w:w="105" w:type="dxa"/>
            </w:tcMar>
          </w:tcPr>
          <w:p w14:paraId="151D19AE" w14:textId="23734D0B"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Divulgação de fotografias das atividades desenvolvidas pela organização</w:t>
            </w:r>
          </w:p>
        </w:tc>
      </w:tr>
      <w:tr w:rsidR="30909213" w14:paraId="0B9F56D8"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55A44C01" w14:textId="24911CC7"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59</w:t>
            </w:r>
          </w:p>
        </w:tc>
        <w:tc>
          <w:tcPr>
            <w:tcW w:w="8640" w:type="dxa"/>
            <w:tcBorders>
              <w:top w:val="single" w:sz="6" w:space="0" w:color="000000" w:themeColor="text1"/>
              <w:bottom w:val="single" w:sz="6" w:space="0" w:color="000000" w:themeColor="text1"/>
            </w:tcBorders>
            <w:tcMar>
              <w:left w:w="105" w:type="dxa"/>
              <w:right w:w="105" w:type="dxa"/>
            </w:tcMar>
          </w:tcPr>
          <w:p w14:paraId="166A77A1" w14:textId="05370787"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Divulgação de vídeos das atividades realizadas pela organização</w:t>
            </w:r>
          </w:p>
        </w:tc>
      </w:tr>
      <w:tr w:rsidR="30909213" w14:paraId="3ED55104"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01D36719" w14:textId="22CD5C42"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60</w:t>
            </w:r>
          </w:p>
        </w:tc>
        <w:tc>
          <w:tcPr>
            <w:tcW w:w="8640" w:type="dxa"/>
            <w:tcBorders>
              <w:top w:val="single" w:sz="6" w:space="0" w:color="000000" w:themeColor="text1"/>
              <w:bottom w:val="nil"/>
            </w:tcBorders>
            <w:tcMar>
              <w:left w:w="105" w:type="dxa"/>
              <w:right w:w="105" w:type="dxa"/>
            </w:tcMar>
          </w:tcPr>
          <w:p w14:paraId="457AE16C" w14:textId="0B47853A"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Existe um correio postal endereço, número de telefone e fax, etc. da pessoa de contato</w:t>
            </w:r>
          </w:p>
        </w:tc>
      </w:tr>
      <w:tr w:rsidR="30909213" w14:paraId="3495AAE3"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711B2601" w14:textId="73CE82C7"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61</w:t>
            </w:r>
          </w:p>
        </w:tc>
        <w:tc>
          <w:tcPr>
            <w:tcW w:w="8640" w:type="dxa"/>
            <w:tcBorders>
              <w:top w:val="single" w:sz="6" w:space="0" w:color="000000" w:themeColor="text1"/>
              <w:bottom w:val="single" w:sz="6" w:space="0" w:color="000000" w:themeColor="text1"/>
            </w:tcBorders>
            <w:tcMar>
              <w:left w:w="105" w:type="dxa"/>
              <w:right w:w="105" w:type="dxa"/>
            </w:tcMar>
          </w:tcPr>
          <w:p w14:paraId="749D5210" w14:textId="178D0E31"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Existe um sistema de busca</w:t>
            </w:r>
          </w:p>
        </w:tc>
      </w:tr>
      <w:tr w:rsidR="30909213" w14:paraId="4750E55B"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7AED81FA" w14:textId="70B3600C"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62</w:t>
            </w:r>
          </w:p>
        </w:tc>
        <w:tc>
          <w:tcPr>
            <w:tcW w:w="8640" w:type="dxa"/>
            <w:tcBorders>
              <w:top w:val="single" w:sz="6" w:space="0" w:color="000000" w:themeColor="text1"/>
              <w:bottom w:val="nil"/>
            </w:tcBorders>
            <w:tcMar>
              <w:left w:w="105" w:type="dxa"/>
              <w:right w:w="105" w:type="dxa"/>
            </w:tcMar>
          </w:tcPr>
          <w:p w14:paraId="56F42A39" w14:textId="223FFEF2"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Existe um sistema de busca avançada</w:t>
            </w:r>
          </w:p>
        </w:tc>
      </w:tr>
      <w:tr w:rsidR="30909213" w14:paraId="5CD20B0C"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390AC61C" w14:textId="7B0DF050"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63</w:t>
            </w:r>
          </w:p>
        </w:tc>
        <w:tc>
          <w:tcPr>
            <w:tcW w:w="8640" w:type="dxa"/>
            <w:tcBorders>
              <w:top w:val="single" w:sz="6" w:space="0" w:color="000000" w:themeColor="text1"/>
              <w:bottom w:val="single" w:sz="6" w:space="0" w:color="000000" w:themeColor="text1"/>
            </w:tcBorders>
            <w:tcMar>
              <w:left w:w="105" w:type="dxa"/>
              <w:right w:w="105" w:type="dxa"/>
            </w:tcMar>
          </w:tcPr>
          <w:p w14:paraId="1C5A53B1" w14:textId="326CDBA3"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Um mapa do site da Web está incluído</w:t>
            </w:r>
          </w:p>
        </w:tc>
      </w:tr>
      <w:tr w:rsidR="30909213" w14:paraId="4109F4C7"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2E31D9EE" w14:textId="3B7A82F9"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64</w:t>
            </w:r>
          </w:p>
        </w:tc>
        <w:tc>
          <w:tcPr>
            <w:tcW w:w="8640" w:type="dxa"/>
            <w:tcBorders>
              <w:top w:val="single" w:sz="6" w:space="0" w:color="000000" w:themeColor="text1"/>
              <w:bottom w:val="nil"/>
            </w:tcBorders>
            <w:tcMar>
              <w:left w:w="105" w:type="dxa"/>
              <w:right w:w="105" w:type="dxa"/>
            </w:tcMar>
          </w:tcPr>
          <w:p w14:paraId="207D7F7E" w14:textId="2DBA961C"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Existe um menu de ajuda</w:t>
            </w:r>
          </w:p>
        </w:tc>
      </w:tr>
      <w:tr w:rsidR="30909213" w14:paraId="37C875FF"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24051E37" w14:textId="58FCFE6A"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65</w:t>
            </w:r>
          </w:p>
        </w:tc>
        <w:tc>
          <w:tcPr>
            <w:tcW w:w="8640" w:type="dxa"/>
            <w:tcBorders>
              <w:top w:val="single" w:sz="6" w:space="0" w:color="000000" w:themeColor="text1"/>
              <w:bottom w:val="single" w:sz="6" w:space="0" w:color="000000" w:themeColor="text1"/>
            </w:tcBorders>
            <w:tcMar>
              <w:left w:w="105" w:type="dxa"/>
              <w:right w:w="105" w:type="dxa"/>
            </w:tcMar>
          </w:tcPr>
          <w:p w14:paraId="6A6222C0" w14:textId="0A7625FC"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Há informações em outros idiomas (pelo menos em inglês)</w:t>
            </w:r>
          </w:p>
        </w:tc>
      </w:tr>
      <w:tr w:rsidR="30909213" w14:paraId="20A84E6C"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38C586EA" w14:textId="4F925473"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66</w:t>
            </w:r>
          </w:p>
        </w:tc>
        <w:tc>
          <w:tcPr>
            <w:tcW w:w="8640" w:type="dxa"/>
            <w:tcBorders>
              <w:top w:val="single" w:sz="6" w:space="0" w:color="000000" w:themeColor="text1"/>
              <w:bottom w:val="nil"/>
            </w:tcBorders>
            <w:tcMar>
              <w:left w:w="105" w:type="dxa"/>
              <w:right w:w="105" w:type="dxa"/>
            </w:tcMar>
          </w:tcPr>
          <w:p w14:paraId="373D1F8B" w14:textId="5BFB93CA"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É permitido o download de arquivos em formato de planilha</w:t>
            </w:r>
          </w:p>
        </w:tc>
      </w:tr>
      <w:tr w:rsidR="30909213" w14:paraId="1DD4D82A"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53622B1D" w14:textId="5C0873EE"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67</w:t>
            </w:r>
          </w:p>
        </w:tc>
        <w:tc>
          <w:tcPr>
            <w:tcW w:w="8640" w:type="dxa"/>
            <w:tcBorders>
              <w:top w:val="single" w:sz="6" w:space="0" w:color="000000" w:themeColor="text1"/>
              <w:bottom w:val="single" w:sz="6" w:space="0" w:color="000000" w:themeColor="text1"/>
            </w:tcBorders>
            <w:tcMar>
              <w:left w:w="105" w:type="dxa"/>
              <w:right w:w="105" w:type="dxa"/>
            </w:tcMar>
          </w:tcPr>
          <w:p w14:paraId="50D0F3FF" w14:textId="22B4CDCF"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Existe um sistema de hiperlinks que relaciona diferentes áreas do site</w:t>
            </w:r>
          </w:p>
        </w:tc>
      </w:tr>
      <w:tr w:rsidR="30909213" w14:paraId="1ED13435"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7A2A5709" w14:textId="25C1B00F"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68</w:t>
            </w:r>
          </w:p>
        </w:tc>
        <w:tc>
          <w:tcPr>
            <w:tcW w:w="8640" w:type="dxa"/>
            <w:tcBorders>
              <w:top w:val="single" w:sz="6" w:space="0" w:color="000000" w:themeColor="text1"/>
              <w:bottom w:val="nil"/>
            </w:tcBorders>
            <w:tcMar>
              <w:left w:w="105" w:type="dxa"/>
              <w:right w:w="105" w:type="dxa"/>
            </w:tcMar>
          </w:tcPr>
          <w:p w14:paraId="7FB8D4A3" w14:textId="751AFC8F"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São utilizados formatos que permitem a impressão correta da informação</w:t>
            </w:r>
          </w:p>
        </w:tc>
      </w:tr>
      <w:tr w:rsidR="30909213" w14:paraId="2FACA89F"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2BEDCC03" w14:textId="6E2468D3"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69</w:t>
            </w:r>
          </w:p>
        </w:tc>
        <w:tc>
          <w:tcPr>
            <w:tcW w:w="8640" w:type="dxa"/>
            <w:tcBorders>
              <w:top w:val="single" w:sz="6" w:space="0" w:color="000000" w:themeColor="text1"/>
              <w:bottom w:val="single" w:sz="6" w:space="0" w:color="000000" w:themeColor="text1"/>
            </w:tcBorders>
            <w:tcMar>
              <w:left w:w="105" w:type="dxa"/>
              <w:right w:w="105" w:type="dxa"/>
            </w:tcMar>
          </w:tcPr>
          <w:p w14:paraId="4985B4B7" w14:textId="22C46216"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A velocidade de resposta ao navegar no site que não impeça a efetiva qualidade da consulta</w:t>
            </w:r>
          </w:p>
        </w:tc>
      </w:tr>
      <w:tr w:rsidR="30909213" w14:paraId="69B6474E"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3F5FC6AC" w14:textId="667BE160"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70</w:t>
            </w:r>
          </w:p>
        </w:tc>
        <w:tc>
          <w:tcPr>
            <w:tcW w:w="8640" w:type="dxa"/>
            <w:tcBorders>
              <w:top w:val="single" w:sz="6" w:space="0" w:color="000000" w:themeColor="text1"/>
              <w:bottom w:val="nil"/>
            </w:tcBorders>
            <w:tcMar>
              <w:left w:w="105" w:type="dxa"/>
              <w:right w:w="105" w:type="dxa"/>
            </w:tcMar>
          </w:tcPr>
          <w:p w14:paraId="733CCF5B" w14:textId="50470790"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Existe uma área para perguntas frequentes</w:t>
            </w:r>
          </w:p>
        </w:tc>
      </w:tr>
      <w:tr w:rsidR="30909213" w14:paraId="5BA09ED3"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72CF553F" w14:textId="765EE104"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71</w:t>
            </w:r>
          </w:p>
        </w:tc>
        <w:tc>
          <w:tcPr>
            <w:tcW w:w="8640" w:type="dxa"/>
            <w:tcBorders>
              <w:top w:val="single" w:sz="6" w:space="0" w:color="000000" w:themeColor="text1"/>
              <w:bottom w:val="single" w:sz="6" w:space="0" w:color="000000" w:themeColor="text1"/>
            </w:tcBorders>
            <w:tcMar>
              <w:left w:w="105" w:type="dxa"/>
              <w:right w:w="105" w:type="dxa"/>
            </w:tcMar>
          </w:tcPr>
          <w:p w14:paraId="526482F5" w14:textId="54EBC7F4"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Estabelece normas de acessibilidade para pessoas com deficiência</w:t>
            </w:r>
          </w:p>
        </w:tc>
      </w:tr>
      <w:tr w:rsidR="30909213" w14:paraId="18B2FCB2"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413210B2" w14:textId="2D82F440"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72</w:t>
            </w:r>
          </w:p>
        </w:tc>
        <w:tc>
          <w:tcPr>
            <w:tcW w:w="8640" w:type="dxa"/>
            <w:tcBorders>
              <w:top w:val="single" w:sz="6" w:space="0" w:color="000000" w:themeColor="text1"/>
              <w:bottom w:val="nil"/>
            </w:tcBorders>
            <w:tcMar>
              <w:left w:w="105" w:type="dxa"/>
              <w:right w:w="105" w:type="dxa"/>
            </w:tcMar>
          </w:tcPr>
          <w:p w14:paraId="21E23BB0" w14:textId="1B1013BB"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Indica a data da última atualização</w:t>
            </w:r>
          </w:p>
        </w:tc>
      </w:tr>
      <w:tr w:rsidR="30909213" w14:paraId="60CC67A7"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745882BE" w14:textId="1A564923"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73</w:t>
            </w:r>
          </w:p>
        </w:tc>
        <w:tc>
          <w:tcPr>
            <w:tcW w:w="8640" w:type="dxa"/>
            <w:tcBorders>
              <w:top w:val="single" w:sz="6" w:space="0" w:color="000000" w:themeColor="text1"/>
              <w:bottom w:val="single" w:sz="6" w:space="0" w:color="000000" w:themeColor="text1"/>
            </w:tcBorders>
            <w:tcMar>
              <w:left w:w="105" w:type="dxa"/>
              <w:right w:w="105" w:type="dxa"/>
            </w:tcMar>
          </w:tcPr>
          <w:p w14:paraId="4ACBBEDC" w14:textId="56C49FDC"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Pode-se ser notificado por e-mail quando atualizações são feitas</w:t>
            </w:r>
          </w:p>
        </w:tc>
      </w:tr>
      <w:tr w:rsidR="30909213" w14:paraId="173BF29F"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2D053C8D" w14:textId="57750383"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74</w:t>
            </w:r>
          </w:p>
        </w:tc>
        <w:tc>
          <w:tcPr>
            <w:tcW w:w="8640" w:type="dxa"/>
            <w:tcBorders>
              <w:top w:val="single" w:sz="6" w:space="0" w:color="000000" w:themeColor="text1"/>
              <w:bottom w:val="nil"/>
            </w:tcBorders>
            <w:tcMar>
              <w:left w:w="105" w:type="dxa"/>
              <w:right w:w="105" w:type="dxa"/>
            </w:tcMar>
          </w:tcPr>
          <w:p w14:paraId="465C15B3" w14:textId="7A29F5A4"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Indica quando as informações são criadas por terceiro</w:t>
            </w:r>
          </w:p>
        </w:tc>
      </w:tr>
      <w:tr w:rsidR="30909213" w14:paraId="14BC91C5"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3901C34D" w14:textId="29273787"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75</w:t>
            </w:r>
          </w:p>
        </w:tc>
        <w:tc>
          <w:tcPr>
            <w:tcW w:w="8640" w:type="dxa"/>
            <w:tcBorders>
              <w:top w:val="single" w:sz="6" w:space="0" w:color="000000" w:themeColor="text1"/>
              <w:bottom w:val="single" w:sz="6" w:space="0" w:color="000000" w:themeColor="text1"/>
            </w:tcBorders>
            <w:tcMar>
              <w:left w:w="105" w:type="dxa"/>
              <w:right w:w="105" w:type="dxa"/>
            </w:tcMar>
          </w:tcPr>
          <w:p w14:paraId="017B8FAA" w14:textId="10B70F9A"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O site possui um espaço de uso exclusivo para facilitar a administração de pessoal e de atividades</w:t>
            </w:r>
          </w:p>
        </w:tc>
      </w:tr>
      <w:tr w:rsidR="30909213" w14:paraId="2AB5F266"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5122E00A" w14:textId="40646B46"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76</w:t>
            </w:r>
          </w:p>
        </w:tc>
        <w:tc>
          <w:tcPr>
            <w:tcW w:w="8640" w:type="dxa"/>
            <w:tcBorders>
              <w:top w:val="single" w:sz="6" w:space="0" w:color="000000" w:themeColor="text1"/>
              <w:bottom w:val="nil"/>
            </w:tcBorders>
            <w:tcMar>
              <w:left w:w="105" w:type="dxa"/>
              <w:right w:w="105" w:type="dxa"/>
            </w:tcMar>
          </w:tcPr>
          <w:p w14:paraId="42DC4F22" w14:textId="7FB85783"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Publicam- se ofertas de trabalho ou editais de contratação para pessoal remunerado</w:t>
            </w:r>
          </w:p>
        </w:tc>
      </w:tr>
      <w:tr w:rsidR="30909213" w14:paraId="169A5001"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35980157" w14:textId="2C01F6DA"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77</w:t>
            </w:r>
          </w:p>
        </w:tc>
        <w:tc>
          <w:tcPr>
            <w:tcW w:w="8640" w:type="dxa"/>
            <w:tcBorders>
              <w:top w:val="single" w:sz="6" w:space="0" w:color="000000" w:themeColor="text1"/>
              <w:bottom w:val="single" w:sz="6" w:space="0" w:color="000000" w:themeColor="text1"/>
            </w:tcBorders>
            <w:tcMar>
              <w:left w:w="105" w:type="dxa"/>
              <w:right w:w="105" w:type="dxa"/>
            </w:tcMar>
          </w:tcPr>
          <w:p w14:paraId="650118CD" w14:textId="1D356069"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Doações online podem ser feitas</w:t>
            </w:r>
          </w:p>
        </w:tc>
      </w:tr>
      <w:tr w:rsidR="30909213" w14:paraId="53E294D0"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12884288" w14:textId="0FA3FD48"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78</w:t>
            </w:r>
          </w:p>
        </w:tc>
        <w:tc>
          <w:tcPr>
            <w:tcW w:w="8640" w:type="dxa"/>
            <w:tcBorders>
              <w:top w:val="single" w:sz="6" w:space="0" w:color="000000" w:themeColor="text1"/>
              <w:bottom w:val="nil"/>
            </w:tcBorders>
            <w:tcMar>
              <w:left w:w="105" w:type="dxa"/>
              <w:right w:w="105" w:type="dxa"/>
            </w:tcMar>
          </w:tcPr>
          <w:p w14:paraId="1FA074E9" w14:textId="198AB439"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São oferecidas parcerias ou adesões</w:t>
            </w:r>
          </w:p>
        </w:tc>
      </w:tr>
      <w:tr w:rsidR="30909213" w14:paraId="0070A08B"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2293CCCD" w14:textId="3311326C"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79</w:t>
            </w:r>
          </w:p>
        </w:tc>
        <w:tc>
          <w:tcPr>
            <w:tcW w:w="8640" w:type="dxa"/>
            <w:tcBorders>
              <w:top w:val="single" w:sz="6" w:space="0" w:color="000000" w:themeColor="text1"/>
              <w:bottom w:val="single" w:sz="6" w:space="0" w:color="000000" w:themeColor="text1"/>
            </w:tcBorders>
            <w:tcMar>
              <w:left w:w="105" w:type="dxa"/>
              <w:right w:w="105" w:type="dxa"/>
            </w:tcMar>
          </w:tcPr>
          <w:p w14:paraId="7086282C" w14:textId="63CC29B2"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São publicados boletins periódicos de informações sobre as atividades da organização</w:t>
            </w:r>
          </w:p>
        </w:tc>
      </w:tr>
      <w:tr w:rsidR="30909213" w14:paraId="2C18C3FF" w14:textId="77777777" w:rsidTr="7C64760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nil"/>
            </w:tcBorders>
            <w:tcMar>
              <w:left w:w="105" w:type="dxa"/>
              <w:right w:w="105" w:type="dxa"/>
            </w:tcMar>
          </w:tcPr>
          <w:p w14:paraId="26F060BB" w14:textId="27B71737"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lastRenderedPageBreak/>
              <w:t>80</w:t>
            </w:r>
          </w:p>
        </w:tc>
        <w:tc>
          <w:tcPr>
            <w:tcW w:w="8640" w:type="dxa"/>
            <w:tcBorders>
              <w:top w:val="single" w:sz="6" w:space="0" w:color="000000" w:themeColor="text1"/>
              <w:bottom w:val="nil"/>
            </w:tcBorders>
            <w:tcMar>
              <w:left w:w="105" w:type="dxa"/>
              <w:right w:w="105" w:type="dxa"/>
            </w:tcMar>
          </w:tcPr>
          <w:p w14:paraId="0989BDC3" w14:textId="65001601"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Existem fóruns abertos para envio de sugestões, críticas ou comentários sobre o trabalho desenvolvido pela organização</w:t>
            </w:r>
          </w:p>
        </w:tc>
      </w:tr>
      <w:tr w:rsidR="30909213" w14:paraId="15EFB9DC" w14:textId="77777777" w:rsidTr="7C6476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bottom w:val="single" w:sz="6" w:space="0" w:color="000000" w:themeColor="text1"/>
            </w:tcBorders>
            <w:tcMar>
              <w:left w:w="105" w:type="dxa"/>
              <w:right w:w="105" w:type="dxa"/>
            </w:tcMar>
          </w:tcPr>
          <w:p w14:paraId="40447A76" w14:textId="59C7AB65"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81</w:t>
            </w:r>
          </w:p>
        </w:tc>
        <w:tc>
          <w:tcPr>
            <w:tcW w:w="8640" w:type="dxa"/>
            <w:tcBorders>
              <w:top w:val="single" w:sz="6" w:space="0" w:color="000000" w:themeColor="text1"/>
              <w:bottom w:val="single" w:sz="6" w:space="0" w:color="000000" w:themeColor="text1"/>
            </w:tcBorders>
            <w:tcMar>
              <w:left w:w="105" w:type="dxa"/>
              <w:right w:w="105" w:type="dxa"/>
            </w:tcMar>
          </w:tcPr>
          <w:p w14:paraId="1B3AF3CB" w14:textId="78C4CF19" w:rsidR="30909213" w:rsidRDefault="1A4C1059" w:rsidP="7C6476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Os usuários têm a oportunidade de receber atualizações regulares por meio eletrônico</w:t>
            </w:r>
          </w:p>
        </w:tc>
      </w:tr>
      <w:tr w:rsidR="30909213" w14:paraId="767CA0CF" w14:textId="77777777" w:rsidTr="7C64760A">
        <w:trPr>
          <w:trHeight w:val="540"/>
        </w:trPr>
        <w:tc>
          <w:tcPr>
            <w:cnfStyle w:val="001000000000" w:firstRow="0" w:lastRow="0" w:firstColumn="1" w:lastColumn="0" w:oddVBand="0" w:evenVBand="0" w:oddHBand="0" w:evenHBand="0" w:firstRowFirstColumn="0" w:firstRowLastColumn="0" w:lastRowFirstColumn="0" w:lastRowLastColumn="0"/>
            <w:tcW w:w="405" w:type="dxa"/>
            <w:tcBorders>
              <w:top w:val="single" w:sz="6" w:space="0" w:color="000000" w:themeColor="text1"/>
            </w:tcBorders>
            <w:tcMar>
              <w:left w:w="105" w:type="dxa"/>
              <w:right w:w="105" w:type="dxa"/>
            </w:tcMar>
          </w:tcPr>
          <w:p w14:paraId="719807B7" w14:textId="34DE272F" w:rsidR="30909213" w:rsidRDefault="1A4C1059" w:rsidP="7C64760A">
            <w:pPr>
              <w:jc w:val="right"/>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82</w:t>
            </w:r>
          </w:p>
        </w:tc>
        <w:tc>
          <w:tcPr>
            <w:tcW w:w="8640" w:type="dxa"/>
            <w:tcBorders>
              <w:top w:val="single" w:sz="6" w:space="0" w:color="000000" w:themeColor="text1"/>
            </w:tcBorders>
            <w:tcMar>
              <w:left w:w="105" w:type="dxa"/>
              <w:right w:w="105" w:type="dxa"/>
            </w:tcMar>
          </w:tcPr>
          <w:p w14:paraId="189362D0" w14:textId="1D614DBF" w:rsidR="30909213" w:rsidRDefault="1A4C1059" w:rsidP="7C64760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Os parceiros têm um espaço de acesso exclusivo que lhes permite realizar atividades administrativas: obter certificados de doações, atualizar seus dados, fazer contribuições, etc.</w:t>
            </w:r>
          </w:p>
        </w:tc>
      </w:tr>
    </w:tbl>
    <w:p w14:paraId="6219EA62" w14:textId="5A7A24E5" w:rsidR="30909213" w:rsidRDefault="241D4344" w:rsidP="7C64760A">
      <w:pPr>
        <w:spacing w:after="0" w:line="240" w:lineRule="auto"/>
        <w:jc w:val="both"/>
        <w:rPr>
          <w:rFonts w:ascii="Times New Roman" w:eastAsia="Times New Roman" w:hAnsi="Times New Roman" w:cs="Times New Roman"/>
          <w:sz w:val="20"/>
          <w:szCs w:val="20"/>
        </w:rPr>
      </w:pPr>
      <w:r w:rsidRPr="7C64760A">
        <w:rPr>
          <w:rFonts w:ascii="Times New Roman" w:eastAsia="Times New Roman" w:hAnsi="Times New Roman" w:cs="Times New Roman"/>
          <w:sz w:val="20"/>
          <w:szCs w:val="20"/>
        </w:rPr>
        <w:t>Fonte: Adaptado de Gandia (2011).</w:t>
      </w:r>
    </w:p>
    <w:p w14:paraId="370359E3" w14:textId="72250D82" w:rsidR="30909213" w:rsidRDefault="30909213" w:rsidP="30909213">
      <w:pPr>
        <w:spacing w:after="0" w:line="240" w:lineRule="auto"/>
        <w:jc w:val="both"/>
      </w:pPr>
    </w:p>
    <w:sectPr w:rsidR="30909213">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E70E"/>
    <w:multiLevelType w:val="hybridMultilevel"/>
    <w:tmpl w:val="052EF3B0"/>
    <w:lvl w:ilvl="0" w:tplc="41D0151C">
      <w:start w:val="1"/>
      <w:numFmt w:val="bullet"/>
      <w:lvlText w:val=""/>
      <w:lvlJc w:val="left"/>
      <w:pPr>
        <w:ind w:left="720" w:hanging="360"/>
      </w:pPr>
      <w:rPr>
        <w:rFonts w:ascii="Symbol" w:hAnsi="Symbol" w:hint="default"/>
      </w:rPr>
    </w:lvl>
    <w:lvl w:ilvl="1" w:tplc="52E0EB6C">
      <w:start w:val="1"/>
      <w:numFmt w:val="bullet"/>
      <w:lvlText w:val="o"/>
      <w:lvlJc w:val="left"/>
      <w:pPr>
        <w:ind w:left="1440" w:hanging="360"/>
      </w:pPr>
      <w:rPr>
        <w:rFonts w:ascii="Courier New" w:hAnsi="Courier New" w:hint="default"/>
      </w:rPr>
    </w:lvl>
    <w:lvl w:ilvl="2" w:tplc="400A517C">
      <w:start w:val="1"/>
      <w:numFmt w:val="bullet"/>
      <w:lvlText w:val=""/>
      <w:lvlJc w:val="left"/>
      <w:pPr>
        <w:ind w:left="2160" w:hanging="360"/>
      </w:pPr>
      <w:rPr>
        <w:rFonts w:ascii="Wingdings" w:hAnsi="Wingdings" w:hint="default"/>
      </w:rPr>
    </w:lvl>
    <w:lvl w:ilvl="3" w:tplc="5F943E14">
      <w:start w:val="1"/>
      <w:numFmt w:val="bullet"/>
      <w:lvlText w:val=""/>
      <w:lvlJc w:val="left"/>
      <w:pPr>
        <w:ind w:left="2880" w:hanging="360"/>
      </w:pPr>
      <w:rPr>
        <w:rFonts w:ascii="Symbol" w:hAnsi="Symbol" w:hint="default"/>
      </w:rPr>
    </w:lvl>
    <w:lvl w:ilvl="4" w:tplc="EF58A512">
      <w:start w:val="1"/>
      <w:numFmt w:val="bullet"/>
      <w:lvlText w:val="o"/>
      <w:lvlJc w:val="left"/>
      <w:pPr>
        <w:ind w:left="3600" w:hanging="360"/>
      </w:pPr>
      <w:rPr>
        <w:rFonts w:ascii="Courier New" w:hAnsi="Courier New" w:hint="default"/>
      </w:rPr>
    </w:lvl>
    <w:lvl w:ilvl="5" w:tplc="273C953C">
      <w:start w:val="1"/>
      <w:numFmt w:val="bullet"/>
      <w:lvlText w:val=""/>
      <w:lvlJc w:val="left"/>
      <w:pPr>
        <w:ind w:left="4320" w:hanging="360"/>
      </w:pPr>
      <w:rPr>
        <w:rFonts w:ascii="Wingdings" w:hAnsi="Wingdings" w:hint="default"/>
      </w:rPr>
    </w:lvl>
    <w:lvl w:ilvl="6" w:tplc="B90212FE">
      <w:start w:val="1"/>
      <w:numFmt w:val="bullet"/>
      <w:lvlText w:val=""/>
      <w:lvlJc w:val="left"/>
      <w:pPr>
        <w:ind w:left="5040" w:hanging="360"/>
      </w:pPr>
      <w:rPr>
        <w:rFonts w:ascii="Symbol" w:hAnsi="Symbol" w:hint="default"/>
      </w:rPr>
    </w:lvl>
    <w:lvl w:ilvl="7" w:tplc="160AC950">
      <w:start w:val="1"/>
      <w:numFmt w:val="bullet"/>
      <w:lvlText w:val="o"/>
      <w:lvlJc w:val="left"/>
      <w:pPr>
        <w:ind w:left="5760" w:hanging="360"/>
      </w:pPr>
      <w:rPr>
        <w:rFonts w:ascii="Courier New" w:hAnsi="Courier New" w:hint="default"/>
      </w:rPr>
    </w:lvl>
    <w:lvl w:ilvl="8" w:tplc="A5A43396">
      <w:start w:val="1"/>
      <w:numFmt w:val="bullet"/>
      <w:lvlText w:val=""/>
      <w:lvlJc w:val="left"/>
      <w:pPr>
        <w:ind w:left="6480" w:hanging="360"/>
      </w:pPr>
      <w:rPr>
        <w:rFonts w:ascii="Wingdings" w:hAnsi="Wingdings" w:hint="default"/>
      </w:rPr>
    </w:lvl>
  </w:abstractNum>
  <w:abstractNum w:abstractNumId="1" w15:restartNumberingAfterBreak="0">
    <w:nsid w:val="10B80717"/>
    <w:multiLevelType w:val="multilevel"/>
    <w:tmpl w:val="7436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7EA563"/>
    <w:multiLevelType w:val="hybridMultilevel"/>
    <w:tmpl w:val="5E4E2942"/>
    <w:lvl w:ilvl="0" w:tplc="51A6A4AC">
      <w:start w:val="1"/>
      <w:numFmt w:val="bullet"/>
      <w:lvlText w:val=""/>
      <w:lvlJc w:val="left"/>
      <w:pPr>
        <w:ind w:left="720" w:hanging="360"/>
      </w:pPr>
      <w:rPr>
        <w:rFonts w:ascii="Symbol" w:hAnsi="Symbol" w:hint="default"/>
      </w:rPr>
    </w:lvl>
    <w:lvl w:ilvl="1" w:tplc="CF7C73E4">
      <w:start w:val="1"/>
      <w:numFmt w:val="bullet"/>
      <w:lvlText w:val="o"/>
      <w:lvlJc w:val="left"/>
      <w:pPr>
        <w:ind w:left="1440" w:hanging="360"/>
      </w:pPr>
      <w:rPr>
        <w:rFonts w:ascii="Courier New" w:hAnsi="Courier New" w:hint="default"/>
      </w:rPr>
    </w:lvl>
    <w:lvl w:ilvl="2" w:tplc="5F9C7A6C">
      <w:start w:val="1"/>
      <w:numFmt w:val="bullet"/>
      <w:lvlText w:val=""/>
      <w:lvlJc w:val="left"/>
      <w:pPr>
        <w:ind w:left="2160" w:hanging="360"/>
      </w:pPr>
      <w:rPr>
        <w:rFonts w:ascii="Wingdings" w:hAnsi="Wingdings" w:hint="default"/>
      </w:rPr>
    </w:lvl>
    <w:lvl w:ilvl="3" w:tplc="F2680BE0">
      <w:start w:val="1"/>
      <w:numFmt w:val="bullet"/>
      <w:lvlText w:val=""/>
      <w:lvlJc w:val="left"/>
      <w:pPr>
        <w:ind w:left="2880" w:hanging="360"/>
      </w:pPr>
      <w:rPr>
        <w:rFonts w:ascii="Symbol" w:hAnsi="Symbol" w:hint="default"/>
      </w:rPr>
    </w:lvl>
    <w:lvl w:ilvl="4" w:tplc="FA78667C">
      <w:start w:val="1"/>
      <w:numFmt w:val="bullet"/>
      <w:lvlText w:val="o"/>
      <w:lvlJc w:val="left"/>
      <w:pPr>
        <w:ind w:left="3600" w:hanging="360"/>
      </w:pPr>
      <w:rPr>
        <w:rFonts w:ascii="Courier New" w:hAnsi="Courier New" w:hint="default"/>
      </w:rPr>
    </w:lvl>
    <w:lvl w:ilvl="5" w:tplc="1D8E2C30">
      <w:start w:val="1"/>
      <w:numFmt w:val="bullet"/>
      <w:lvlText w:val=""/>
      <w:lvlJc w:val="left"/>
      <w:pPr>
        <w:ind w:left="4320" w:hanging="360"/>
      </w:pPr>
      <w:rPr>
        <w:rFonts w:ascii="Wingdings" w:hAnsi="Wingdings" w:hint="default"/>
      </w:rPr>
    </w:lvl>
    <w:lvl w:ilvl="6" w:tplc="8662EDF2">
      <w:start w:val="1"/>
      <w:numFmt w:val="bullet"/>
      <w:lvlText w:val=""/>
      <w:lvlJc w:val="left"/>
      <w:pPr>
        <w:ind w:left="5040" w:hanging="360"/>
      </w:pPr>
      <w:rPr>
        <w:rFonts w:ascii="Symbol" w:hAnsi="Symbol" w:hint="default"/>
      </w:rPr>
    </w:lvl>
    <w:lvl w:ilvl="7" w:tplc="244A7400">
      <w:start w:val="1"/>
      <w:numFmt w:val="bullet"/>
      <w:lvlText w:val="o"/>
      <w:lvlJc w:val="left"/>
      <w:pPr>
        <w:ind w:left="5760" w:hanging="360"/>
      </w:pPr>
      <w:rPr>
        <w:rFonts w:ascii="Courier New" w:hAnsi="Courier New" w:hint="default"/>
      </w:rPr>
    </w:lvl>
    <w:lvl w:ilvl="8" w:tplc="BE04125C">
      <w:start w:val="1"/>
      <w:numFmt w:val="bullet"/>
      <w:lvlText w:val=""/>
      <w:lvlJc w:val="left"/>
      <w:pPr>
        <w:ind w:left="6480" w:hanging="360"/>
      </w:pPr>
      <w:rPr>
        <w:rFonts w:ascii="Wingdings" w:hAnsi="Wingdings" w:hint="default"/>
      </w:rPr>
    </w:lvl>
  </w:abstractNum>
  <w:abstractNum w:abstractNumId="3" w15:restartNumberingAfterBreak="0">
    <w:nsid w:val="798C5133"/>
    <w:multiLevelType w:val="hybridMultilevel"/>
    <w:tmpl w:val="B812FD1A"/>
    <w:lvl w:ilvl="0" w:tplc="72524350">
      <w:start w:val="1"/>
      <w:numFmt w:val="bullet"/>
      <w:lvlText w:val=""/>
      <w:lvlJc w:val="left"/>
      <w:pPr>
        <w:ind w:left="720" w:hanging="360"/>
      </w:pPr>
      <w:rPr>
        <w:rFonts w:ascii="Symbol" w:hAnsi="Symbol" w:hint="default"/>
      </w:rPr>
    </w:lvl>
    <w:lvl w:ilvl="1" w:tplc="C4F80AEA">
      <w:start w:val="1"/>
      <w:numFmt w:val="bullet"/>
      <w:lvlText w:val="o"/>
      <w:lvlJc w:val="left"/>
      <w:pPr>
        <w:ind w:left="1440" w:hanging="360"/>
      </w:pPr>
      <w:rPr>
        <w:rFonts w:ascii="Courier New" w:hAnsi="Courier New" w:hint="default"/>
      </w:rPr>
    </w:lvl>
    <w:lvl w:ilvl="2" w:tplc="35DC8E96">
      <w:start w:val="1"/>
      <w:numFmt w:val="bullet"/>
      <w:lvlText w:val=""/>
      <w:lvlJc w:val="left"/>
      <w:pPr>
        <w:ind w:left="2160" w:hanging="360"/>
      </w:pPr>
      <w:rPr>
        <w:rFonts w:ascii="Wingdings" w:hAnsi="Wingdings" w:hint="default"/>
      </w:rPr>
    </w:lvl>
    <w:lvl w:ilvl="3" w:tplc="9AF6610E">
      <w:start w:val="1"/>
      <w:numFmt w:val="bullet"/>
      <w:lvlText w:val=""/>
      <w:lvlJc w:val="left"/>
      <w:pPr>
        <w:ind w:left="2880" w:hanging="360"/>
      </w:pPr>
      <w:rPr>
        <w:rFonts w:ascii="Symbol" w:hAnsi="Symbol" w:hint="default"/>
      </w:rPr>
    </w:lvl>
    <w:lvl w:ilvl="4" w:tplc="BE5E9698">
      <w:start w:val="1"/>
      <w:numFmt w:val="bullet"/>
      <w:lvlText w:val="o"/>
      <w:lvlJc w:val="left"/>
      <w:pPr>
        <w:ind w:left="3600" w:hanging="360"/>
      </w:pPr>
      <w:rPr>
        <w:rFonts w:ascii="Courier New" w:hAnsi="Courier New" w:hint="default"/>
      </w:rPr>
    </w:lvl>
    <w:lvl w:ilvl="5" w:tplc="BF0485A2">
      <w:start w:val="1"/>
      <w:numFmt w:val="bullet"/>
      <w:lvlText w:val=""/>
      <w:lvlJc w:val="left"/>
      <w:pPr>
        <w:ind w:left="4320" w:hanging="360"/>
      </w:pPr>
      <w:rPr>
        <w:rFonts w:ascii="Wingdings" w:hAnsi="Wingdings" w:hint="default"/>
      </w:rPr>
    </w:lvl>
    <w:lvl w:ilvl="6" w:tplc="FD7AB8B4">
      <w:start w:val="1"/>
      <w:numFmt w:val="bullet"/>
      <w:lvlText w:val=""/>
      <w:lvlJc w:val="left"/>
      <w:pPr>
        <w:ind w:left="5040" w:hanging="360"/>
      </w:pPr>
      <w:rPr>
        <w:rFonts w:ascii="Symbol" w:hAnsi="Symbol" w:hint="default"/>
      </w:rPr>
    </w:lvl>
    <w:lvl w:ilvl="7" w:tplc="4ED26488">
      <w:start w:val="1"/>
      <w:numFmt w:val="bullet"/>
      <w:lvlText w:val="o"/>
      <w:lvlJc w:val="left"/>
      <w:pPr>
        <w:ind w:left="5760" w:hanging="360"/>
      </w:pPr>
      <w:rPr>
        <w:rFonts w:ascii="Courier New" w:hAnsi="Courier New" w:hint="default"/>
      </w:rPr>
    </w:lvl>
    <w:lvl w:ilvl="8" w:tplc="40E064FE">
      <w:start w:val="1"/>
      <w:numFmt w:val="bullet"/>
      <w:lvlText w:val=""/>
      <w:lvlJc w:val="left"/>
      <w:pPr>
        <w:ind w:left="6480" w:hanging="360"/>
      </w:pPr>
      <w:rPr>
        <w:rFonts w:ascii="Wingdings" w:hAnsi="Wingdings" w:hint="default"/>
      </w:rPr>
    </w:lvl>
  </w:abstractNum>
  <w:num w:numId="1" w16cid:durableId="425419944">
    <w:abstractNumId w:val="0"/>
  </w:num>
  <w:num w:numId="2" w16cid:durableId="412437342">
    <w:abstractNumId w:val="2"/>
  </w:num>
  <w:num w:numId="3" w16cid:durableId="1044913551">
    <w:abstractNumId w:val="3"/>
  </w:num>
  <w:num w:numId="4" w16cid:durableId="1493180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2BEC45"/>
    <w:rsid w:val="000D73DE"/>
    <w:rsid w:val="00105A5C"/>
    <w:rsid w:val="00146F87"/>
    <w:rsid w:val="002328DC"/>
    <w:rsid w:val="002A138E"/>
    <w:rsid w:val="002D4CE2"/>
    <w:rsid w:val="0035516B"/>
    <w:rsid w:val="003F04D1"/>
    <w:rsid w:val="00430A84"/>
    <w:rsid w:val="005047F5"/>
    <w:rsid w:val="0051718D"/>
    <w:rsid w:val="00530C6F"/>
    <w:rsid w:val="00531B35"/>
    <w:rsid w:val="005B2D9B"/>
    <w:rsid w:val="005E62E4"/>
    <w:rsid w:val="007620F0"/>
    <w:rsid w:val="00946FEE"/>
    <w:rsid w:val="009631DF"/>
    <w:rsid w:val="009B2037"/>
    <w:rsid w:val="00A7594D"/>
    <w:rsid w:val="00BA4457"/>
    <w:rsid w:val="00BB7247"/>
    <w:rsid w:val="00BE6B29"/>
    <w:rsid w:val="00C035EA"/>
    <w:rsid w:val="00C57344"/>
    <w:rsid w:val="00CF655B"/>
    <w:rsid w:val="00E3532F"/>
    <w:rsid w:val="00EB306D"/>
    <w:rsid w:val="00F92722"/>
    <w:rsid w:val="016468F1"/>
    <w:rsid w:val="01868239"/>
    <w:rsid w:val="02874E98"/>
    <w:rsid w:val="0292ACE4"/>
    <w:rsid w:val="0299C6C6"/>
    <w:rsid w:val="03720D5D"/>
    <w:rsid w:val="04127BED"/>
    <w:rsid w:val="04243DDB"/>
    <w:rsid w:val="0425F589"/>
    <w:rsid w:val="0457BAC3"/>
    <w:rsid w:val="04E92D10"/>
    <w:rsid w:val="05102DAF"/>
    <w:rsid w:val="071C029F"/>
    <w:rsid w:val="07A1F664"/>
    <w:rsid w:val="07D26C78"/>
    <w:rsid w:val="088A38B7"/>
    <w:rsid w:val="0913A2FF"/>
    <w:rsid w:val="09F040D2"/>
    <w:rsid w:val="09F38151"/>
    <w:rsid w:val="0B9F0351"/>
    <w:rsid w:val="0BF5258F"/>
    <w:rsid w:val="0C4F459B"/>
    <w:rsid w:val="0C7EC638"/>
    <w:rsid w:val="0CDE1F93"/>
    <w:rsid w:val="0CF54B23"/>
    <w:rsid w:val="0D26C32B"/>
    <w:rsid w:val="0D3E140C"/>
    <w:rsid w:val="0D75977F"/>
    <w:rsid w:val="0E75ACD1"/>
    <w:rsid w:val="0EF4E6E4"/>
    <w:rsid w:val="10153B88"/>
    <w:rsid w:val="11495096"/>
    <w:rsid w:val="11DDA2F3"/>
    <w:rsid w:val="122E45A0"/>
    <w:rsid w:val="12936ABE"/>
    <w:rsid w:val="130B9D01"/>
    <w:rsid w:val="137AB383"/>
    <w:rsid w:val="13FF54FA"/>
    <w:rsid w:val="150EDE28"/>
    <w:rsid w:val="15E441D3"/>
    <w:rsid w:val="162BEC45"/>
    <w:rsid w:val="16C5772E"/>
    <w:rsid w:val="174DC389"/>
    <w:rsid w:val="17C682D6"/>
    <w:rsid w:val="17E3D75C"/>
    <w:rsid w:val="180C0BF0"/>
    <w:rsid w:val="1852E85F"/>
    <w:rsid w:val="191B961D"/>
    <w:rsid w:val="19233587"/>
    <w:rsid w:val="1A4C1059"/>
    <w:rsid w:val="1AA1A5C1"/>
    <w:rsid w:val="1ABA2A90"/>
    <w:rsid w:val="1AC35B6B"/>
    <w:rsid w:val="1AED4760"/>
    <w:rsid w:val="1B850D8D"/>
    <w:rsid w:val="1BF39991"/>
    <w:rsid w:val="1C1F23A6"/>
    <w:rsid w:val="1C8D581E"/>
    <w:rsid w:val="1DFFEF4B"/>
    <w:rsid w:val="1FA2EB28"/>
    <w:rsid w:val="1FCE1830"/>
    <w:rsid w:val="1FE97A3B"/>
    <w:rsid w:val="2096D9EB"/>
    <w:rsid w:val="223C3151"/>
    <w:rsid w:val="228462AC"/>
    <w:rsid w:val="2304D047"/>
    <w:rsid w:val="241D4344"/>
    <w:rsid w:val="250E7973"/>
    <w:rsid w:val="250F4C7C"/>
    <w:rsid w:val="2555070D"/>
    <w:rsid w:val="255C5408"/>
    <w:rsid w:val="25762933"/>
    <w:rsid w:val="25ACC4E7"/>
    <w:rsid w:val="262BFF6B"/>
    <w:rsid w:val="269E17B8"/>
    <w:rsid w:val="26F8EECD"/>
    <w:rsid w:val="283C9F7D"/>
    <w:rsid w:val="2928CCC0"/>
    <w:rsid w:val="296E0903"/>
    <w:rsid w:val="2972C073"/>
    <w:rsid w:val="2AB3E3A0"/>
    <w:rsid w:val="2C427EAD"/>
    <w:rsid w:val="2E2BB65E"/>
    <w:rsid w:val="2E42D25F"/>
    <w:rsid w:val="2E588D6D"/>
    <w:rsid w:val="2EFC6082"/>
    <w:rsid w:val="2F35AEDB"/>
    <w:rsid w:val="2F572959"/>
    <w:rsid w:val="305FE418"/>
    <w:rsid w:val="30909213"/>
    <w:rsid w:val="31A788E1"/>
    <w:rsid w:val="322D2B36"/>
    <w:rsid w:val="33959C6F"/>
    <w:rsid w:val="345BE9E4"/>
    <w:rsid w:val="3487FCD2"/>
    <w:rsid w:val="35566AC9"/>
    <w:rsid w:val="3615B0F5"/>
    <w:rsid w:val="362CE7D9"/>
    <w:rsid w:val="367159B0"/>
    <w:rsid w:val="36AC67B6"/>
    <w:rsid w:val="36C89719"/>
    <w:rsid w:val="36E4BC8F"/>
    <w:rsid w:val="371B7C40"/>
    <w:rsid w:val="3724F72A"/>
    <w:rsid w:val="37EB9A2E"/>
    <w:rsid w:val="38A3A276"/>
    <w:rsid w:val="393C0A0D"/>
    <w:rsid w:val="393CF411"/>
    <w:rsid w:val="39465B03"/>
    <w:rsid w:val="3952F2B4"/>
    <w:rsid w:val="396F2535"/>
    <w:rsid w:val="399922F0"/>
    <w:rsid w:val="39BC54FB"/>
    <w:rsid w:val="3A88FAF2"/>
    <w:rsid w:val="3AC3871C"/>
    <w:rsid w:val="3AEB675F"/>
    <w:rsid w:val="3B060351"/>
    <w:rsid w:val="3B12F08C"/>
    <w:rsid w:val="3C296B8B"/>
    <w:rsid w:val="3C800F10"/>
    <w:rsid w:val="3CB439DC"/>
    <w:rsid w:val="3CB57AE0"/>
    <w:rsid w:val="3DF0E3C4"/>
    <w:rsid w:val="3E1EFC26"/>
    <w:rsid w:val="408BA355"/>
    <w:rsid w:val="40A09154"/>
    <w:rsid w:val="413D1774"/>
    <w:rsid w:val="416BA1FE"/>
    <w:rsid w:val="435B8FFB"/>
    <w:rsid w:val="46039938"/>
    <w:rsid w:val="460BCFAA"/>
    <w:rsid w:val="4822A20B"/>
    <w:rsid w:val="48385433"/>
    <w:rsid w:val="485BEFC5"/>
    <w:rsid w:val="491D1708"/>
    <w:rsid w:val="49C2650F"/>
    <w:rsid w:val="4A149B45"/>
    <w:rsid w:val="4C8ABCE3"/>
    <w:rsid w:val="4CA3F9D0"/>
    <w:rsid w:val="4D371735"/>
    <w:rsid w:val="4D732733"/>
    <w:rsid w:val="4E224C78"/>
    <w:rsid w:val="4EFC57F6"/>
    <w:rsid w:val="4FE6FB81"/>
    <w:rsid w:val="50504B6D"/>
    <w:rsid w:val="50771272"/>
    <w:rsid w:val="50993277"/>
    <w:rsid w:val="50C813F1"/>
    <w:rsid w:val="512D3BBA"/>
    <w:rsid w:val="533B6632"/>
    <w:rsid w:val="537037AA"/>
    <w:rsid w:val="5496EEF3"/>
    <w:rsid w:val="54EF6D63"/>
    <w:rsid w:val="55069E64"/>
    <w:rsid w:val="5506B215"/>
    <w:rsid w:val="556F1D0C"/>
    <w:rsid w:val="557D0A32"/>
    <w:rsid w:val="558E115D"/>
    <w:rsid w:val="55D21D6F"/>
    <w:rsid w:val="560F1D93"/>
    <w:rsid w:val="56B21466"/>
    <w:rsid w:val="56EFD392"/>
    <w:rsid w:val="59B34246"/>
    <w:rsid w:val="5BA8A052"/>
    <w:rsid w:val="5C1B12DE"/>
    <w:rsid w:val="5C5D7A84"/>
    <w:rsid w:val="5C92C798"/>
    <w:rsid w:val="5D0C5B5F"/>
    <w:rsid w:val="5D72F023"/>
    <w:rsid w:val="5DCA5234"/>
    <w:rsid w:val="5DF3AF77"/>
    <w:rsid w:val="5EE0C425"/>
    <w:rsid w:val="5F4C6760"/>
    <w:rsid w:val="6005AB3D"/>
    <w:rsid w:val="6127FDD5"/>
    <w:rsid w:val="615FD173"/>
    <w:rsid w:val="61A62326"/>
    <w:rsid w:val="61A7B63A"/>
    <w:rsid w:val="626FCED7"/>
    <w:rsid w:val="6366CADA"/>
    <w:rsid w:val="642FDF22"/>
    <w:rsid w:val="64BEA1CE"/>
    <w:rsid w:val="65DDF561"/>
    <w:rsid w:val="662B2F7C"/>
    <w:rsid w:val="6632F274"/>
    <w:rsid w:val="669F0DC0"/>
    <w:rsid w:val="67F8EB13"/>
    <w:rsid w:val="682C008D"/>
    <w:rsid w:val="6A3984C3"/>
    <w:rsid w:val="6B82E8A1"/>
    <w:rsid w:val="6B9533B5"/>
    <w:rsid w:val="6BF71653"/>
    <w:rsid w:val="6C3261A2"/>
    <w:rsid w:val="6CADC444"/>
    <w:rsid w:val="6D432A03"/>
    <w:rsid w:val="6D6DB293"/>
    <w:rsid w:val="6E1888BC"/>
    <w:rsid w:val="6E4297DE"/>
    <w:rsid w:val="6E4875A4"/>
    <w:rsid w:val="6ED39DAB"/>
    <w:rsid w:val="6F43A143"/>
    <w:rsid w:val="6F7BAC4D"/>
    <w:rsid w:val="6F9AA13D"/>
    <w:rsid w:val="70CA889E"/>
    <w:rsid w:val="70F08439"/>
    <w:rsid w:val="72D0BDB0"/>
    <w:rsid w:val="72EA7773"/>
    <w:rsid w:val="735EE037"/>
    <w:rsid w:val="74ECBEC7"/>
    <w:rsid w:val="74FAB7E7"/>
    <w:rsid w:val="75653867"/>
    <w:rsid w:val="763DDB33"/>
    <w:rsid w:val="7711AB4A"/>
    <w:rsid w:val="77301985"/>
    <w:rsid w:val="775D13D2"/>
    <w:rsid w:val="77659177"/>
    <w:rsid w:val="78CFD1B2"/>
    <w:rsid w:val="7A46F33D"/>
    <w:rsid w:val="7BFCE2D3"/>
    <w:rsid w:val="7C64760A"/>
    <w:rsid w:val="7D0F2057"/>
    <w:rsid w:val="7DAF5BBF"/>
    <w:rsid w:val="7E89E83D"/>
    <w:rsid w:val="7EBAC128"/>
    <w:rsid w:val="7EE1C7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EC45"/>
  <w15:chartTrackingRefBased/>
  <w15:docId w15:val="{372CC6CF-2FEB-4D9D-A8D5-071B6FDD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30909213"/>
    <w:rPr>
      <w:color w:val="467886"/>
      <w:u w:val="single"/>
    </w:rPr>
  </w:style>
  <w:style w:type="paragraph" w:styleId="PargrafodaLista">
    <w:name w:val="List Paragraph"/>
    <w:basedOn w:val="Normal"/>
    <w:uiPriority w:val="34"/>
    <w:qFormat/>
    <w:rsid w:val="30909213"/>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eladeGradeClara">
    <w:name w:val="Grid Table Light"/>
    <w:basedOn w:val="Tabe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2">
    <w:name w:val="Plain Table 2"/>
    <w:basedOn w:val="Tabe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rio">
    <w:name w:val="annotation reference"/>
    <w:basedOn w:val="Fontepargpadro"/>
    <w:uiPriority w:val="99"/>
    <w:semiHidden/>
    <w:unhideWhenUsed/>
    <w:rsid w:val="002328DC"/>
    <w:rPr>
      <w:sz w:val="16"/>
      <w:szCs w:val="16"/>
    </w:rPr>
  </w:style>
  <w:style w:type="paragraph" w:styleId="Textodecomentrio">
    <w:name w:val="annotation text"/>
    <w:basedOn w:val="Normal"/>
    <w:link w:val="TextodecomentrioChar"/>
    <w:uiPriority w:val="99"/>
    <w:semiHidden/>
    <w:unhideWhenUsed/>
    <w:rsid w:val="002328D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328DC"/>
    <w:rPr>
      <w:sz w:val="20"/>
      <w:szCs w:val="20"/>
    </w:rPr>
  </w:style>
  <w:style w:type="paragraph" w:styleId="Assuntodocomentrio">
    <w:name w:val="annotation subject"/>
    <w:basedOn w:val="Textodecomentrio"/>
    <w:next w:val="Textodecomentrio"/>
    <w:link w:val="AssuntodocomentrioChar"/>
    <w:uiPriority w:val="99"/>
    <w:semiHidden/>
    <w:unhideWhenUsed/>
    <w:rsid w:val="002328DC"/>
    <w:rPr>
      <w:b/>
      <w:bCs/>
    </w:rPr>
  </w:style>
  <w:style w:type="character" w:customStyle="1" w:styleId="AssuntodocomentrioChar">
    <w:name w:val="Assunto do comentário Char"/>
    <w:basedOn w:val="TextodecomentrioChar"/>
    <w:link w:val="Assuntodocomentrio"/>
    <w:uiPriority w:val="99"/>
    <w:semiHidden/>
    <w:rsid w:val="002328DC"/>
    <w:rPr>
      <w:b/>
      <w:bCs/>
      <w:sz w:val="20"/>
      <w:szCs w:val="20"/>
    </w:rPr>
  </w:style>
  <w:style w:type="paragraph" w:styleId="Reviso">
    <w:name w:val="Revision"/>
    <w:hidden/>
    <w:uiPriority w:val="99"/>
    <w:semiHidden/>
    <w:rsid w:val="00F92722"/>
    <w:pPr>
      <w:spacing w:after="0" w:line="240" w:lineRule="auto"/>
    </w:pPr>
  </w:style>
  <w:style w:type="character" w:styleId="MenoPendente">
    <w:name w:val="Unresolved Mention"/>
    <w:basedOn w:val="Fontepargpadro"/>
    <w:uiPriority w:val="99"/>
    <w:semiHidden/>
    <w:unhideWhenUsed/>
    <w:rsid w:val="00A75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peg.go.gov.br/" TargetMode="External"/><Relationship Id="rId18" Type="http://schemas.openxmlformats.org/officeDocument/2006/relationships/hyperlink" Target="http://www.fapespa.pa.gov.br/" TargetMode="External"/><Relationship Id="rId26" Type="http://schemas.openxmlformats.org/officeDocument/2006/relationships/hyperlink" Target="http://www.fapesp.br/" TargetMode="External"/><Relationship Id="rId3" Type="http://schemas.openxmlformats.org/officeDocument/2006/relationships/settings" Target="settings.xml"/><Relationship Id="rId21" Type="http://schemas.openxmlformats.org/officeDocument/2006/relationships/hyperlink" Target="http://www.facepe.br/" TargetMode="External"/><Relationship Id="rId34" Type="http://schemas.openxmlformats.org/officeDocument/2006/relationships/fontTable" Target="fontTable.xml"/><Relationship Id="rId7" Type="http://schemas.openxmlformats.org/officeDocument/2006/relationships/hyperlink" Target="http://www.fapeap.ap.gov.br/" TargetMode="External"/><Relationship Id="rId12" Type="http://schemas.openxmlformats.org/officeDocument/2006/relationships/hyperlink" Target="http://www.fapes.es.gov.br/" TargetMode="External"/><Relationship Id="rId17" Type="http://schemas.openxmlformats.org/officeDocument/2006/relationships/hyperlink" Target="http://www.fapemig.br/" TargetMode="External"/><Relationship Id="rId25" Type="http://schemas.openxmlformats.org/officeDocument/2006/relationships/hyperlink" Target="http://www.fapesc.sc.gov.br/" TargetMode="External"/><Relationship Id="rId33" Type="http://schemas.openxmlformats.org/officeDocument/2006/relationships/hyperlink" Target="http://www.atena.org.br/revista/ojs-2.2.3-08/index.php/ufrj/article/view/1206/1142" TargetMode="External"/><Relationship Id="rId2" Type="http://schemas.openxmlformats.org/officeDocument/2006/relationships/styles" Target="styles.xml"/><Relationship Id="rId16" Type="http://schemas.openxmlformats.org/officeDocument/2006/relationships/hyperlink" Target="http://www.fundect.ms.gov.br/" TargetMode="External"/><Relationship Id="rId20" Type="http://schemas.openxmlformats.org/officeDocument/2006/relationships/hyperlink" Target="http://www.fappr.pr.gov.br/" TargetMode="External"/><Relationship Id="rId29" Type="http://schemas.openxmlformats.org/officeDocument/2006/relationships/hyperlink" Target="https://rondonia.ro.gov.br/fapero/" TargetMode="External"/><Relationship Id="rId1" Type="http://schemas.openxmlformats.org/officeDocument/2006/relationships/numbering" Target="numbering.xml"/><Relationship Id="rId6" Type="http://schemas.openxmlformats.org/officeDocument/2006/relationships/hyperlink" Target="http://www.fapeal.br/" TargetMode="External"/><Relationship Id="rId11" Type="http://schemas.openxmlformats.org/officeDocument/2006/relationships/hyperlink" Target="http://www.fap.df.gov.br/" TargetMode="External"/><Relationship Id="rId24" Type="http://schemas.openxmlformats.org/officeDocument/2006/relationships/hyperlink" Target="http://www.fapergs.rs.gov.br/" TargetMode="External"/><Relationship Id="rId32" Type="http://schemas.openxmlformats.org/officeDocument/2006/relationships/hyperlink" Target="http://www.planalto.gov.br/ccivil_03/leis/L8958.htm" TargetMode="External"/><Relationship Id="rId5" Type="http://schemas.openxmlformats.org/officeDocument/2006/relationships/hyperlink" Target="http://fapac.acre.gov.br/" TargetMode="External"/><Relationship Id="rId15" Type="http://schemas.openxmlformats.org/officeDocument/2006/relationships/hyperlink" Target="https://www.fapemat.mt.gov.br/" TargetMode="External"/><Relationship Id="rId23" Type="http://schemas.openxmlformats.org/officeDocument/2006/relationships/hyperlink" Target="http://www.faperj.br/" TargetMode="External"/><Relationship Id="rId28" Type="http://schemas.openxmlformats.org/officeDocument/2006/relationships/hyperlink" Target="http://www.fapt.to.gov.br/" TargetMode="External"/><Relationship Id="rId10" Type="http://schemas.openxmlformats.org/officeDocument/2006/relationships/hyperlink" Target="http://www.funcap.ce.gov.br/" TargetMode="External"/><Relationship Id="rId19" Type="http://schemas.openxmlformats.org/officeDocument/2006/relationships/hyperlink" Target="http://www.fapesq.rpp.br/" TargetMode="External"/><Relationship Id="rId31" Type="http://schemas.openxmlformats.org/officeDocument/2006/relationships/hyperlink" Target="http://www.fapern.rn.gov.br/" TargetMode="External"/><Relationship Id="rId4" Type="http://schemas.openxmlformats.org/officeDocument/2006/relationships/webSettings" Target="webSettings.xml"/><Relationship Id="rId9" Type="http://schemas.openxmlformats.org/officeDocument/2006/relationships/hyperlink" Target="http://www.fapesb.ba.gov.br/" TargetMode="External"/><Relationship Id="rId14" Type="http://schemas.openxmlformats.org/officeDocument/2006/relationships/hyperlink" Target="http://www.fapema.br/" TargetMode="External"/><Relationship Id="rId22" Type="http://schemas.openxmlformats.org/officeDocument/2006/relationships/hyperlink" Target="http://www.fapepi.pi.gov.br/" TargetMode="External"/><Relationship Id="rId27" Type="http://schemas.openxmlformats.org/officeDocument/2006/relationships/hyperlink" Target="http://www.fapitec.se.gov.br/" TargetMode="External"/><Relationship Id="rId30" Type="http://schemas.openxmlformats.org/officeDocument/2006/relationships/hyperlink" Target="https://www.faperr.rr.gov.br/" TargetMode="External"/><Relationship Id="rId35" Type="http://schemas.openxmlformats.org/officeDocument/2006/relationships/theme" Target="theme/theme1.xml"/><Relationship Id="rId8" Type="http://schemas.openxmlformats.org/officeDocument/2006/relationships/hyperlink" Target="http://www.fapeam.am.gov.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21</Pages>
  <Words>9946</Words>
  <Characters>53709</Characters>
  <Application>Microsoft Office Word</Application>
  <DocSecurity>0</DocSecurity>
  <Lines>447</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Rosa</dc:creator>
  <cp:keywords/>
  <dc:description/>
  <cp:lastModifiedBy>Isielli Mayara Barzotto Martins Tierling - Campo Mourão</cp:lastModifiedBy>
  <cp:revision>21</cp:revision>
  <dcterms:created xsi:type="dcterms:W3CDTF">2026-03-16T21:13:00Z</dcterms:created>
  <dcterms:modified xsi:type="dcterms:W3CDTF">2026-03-28T14:59:00Z</dcterms:modified>
</cp:coreProperties>
</file>