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342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REVISTA ALCANCE — DOCUMENTO SUPLEMENTAR (APÊNDICE)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B8A6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1E1270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Instrumento de coleta de dados e matriz de codificação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AB3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1AA76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Protocolo de Coleta de Dados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526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pesquisa documental operacionalizou-se mediante rastreamento sistemático de fontes públicas entre 2023 e 2026. As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strings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 busca utilizadas em relatórios regulatórios (como SEC), transcrições em plataformas especializadas (Seeking Alpha, The Motley Fool) e bases financeiras (Bloomberg Terminal) foram executadas conforme o seguinte parâmetro estrutural: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1E1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["Company Name" AND ("layoffs" OR "workforce reduction") AND ("artificial intelligence" OR "AI")]</w:t>
      </w:r>
      <w:r>
        <w:rPr>
          <w:rFonts w:ascii="Times New Roman" w:hAnsi="Times New Roman" w:cs="Times New Roman"/>
          <w:sz w:val="24"/>
          <w:szCs w:val="24"/>
        </w:rPr>
      </w:r>
    </w:p>
    <w:p w14:paraId="4BA96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8799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Instrumento de Categorização (Análise de Conteúdo)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DA4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Para a análise das declarações dos executivos, adotou-se a técnica de Análise de Conteúdo estruturada de Bardin (2016). O instrumento de tabulação e análise qualitativa foi refinado em seis categorias de observação dedutiva, alinhadas aos achados metodológ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icos (Seção 3.3) da presente pesquisa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tbl>
      <w:tblPr>
        <w:tblStyle w:val="15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026"/>
        <w:gridCol w:w="8329"/>
      </w:tblGrid>
      <w:tr>
        <w:trPr/>
        <w:tc>
          <w:tcPr>
            <w:tcBorders/>
            <w:tcW w:w="1026" w:type="dxa"/>
            <w:vAlign w:val="center"/>
          </w:tcPr>
          <w:p w14:paraId="32A225AD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Variável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2EBE4A0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Definição Operacional e Parâmetros de Codificação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1615DEFB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V1. Natureza Causal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43D05A55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 IA é apresentada como fator único (causa direta de substituição e redundância de postos) ou figura apenas como elemento complementar (fator indireto / reestruturação)?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6DD6FFC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V2. Métrica Operacional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44BB359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Há presença de métricas operacionais concretas que sustentem a alegação? (Avaliação da inclusão de evidências quantitativas de ganhos de produtividade e eficiência da IA no comunicado).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0E40202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V3. Saúde Contábil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5B47ECA9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Avaliação do contexto financeiro corporativo no momento do anúncio. Confronto da redução de custos com os indicadores publicizados no formulário 10-K contemporâneo: lucratividade, faturamento (US$), variação ano a ano (%) e margem operacional.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74E0E6BF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V4. Dimensionamento do Quadro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108D6521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Avaliação de sobrecontratação prévia. Mensuração da evolução do quadro funcional (variação percentual do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</w:rPr>
              <w:t xml:space="preserve">headcount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) entre o período pré-pandêmico (2019) e o pico de expansão registrado no relatório anterior às demissões.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43D0ECD7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V5. Investimento Tecnológico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768000CC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Verificação de investimentos simultâneos. Registros documentais sobre destinação de capital para projetos, aportes e aquisições no segmento de Inteligência Artificial durante os próprios ciclos de demissão.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026" w:type="dxa"/>
            <w:vAlign w:val="center"/>
          </w:tcPr>
          <w:p w14:paraId="2AA09EEE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</w:rPr>
              <w:t xml:space="preserve">V6. Modulação do Discurso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8329" w:type="dxa"/>
            <w:vAlign w:val="center"/>
          </w:tcPr>
          <w:p w14:paraId="00FA1BA4">
            <w:pPr>
              <w:pBdr/>
              <w:spacing w:after="0" w:before="0" w:line="240"/>
              <w:ind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Classificação semântica da linguagem empregada nos comunicados para identificação de padrões de 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 w:val="20"/>
                <w:szCs w:val="20"/>
              </w:rPr>
              <w:t xml:space="preserve">AI Scapegoating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w:t xml:space="preserve">. O discurso varia em um espectro de "Determinismo Tecnológico" (IA como força exógena inevitável) a "Decisão Estratégica" (redirecionamento gerencial discricionário)?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</w:tbl>
    <w:p w14:paraId="49904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24C180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Validação do Instrumento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FD30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 aplicação desta matriz no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24"/>
        </w:rPr>
        <w:t xml:space="preserve">corpus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documental ocorreu por pesquisador único. Para garantir o rigor e mitigar vieses de interpretação, instituiu-se um protocolo de dupla verificação com intervalo temporal (revisão intrapessoal pareada adotando um intervalo metodológico de 15 dias entre a pr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imeira extração e a codificação final), assegurando a estabilidade das categorias analíticas perante a documentação arquivada.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3F5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67088D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2026-05-23T17:06:51Z</dcterms:modified>
</cp:coreProperties>
</file>