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line="240" w:lineRule="auto"/>
        <w:ind w:firstLine="0"/>
        <w:jc w:val="center"/>
      </w:pPr>
      <w:r>
        <w:rPr>
          <w:rFonts w:ascii="Times New Roman" w:hAnsi="Times New Roman"/>
          <w:b/>
          <w:i w:val="0"/>
          <w:sz w:val="24"/>
        </w:rPr>
        <w:t>O PARADOXO DA PRODUTIVIDADE DA IA: ANÁLISE CRÍTICA DO DISCURSO CORPORATIVO SOBRE DEMISSÕES TECNOLÓGICAS</w:t>
      </w:r>
    </w:p>
    <w:p>
      <w:pPr>
        <w:spacing w:before="0" w:after="120" w:line="240" w:lineRule="auto"/>
        <w:ind w:firstLine="0"/>
        <w:jc w:val="center"/>
      </w:pPr>
      <w:r>
        <w:rPr>
          <w:rFonts w:ascii="Times New Roman" w:hAnsi="Times New Roman"/>
          <w:b/>
          <w:i w:val="0"/>
          <w:sz w:val="24"/>
        </w:rPr>
        <w:t>THE AI PRODUCTIVITY PARADOX: CRITICAL ANALYSIS OF CORPORATE DISCOURSE ON TECHNOLOGICAL LAYOFFS</w:t>
      </w:r>
    </w:p>
    <w:p>
      <w:pPr>
        <w:spacing w:before="0" w:after="120" w:line="240" w:lineRule="auto"/>
        <w:ind w:firstLine="0"/>
        <w:jc w:val="center"/>
      </w:pPr>
      <w:r>
        <w:rPr>
          <w:rFonts w:ascii="Times New Roman" w:hAnsi="Times New Roman"/>
          <w:b/>
          <w:i w:val="0"/>
          <w:sz w:val="24"/>
        </w:rPr>
        <w:t>EL PARADOJA DE LA PRODUCTIVIDAD DE LA IA: ANÁLISIS CRÍTICO DEL DISCURSO CORPORATIVO SOBRE DESPIDOS TECNOLÓGICOS</w:t>
      </w:r>
    </w:p>
    <w:p>
      <w:pPr>
        <w:spacing w:before="0" w:after="120" w:line="240" w:lineRule="auto"/>
        <w:ind w:firstLine="0"/>
        <w:jc w:val="center"/>
      </w:pPr>
      <w:r>
        <w:rPr>
          <w:rFonts w:ascii="Times New Roman" w:hAnsi="Times New Roman"/>
          <w:b/>
          <w:i w:val="0"/>
          <w:sz w:val="24"/>
        </w:rPr>
        <w:t>Resumo</w:t>
      </w:r>
    </w:p>
    <w:p>
      <w:pPr>
        <w:spacing w:before="0" w:after="120" w:line="240" w:lineRule="auto"/>
        <w:ind w:firstLine="0"/>
        <w:jc w:val="both"/>
      </w:pPr>
      <w:r>
        <w:rPr>
          <w:rFonts w:ascii="Times New Roman" w:hAnsi="Times New Roman"/>
          <w:b/>
          <w:sz w:val="24"/>
        </w:rPr>
        <w:t xml:space="preserve">Objetivo: </w:t>
      </w:r>
      <w:r>
        <w:rPr>
          <w:rFonts w:ascii="Times New Roman" w:hAnsi="Times New Roman"/>
          <w:sz w:val="24"/>
        </w:rPr>
        <w:t>Analisar criticamente se as declarações de executivos que atribuem demissões em massa à implementação de inteligência artificial encontram respaldo na realidade operacional pública ou se constituem narrativa estratégica para ocultar motivações gerenciais subjacentes.</w:t>
      </w:r>
    </w:p>
    <w:p>
      <w:pPr>
        <w:spacing w:before="0" w:after="120" w:line="240" w:lineRule="auto"/>
        <w:ind w:firstLine="0"/>
        <w:jc w:val="both"/>
      </w:pPr>
      <w:r>
        <w:rPr>
          <w:rFonts w:ascii="Times New Roman" w:hAnsi="Times New Roman"/>
          <w:b/>
          <w:sz w:val="24"/>
        </w:rPr>
        <w:t xml:space="preserve">Design / metodologia / abordagem: </w:t>
      </w:r>
      <w:r>
        <w:rPr>
          <w:rFonts w:ascii="Times New Roman" w:hAnsi="Times New Roman"/>
          <w:sz w:val="24"/>
        </w:rPr>
        <w:t>A pesquisa caracteriza-se como qualitativa e baseia-se em análise de conteúdo documental. O corpus foi composto por declarações e demonstrativos financeiros de seis empresas de tecnologia (Salesforce, Intuit, Dropbox, Block, Cisco e IBM) que anunciaram reduções de pessoal entre 2023 e 2026.</w:t>
      </w:r>
    </w:p>
    <w:p>
      <w:pPr>
        <w:spacing w:before="0" w:after="120" w:line="240" w:lineRule="auto"/>
        <w:ind w:firstLine="0"/>
        <w:jc w:val="both"/>
      </w:pPr>
      <w:r>
        <w:rPr>
          <w:rFonts w:ascii="Times New Roman" w:hAnsi="Times New Roman"/>
          <w:b/>
          <w:sz w:val="24"/>
        </w:rPr>
        <w:t xml:space="preserve">Resultados: </w:t>
      </w:r>
      <w:r>
        <w:rPr>
          <w:rFonts w:ascii="Times New Roman" w:hAnsi="Times New Roman"/>
          <w:sz w:val="24"/>
        </w:rPr>
        <w:t>Nenhuma organização disponibilizou publicamente métricas verificáveis de produtividade que sustentassem a redundância de trabalhadores pela tecnologia. Em contrapartida, observou-se lucratividade elevada, histórico de sobrecontratação pandêmica, linguagem de determinismo tecnológico e investimentos simultâneos na própria ferramenta. Dessa forma, caracterizou-se o argumento tecnológico como pretexto discursivo.</w:t>
      </w:r>
    </w:p>
    <w:p>
      <w:pPr>
        <w:spacing w:before="0" w:after="120" w:line="240" w:lineRule="auto"/>
        <w:ind w:firstLine="0"/>
        <w:jc w:val="both"/>
      </w:pPr>
      <w:r>
        <w:rPr>
          <w:rFonts w:ascii="Times New Roman" w:hAnsi="Times New Roman"/>
          <w:b/>
          <w:sz w:val="24"/>
        </w:rPr>
        <w:t xml:space="preserve">Limitações / implicações da pesquisa: </w:t>
      </w:r>
      <w:r>
        <w:rPr>
          <w:rFonts w:ascii="Times New Roman" w:hAnsi="Times New Roman"/>
          <w:sz w:val="24"/>
        </w:rPr>
        <w:t>A amostra foi limitada ao setor de tecnologia norte-americano e a fontes públicas. O fenômeno investigado é recente e ainda em evolução, o que limita a generalização dos achados e sugere cautela na interpretação dos resultados.</w:t>
      </w:r>
    </w:p>
    <w:p>
      <w:pPr>
        <w:spacing w:before="0" w:after="120" w:line="240" w:lineRule="auto"/>
        <w:ind w:firstLine="0"/>
        <w:jc w:val="both"/>
      </w:pPr>
      <w:r>
        <w:rPr>
          <w:rFonts w:ascii="Times New Roman" w:hAnsi="Times New Roman"/>
          <w:b/>
          <w:sz w:val="24"/>
        </w:rPr>
        <w:t xml:space="preserve">Implicações práticas: </w:t>
      </w:r>
      <w:r>
        <w:rPr>
          <w:rFonts w:ascii="Times New Roman" w:hAnsi="Times New Roman"/>
          <w:sz w:val="24"/>
        </w:rPr>
        <w:t>O trabalho fornece um modelo analítico para que investidores, reguladores e trabalhadores avaliem alegações corporativas sobre IA e demissões. Com esse propósito, possibilita-se a identificação de inconsistências entre discursos de automação e a capacidade financeira real das organizações.</w:t>
      </w:r>
    </w:p>
    <w:p>
      <w:pPr>
        <w:spacing w:before="0" w:after="120" w:line="240" w:lineRule="auto"/>
        <w:ind w:firstLine="0"/>
        <w:jc w:val="both"/>
      </w:pPr>
      <w:r>
        <w:rPr>
          <w:rFonts w:ascii="Times New Roman" w:hAnsi="Times New Roman"/>
          <w:b/>
          <w:sz w:val="24"/>
        </w:rPr>
        <w:t xml:space="preserve">Implicações sociais: </w:t>
      </w:r>
      <w:r>
        <w:rPr>
          <w:rFonts w:ascii="Times New Roman" w:hAnsi="Times New Roman"/>
          <w:sz w:val="24"/>
        </w:rPr>
        <w:t>O estudo oferece subsídios para que a sociedade avalie criticamente alegações de empresas sobre a relação entre implementação de IA e demissões, contribuindo para transparência no mercado de trabalho e proteção dos direitos dos trabalhadores.</w:t>
      </w:r>
    </w:p>
    <w:p>
      <w:pPr>
        <w:spacing w:before="0" w:after="120" w:line="240" w:lineRule="auto"/>
        <w:ind w:firstLine="0"/>
        <w:jc w:val="both"/>
      </w:pPr>
      <w:r>
        <w:rPr>
          <w:rFonts w:ascii="Times New Roman" w:hAnsi="Times New Roman"/>
          <w:b/>
          <w:sz w:val="24"/>
        </w:rPr>
        <w:t xml:space="preserve">Implicações teóricas: </w:t>
      </w:r>
      <w:r>
        <w:rPr>
          <w:rFonts w:ascii="Times New Roman" w:hAnsi="Times New Roman"/>
          <w:sz w:val="24"/>
        </w:rPr>
        <w:t>O estudo demonstra a persistência do Paradoxo de Solow no nível da firma. De forma complementar, aplica-se a Teoria da Agência para explicar a externalização de responsabilidades executivas por meio de narrativas de inovação tecnológica.</w:t>
      </w:r>
    </w:p>
    <w:p>
      <w:pPr>
        <w:spacing w:before="0" w:after="120" w:line="240" w:lineRule="auto"/>
        <w:ind w:firstLine="0"/>
        <w:jc w:val="both"/>
      </w:pPr>
      <w:r>
        <w:rPr>
          <w:rFonts w:ascii="Times New Roman" w:hAnsi="Times New Roman"/>
          <w:b/>
          <w:sz w:val="24"/>
        </w:rPr>
        <w:t xml:space="preserve">Originalidade / valor: </w:t>
      </w:r>
      <w:r>
        <w:rPr>
          <w:rFonts w:ascii="Times New Roman" w:hAnsi="Times New Roman"/>
          <w:sz w:val="24"/>
        </w:rPr>
        <w:t>O estudo preenche lacunas na literatura ao cruzar referenciais de agência, produtividade e recursos para demonstrar que a narrativa de IA funciona como cortina de fumaça para demissões motivadas por outros fatores, introduzindo o conceito de AI Scapegoating.</w:t>
      </w:r>
    </w:p>
    <w:p>
      <w:pPr>
        <w:spacing w:before="0" w:after="120" w:line="240" w:lineRule="auto"/>
        <w:ind w:firstLine="0"/>
        <w:jc w:val="both"/>
      </w:pPr>
      <w:r>
        <w:rPr>
          <w:rFonts w:ascii="Times New Roman" w:hAnsi="Times New Roman"/>
          <w:b w:val="0"/>
          <w:i w:val="0"/>
          <w:sz w:val="24"/>
        </w:rPr>
        <w:t>Palavras-chave: Paradoxo da produtividade; Teoria da agência; Demissões corporativas; Inteligência artificial; AI washing</w:t>
      </w:r>
    </w:p>
    <w:p>
      <w:pPr>
        <w:spacing w:before="0" w:after="120" w:line="240" w:lineRule="auto"/>
        <w:ind w:firstLine="0"/>
        <w:jc w:val="center"/>
      </w:pPr>
      <w:r>
        <w:rPr>
          <w:rFonts w:ascii="Times New Roman" w:hAnsi="Times New Roman"/>
          <w:b/>
          <w:i w:val="0"/>
          <w:sz w:val="24"/>
        </w:rPr>
        <w:t>Abstract</w:t>
      </w:r>
    </w:p>
    <w:p>
      <w:pPr>
        <w:spacing w:before="0" w:after="120" w:line="240" w:lineRule="auto"/>
        <w:ind w:firstLine="0"/>
        <w:jc w:val="both"/>
      </w:pPr>
      <w:r>
        <w:rPr>
          <w:rFonts w:ascii="Times New Roman" w:hAnsi="Times New Roman"/>
          <w:b/>
          <w:sz w:val="24"/>
        </w:rPr>
        <w:t xml:space="preserve">Purpose: </w:t>
      </w:r>
      <w:r>
        <w:rPr>
          <w:rFonts w:ascii="Times New Roman" w:hAnsi="Times New Roman"/>
          <w:sz w:val="24"/>
        </w:rPr>
        <w:t>To critically analyze whether executive statements attributing mass layoffs to artificial intelligence implementation find support in public operational reality or constitute strategic narratives to conceal underlying managerial motivations.</w:t>
      </w:r>
    </w:p>
    <w:p>
      <w:pPr>
        <w:spacing w:before="0" w:after="120" w:line="240" w:lineRule="auto"/>
        <w:ind w:firstLine="0"/>
        <w:jc w:val="both"/>
      </w:pPr>
      <w:r>
        <w:rPr>
          <w:rFonts w:ascii="Times New Roman" w:hAnsi="Times New Roman"/>
          <w:b/>
          <w:sz w:val="24"/>
        </w:rPr>
        <w:t xml:space="preserve">Design/methodology/approach: </w:t>
      </w:r>
      <w:r>
        <w:rPr>
          <w:rFonts w:ascii="Times New Roman" w:hAnsi="Times New Roman"/>
          <w:sz w:val="24"/>
        </w:rPr>
        <w:t>This qualitative research was based on documentary content analysis. The corpus comprised statements and financial reports from six technology companies (Salesforce, Intuit, Dropbox, Block, Cisco, and IBM) that announced layoffs between 2023 and 2026.</w:t>
      </w:r>
    </w:p>
    <w:p>
      <w:pPr>
        <w:spacing w:before="0" w:after="120" w:line="240" w:lineRule="auto"/>
        <w:ind w:firstLine="0"/>
        <w:jc w:val="both"/>
      </w:pPr>
      <w:r>
        <w:rPr>
          <w:rFonts w:ascii="Times New Roman" w:hAnsi="Times New Roman"/>
          <w:b/>
          <w:sz w:val="24"/>
        </w:rPr>
        <w:t xml:space="preserve">Findings: </w:t>
      </w:r>
      <w:r>
        <w:rPr>
          <w:rFonts w:ascii="Times New Roman" w:hAnsi="Times New Roman"/>
          <w:sz w:val="24"/>
        </w:rPr>
        <w:t>No organization publicly provided verifiable productivity metrics supporting human redundancy through technology. In contrast, high profitability, pandemic-era over-hiring history, technological determinism language, and simultaneous investments in the same tool were observed. Thus, the technological argument was characterized as discursive pretext.</w:t>
      </w:r>
    </w:p>
    <w:p>
      <w:pPr>
        <w:spacing w:before="0" w:after="120" w:line="240" w:lineRule="auto"/>
        <w:ind w:firstLine="0"/>
        <w:jc w:val="both"/>
      </w:pPr>
      <w:r>
        <w:rPr>
          <w:rFonts w:ascii="Times New Roman" w:hAnsi="Times New Roman"/>
          <w:b/>
          <w:sz w:val="24"/>
        </w:rPr>
        <w:t xml:space="preserve">Research limitations/implications: </w:t>
      </w:r>
      <w:r>
        <w:rPr>
          <w:rFonts w:ascii="Times New Roman" w:hAnsi="Times New Roman"/>
          <w:sz w:val="24"/>
        </w:rPr>
        <w:t>The sample was limited to the US technology sector and public sources. The investigated phenomenon is recent and still evolving, which limits the generalization of findings and suggests caution in interpreting results.</w:t>
      </w:r>
    </w:p>
    <w:p>
      <w:pPr>
        <w:spacing w:before="0" w:after="120" w:line="240" w:lineRule="auto"/>
        <w:ind w:firstLine="0"/>
        <w:jc w:val="both"/>
      </w:pPr>
      <w:r>
        <w:rPr>
          <w:rFonts w:ascii="Times New Roman" w:hAnsi="Times New Roman"/>
          <w:b/>
          <w:sz w:val="24"/>
        </w:rPr>
        <w:t xml:space="preserve">Practical implications: </w:t>
      </w:r>
      <w:r>
        <w:rPr>
          <w:rFonts w:ascii="Times New Roman" w:hAnsi="Times New Roman"/>
          <w:sz w:val="24"/>
        </w:rPr>
        <w:t>The paper provides an analytical model for investors, regulators, and workers to evaluate corporate allegations about AI and layoffs. This enables the identification of inconsistencies between automation discourses and the organizations’ real financial capacity.</w:t>
      </w:r>
    </w:p>
    <w:p>
      <w:pPr>
        <w:spacing w:before="0" w:after="120" w:line="240" w:lineRule="auto"/>
        <w:ind w:firstLine="0"/>
        <w:jc w:val="both"/>
      </w:pPr>
      <w:r>
        <w:rPr>
          <w:rFonts w:ascii="Times New Roman" w:hAnsi="Times New Roman"/>
          <w:b/>
          <w:sz w:val="24"/>
        </w:rPr>
        <w:t xml:space="preserve">Social implications: </w:t>
      </w:r>
      <w:r>
        <w:rPr>
          <w:rFonts w:ascii="Times New Roman" w:hAnsi="Times New Roman"/>
          <w:sz w:val="24"/>
        </w:rPr>
        <w:t>The study offers inputs for society to critically evaluate companies’ claims about the relationship between AI implementation and layoffs, contributing to labor market transparency and worker rights protection.</w:t>
      </w:r>
    </w:p>
    <w:p>
      <w:pPr>
        <w:spacing w:before="0" w:after="120" w:line="240" w:lineRule="auto"/>
        <w:ind w:firstLine="0"/>
        <w:jc w:val="both"/>
      </w:pPr>
      <w:r>
        <w:rPr>
          <w:rFonts w:ascii="Times New Roman" w:hAnsi="Times New Roman"/>
          <w:b/>
          <w:sz w:val="24"/>
        </w:rPr>
        <w:t xml:space="preserve">Theoretical implications: </w:t>
      </w:r>
      <w:r>
        <w:rPr>
          <w:rFonts w:ascii="Times New Roman" w:hAnsi="Times New Roman"/>
          <w:sz w:val="24"/>
        </w:rPr>
        <w:t>The study demonstrates the persistence of Solow’s Paradox at the firm level. Complementarily, it applies Agency Theory to explain the externalization of executive responsibilities through technological innovation narratives.</w:t>
      </w:r>
    </w:p>
    <w:p>
      <w:pPr>
        <w:spacing w:before="0" w:after="120" w:line="240" w:lineRule="auto"/>
        <w:ind w:firstLine="0"/>
        <w:jc w:val="both"/>
      </w:pPr>
      <w:r>
        <w:rPr>
          <w:rFonts w:ascii="Times New Roman" w:hAnsi="Times New Roman"/>
          <w:b/>
          <w:sz w:val="24"/>
        </w:rPr>
        <w:t xml:space="preserve">Originality/value: </w:t>
      </w:r>
      <w:r>
        <w:rPr>
          <w:rFonts w:ascii="Times New Roman" w:hAnsi="Times New Roman"/>
          <w:sz w:val="24"/>
        </w:rPr>
        <w:t>This article fills literature gaps by crossing agency, productivity, and resource frameworks to demonstrate that the AI narrative functions as a smoke screen for layoffs motivated by other factors, introducing the concept of AI Scapegoating.</w:t>
      </w:r>
    </w:p>
    <w:p>
      <w:pPr>
        <w:spacing w:before="0" w:after="120" w:line="240" w:lineRule="auto"/>
        <w:ind w:firstLine="0"/>
        <w:jc w:val="both"/>
      </w:pPr>
      <w:r>
        <w:rPr>
          <w:rFonts w:ascii="Times New Roman" w:hAnsi="Times New Roman"/>
          <w:b w:val="0"/>
          <w:i w:val="0"/>
          <w:sz w:val="24"/>
        </w:rPr>
        <w:t>Keywords: Productivity paradox; Agency theory; Corporate layoffs; Artificial intelligence; AI washing</w:t>
      </w:r>
    </w:p>
    <w:p>
      <w:pPr>
        <w:spacing w:before="0" w:after="120" w:line="240" w:lineRule="auto"/>
        <w:ind w:firstLine="0"/>
        <w:jc w:val="center"/>
      </w:pPr>
      <w:r>
        <w:rPr>
          <w:rFonts w:ascii="Times New Roman" w:hAnsi="Times New Roman"/>
          <w:b/>
          <w:i w:val="0"/>
          <w:sz w:val="24"/>
        </w:rPr>
        <w:t>Resumen</w:t>
      </w:r>
    </w:p>
    <w:p>
      <w:pPr>
        <w:spacing w:before="0" w:after="120" w:line="240" w:lineRule="auto"/>
        <w:ind w:firstLine="0"/>
        <w:jc w:val="both"/>
      </w:pPr>
      <w:r>
        <w:rPr>
          <w:rFonts w:ascii="Times New Roman" w:hAnsi="Times New Roman"/>
          <w:b/>
          <w:sz w:val="24"/>
        </w:rPr>
        <w:t xml:space="preserve">Objetivo: </w:t>
      </w:r>
      <w:r>
        <w:rPr>
          <w:rFonts w:ascii="Times New Roman" w:hAnsi="Times New Roman"/>
          <w:sz w:val="24"/>
        </w:rPr>
        <w:t>Analizar críticamente si las declaraciones de ejecutivos que atribuyen despidos en masa a la implementación de inteligencia artificial encuentran respaldo en la realidad operacional pública o constituyen narrativas estratégicas para ocultar motivaciones gerenciales subyacentes.</w:t>
      </w:r>
    </w:p>
    <w:p>
      <w:pPr>
        <w:spacing w:before="0" w:after="120" w:line="240" w:lineRule="auto"/>
        <w:ind w:firstLine="0"/>
        <w:jc w:val="both"/>
      </w:pPr>
      <w:r>
        <w:rPr>
          <w:rFonts w:ascii="Times New Roman" w:hAnsi="Times New Roman"/>
          <w:b/>
          <w:sz w:val="24"/>
        </w:rPr>
        <w:t xml:space="preserve">Diseño / metodología / enfoque: </w:t>
      </w:r>
      <w:r>
        <w:rPr>
          <w:rFonts w:ascii="Times New Roman" w:hAnsi="Times New Roman"/>
          <w:sz w:val="24"/>
        </w:rPr>
        <w:t>La investigación se caracteriza como cualitativa y se basa en análisis de contenido documental. El corpus incluyó declaraciones y estados financieros de seis empresas tecnológicas (Salesforce, Intuit, Dropbox, Block, Cisco e IBM) que anunciaron reducciones de personal entre 2023 y 2026.</w:t>
      </w:r>
    </w:p>
    <w:p>
      <w:pPr>
        <w:spacing w:before="0" w:after="120" w:line="240" w:lineRule="auto"/>
        <w:ind w:firstLine="0"/>
        <w:jc w:val="both"/>
      </w:pPr>
      <w:r>
        <w:rPr>
          <w:rFonts w:ascii="Times New Roman" w:hAnsi="Times New Roman"/>
          <w:b/>
          <w:sz w:val="24"/>
        </w:rPr>
        <w:t xml:space="preserve">Resultados: </w:t>
      </w:r>
      <w:r>
        <w:rPr>
          <w:rFonts w:ascii="Times New Roman" w:hAnsi="Times New Roman"/>
          <w:sz w:val="24"/>
        </w:rPr>
        <w:t>Ninguna organización publicó métricas de productividad verificables que sustentaran la redundancia de trabajadores por la tecnología. En cambio, se observó alta rentabilidad, historial de sobrecontratación pandémica, lenguaje de determinismo tecnológico e inversiones simultáneas en la misma herramienta. Así, el argumento tecnológico se caracterizó como un pretexto discursivo.</w:t>
      </w:r>
    </w:p>
    <w:p>
      <w:pPr>
        <w:spacing w:before="0" w:after="120" w:line="240" w:lineRule="auto"/>
        <w:ind w:firstLine="0"/>
        <w:jc w:val="both"/>
      </w:pPr>
      <w:r>
        <w:rPr>
          <w:rFonts w:ascii="Times New Roman" w:hAnsi="Times New Roman"/>
          <w:b/>
          <w:sz w:val="24"/>
        </w:rPr>
        <w:t xml:space="preserve">Limitaciones / implicaciones de la investigación: </w:t>
      </w:r>
      <w:r>
        <w:rPr>
          <w:rFonts w:ascii="Times New Roman" w:hAnsi="Times New Roman"/>
          <w:sz w:val="24"/>
        </w:rPr>
        <w:t>La muestra se limitó al sector tecnológico de Estados Unidos y a fuentes públicas. El fenómeno investigado es reciente y aún evoluciona, lo que limita la generalización de los resultados y sugiere cautela en la interpretación.</w:t>
      </w:r>
    </w:p>
    <w:p>
      <w:pPr>
        <w:spacing w:before="0" w:after="120" w:line="240" w:lineRule="auto"/>
        <w:ind w:firstLine="0"/>
        <w:jc w:val="both"/>
      </w:pPr>
      <w:r>
        <w:rPr>
          <w:rFonts w:ascii="Times New Roman" w:hAnsi="Times New Roman"/>
          <w:b/>
          <w:sz w:val="24"/>
        </w:rPr>
        <w:t xml:space="preserve">Implicaciones prácticas: </w:t>
      </w:r>
      <w:r>
        <w:rPr>
          <w:rFonts w:ascii="Times New Roman" w:hAnsi="Times New Roman"/>
          <w:sz w:val="24"/>
        </w:rPr>
        <w:t>El trabajo ofrece un modelo analítico para que inversionistas, reguladores y trabajadores evalúen las alegaciones corporativas sobre IA y despidos. Esto permite identificar inconsistencias entre los discursos de automatización y la capacidad financiera real de las organizaciones.</w:t>
      </w:r>
    </w:p>
    <w:p>
      <w:pPr>
        <w:spacing w:before="0" w:after="120" w:line="240" w:lineRule="auto"/>
        <w:ind w:firstLine="0"/>
        <w:jc w:val="both"/>
      </w:pPr>
      <w:r>
        <w:rPr>
          <w:rFonts w:ascii="Times New Roman" w:hAnsi="Times New Roman"/>
          <w:b/>
          <w:sz w:val="24"/>
        </w:rPr>
        <w:t xml:space="preserve">Implicaciones sociales: </w:t>
      </w:r>
      <w:r>
        <w:rPr>
          <w:rFonts w:ascii="Times New Roman" w:hAnsi="Times New Roman"/>
          <w:sz w:val="24"/>
        </w:rPr>
        <w:t>El estudio aporta elementos para que la sociedad evalúe críticamente las afirmaciones de las empresas sobre la relación entre la implementación de IA y los despidos, contribuyendo a la transparencia del mercado laboral y a la protección de los derechos de los trabajadores.</w:t>
      </w:r>
    </w:p>
    <w:p>
      <w:pPr>
        <w:spacing w:before="0" w:after="120" w:line="240" w:lineRule="auto"/>
        <w:ind w:firstLine="0"/>
        <w:jc w:val="both"/>
      </w:pPr>
      <w:r>
        <w:rPr>
          <w:rFonts w:ascii="Times New Roman" w:hAnsi="Times New Roman"/>
          <w:b/>
          <w:sz w:val="24"/>
        </w:rPr>
        <w:t xml:space="preserve">Implicaciones teóricas: </w:t>
      </w:r>
      <w:r>
        <w:rPr>
          <w:rFonts w:ascii="Times New Roman" w:hAnsi="Times New Roman"/>
          <w:sz w:val="24"/>
        </w:rPr>
        <w:t>El estudio demuestra la persistencia de la Paradoja de Solow a nivel de empresa. Complementariamente, aplica la Teoría de la Agencia para explicar la externalización de responsabilidades ejecutivas mediante narrativas de innovación tecnológica.</w:t>
      </w:r>
    </w:p>
    <w:p>
      <w:pPr>
        <w:spacing w:before="0" w:after="120" w:line="240" w:lineRule="auto"/>
        <w:ind w:firstLine="0"/>
        <w:jc w:val="both"/>
      </w:pPr>
      <w:r>
        <w:rPr>
          <w:rFonts w:ascii="Times New Roman" w:hAnsi="Times New Roman"/>
          <w:b/>
          <w:sz w:val="24"/>
        </w:rPr>
        <w:t xml:space="preserve">Originalidad / valor: </w:t>
      </w:r>
      <w:r>
        <w:rPr>
          <w:rFonts w:ascii="Times New Roman" w:hAnsi="Times New Roman"/>
          <w:sz w:val="24"/>
        </w:rPr>
        <w:t>El estudio llena vacíos en la literatura al cruzar marcos de agencia, productividad y recursos para demostrar que la narrativa de la IA funciona como cortina de humo para despidos motivados por otros factores, introduciendo el concepto de AI Scapegoating.</w:t>
      </w:r>
    </w:p>
    <w:p>
      <w:pPr>
        <w:spacing w:before="0" w:after="120" w:line="240" w:lineRule="auto"/>
        <w:ind w:firstLine="0"/>
        <w:jc w:val="both"/>
      </w:pPr>
      <w:r>
        <w:rPr>
          <w:rFonts w:ascii="Times New Roman" w:hAnsi="Times New Roman"/>
          <w:b w:val="0"/>
          <w:i w:val="0"/>
          <w:sz w:val="24"/>
        </w:rPr>
        <w:t>Palabras clave: Paradoja de la productividad; Teoría de la agencia; Despidos corporativos; Inteligencia artificial; AI washing</w:t>
      </w:r>
    </w:p>
    <w:sectPr w:rsidR="00FC693F" w:rsidRPr="0006063C" w:rsidSect="00034616">
      <w:pgSz w:w="12240" w:h="15840"/>
      <w:pgMar w:top="1701" w:right="1134" w:bottom="1134" w:left="1701" w:header="720" w:footer="720" w:gutter="0"/>
      <w:cols w:space="720"/>
      <w:docGrid w:linePitch="360"/>
    </w:sectPr>
    <w:p w:rsidR="3B081F0C" w:rsidP="46B80AED" w:rsidRDefault="3B081F0C" w14:paraId="4418100B" w14:textId="2C429C79">
      <w:pPr>
        <w:pStyle w:val="Normal"/>
        <w:spacing w:before="0" w:beforeAutospacing="off" w:after="120" w:afterAutospacing="off" w:line="240" w:lineRule="auto"/>
        <w:ind w:firstLine="0"/>
        <w:jc w:val="both"/>
        <w:rPr>
          <w:b w:val="1"/>
          <w:bCs w:val="1"/>
        </w:rPr>
      </w:pPr>
      <w:r w:rsidRPr="46B80AED" w:rsidR="3B081F0C">
        <w:rPr>
          <w:rFonts w:ascii="Times New Roman" w:hAnsi="Times New Roman"/>
          <w:b w:val="1"/>
          <w:bCs w:val="1"/>
          <w:sz w:val="24"/>
        </w:rPr>
        <w:t>1. Introdução</w:t>
      </w:r>
    </w:p>
    <w:p w:rsidR="7AB0BA00" w:rsidP="46B80AED" w:rsidRDefault="7AB0BA00" w14:paraId="4881702A" w14:textId="773F91FD">
      <w:pPr>
        <w:pStyle w:val="Normal"/>
        <w:spacing w:before="0" w:beforeAutospacing="off" w:after="120" w:afterAutospacing="off" w:line="240" w:lineRule="auto"/>
        <w:ind w:firstLine="0"/>
        <w:jc w:val="both"/>
      </w:pPr>
      <w:r w:rsidR="7AB0BA00">
        <w:rPr>
          <w:rFonts w:ascii="Times New Roman" w:hAnsi="Times New Roman"/>
          <w:sz w:val="24"/>
        </w:rPr>
        <w:t>O contexto tecnológico contemporâneo é caracterizado pela proliferação de sistemas de inteligência artificial (IA) em múltiplos setores econômicos. Em decorrência disso, a adoção dessas ferramentas tem sido justificada por executivos corporativos sob a premissa de ganhos de eficiência e de produtividade (Brynjolfsson &amp; McAfee, 2014). Diante desse cenário, o mercado de trabalho experimenta transformações estruturais, nas quais demissões em massa, conhecidas pelo termo em inglês layoffs, são frequentemente justificadas pela automatização de funções executadas por humanos (Felten et al., 2023).</w:t>
      </w:r>
    </w:p>
    <w:p w:rsidR="7AB0BA00" w:rsidP="46B80AED" w:rsidRDefault="7AB0BA00" w14:paraId="01843AD2" w14:textId="264D0323">
      <w:pPr>
        <w:pStyle w:val="Normal"/>
        <w:spacing w:before="0" w:beforeAutospacing="off" w:after="120" w:afterAutospacing="off" w:line="240" w:lineRule="auto"/>
        <w:ind w:firstLine="0"/>
        <w:jc w:val="both"/>
      </w:pPr>
      <w:r w:rsidR="7AB0BA00">
        <w:rPr>
          <w:rFonts w:ascii="Times New Roman" w:hAnsi="Times New Roman"/>
          <w:sz w:val="24"/>
        </w:rPr>
        <w:t>Para compreender essa dinâmica, a teoria econômica e organizacional oferece perspectivas analíticas estabelecidas. Inicialmente, o Paradoxo da Produtividade, formulado por Solow (1987), demonstra que os benefícios de tecnologias de informação podem não se traduzir imediatamente em ganhos mensuráveis de produção. De forma complementar, a Teoria da Agência (Jensen &amp; Meckling, 1976) fornece subsídios para entender os incentivos que levam executivos a externalizar a responsabilidade de decisões gerenciais. Soma-se a isso a Visão Baseada em Recursos (Barney, 1991), que questiona a racionalidade de eliminar capital humano dotado de conhecimento tácito sob a justificativa primária de substituição tecnológica.</w:t>
      </w:r>
    </w:p>
    <w:p w:rsidR="7AB0BA00" w:rsidP="46B80AED" w:rsidRDefault="7AB0BA00" w14:paraId="5210E155" w14:textId="2DC635D5">
      <w:pPr>
        <w:pStyle w:val="Normal"/>
        <w:spacing w:before="0" w:beforeAutospacing="off" w:after="120" w:afterAutospacing="off" w:line="240" w:lineRule="auto"/>
        <w:ind w:firstLine="0"/>
        <w:jc w:val="both"/>
      </w:pPr>
      <w:r w:rsidR="7AB0BA00">
        <w:rPr>
          <w:rFonts w:ascii="Times New Roman" w:hAnsi="Times New Roman"/>
          <w:sz w:val="24"/>
        </w:rPr>
        <w:t>A observação empírica do discurso corporativo recente evidencia a emergência de um fenômeno que este estudo denomina AI Scapegoating (utilização da IA como bode expiatório). Esse fenômeno manifesta-se quando executivos de alto escalão atribuem cortes de pessoal à implementação de algoritmos e sistemas automatizados. Contudo, a verificação sistemática dessas alegações revela inconsistências financeiras e operacionais que a literatura sobre economia de plataformas já identificava em narrativas corporativas de transformação digital (Kenney &amp; Zysman, 2016). Especificamente, os demonstrativos contábeis das empresas frequentemente atestam manutenção de lucros no período das reduções de quadro funcional. Por conseguinte, essa dinâmica sugere que a narrativa atua como uma cortina de fumaça, termo correspondente a smoke screen, visando ocultar motivações estritamente gerenciais.</w:t>
      </w:r>
    </w:p>
    <w:p w:rsidR="7AB0BA00" w:rsidP="46B80AED" w:rsidRDefault="7AB0BA00" w14:paraId="31688C77" w14:textId="7361818B">
      <w:pPr>
        <w:pStyle w:val="Normal"/>
        <w:spacing w:before="0" w:beforeAutospacing="off" w:after="120" w:afterAutospacing="off" w:line="240" w:lineRule="auto"/>
        <w:ind w:firstLine="0"/>
        <w:jc w:val="both"/>
      </w:pPr>
      <w:r w:rsidR="7AB0BA00">
        <w:rPr>
          <w:rFonts w:ascii="Times New Roman" w:hAnsi="Times New Roman"/>
          <w:sz w:val="24"/>
        </w:rPr>
        <w:t>A investigação desse fenômeno mostra-se oportuna, dado que a aceitação direta da narrativa de automação mascara falhas de planejamento corporativo, como a sobrecontratação ocorrida no período da pandemia de COVID-19. Diante do exposto, o objetivo geral desta pesquisa consiste em analisar criticamente se as declarações de executivos que atribuem demissões à inteligência artificial encontram respaldo em dados operacionais públicos ou se constituem narrativa estratégica para ocultar motivações subjacentes. Para tanto, os objetivos específicos englobam a compilação de declarações de diretores executivos, designados como Chief Executive Officers (CEOs), do setor de tecnologia. Adicionalmente, busca-se confrontar essas falas com indicadores financeiros e identificar padrões discursivos que comprovem a instrumentalização da justificativa tecnológica.</w:t>
      </w:r>
    </w:p>
    <w:p w:rsidR="7AB0BA00" w:rsidP="46B80AED" w:rsidRDefault="7AB0BA00" w14:paraId="4441CDA5" w14:textId="460A5299">
      <w:pPr>
        <w:pStyle w:val="Normal"/>
        <w:spacing w:before="0" w:beforeAutospacing="off" w:after="120" w:afterAutospacing="off" w:line="240" w:lineRule="auto"/>
        <w:ind w:firstLine="0"/>
        <w:jc w:val="both"/>
      </w:pPr>
      <w:r w:rsidR="7AB0BA00">
        <w:rPr>
          <w:rFonts w:ascii="Times New Roman" w:hAnsi="Times New Roman"/>
          <w:sz w:val="24"/>
        </w:rPr>
        <w:t>O artigo está organizado em cinco seções principais, além desta introdução. Na segunda seção, apresenta-se o referencial teórico com o detalhamento das teorias de produtividade, agência e recursos. Posteriormente, a terceira seção descreve os procedimentos metodológicos adotados para a consecução da análise de conteúdo documental. Em seguida, a quarta seção expõe os resultados extraídos da amostra e as respectivas discussões analíticas. Por fim, a quinta seção sintetiza as conclusões, as limitações da pesquisa e as recomendações para estudos futuros.</w:t>
      </w:r>
    </w:p>
    <w:p w:rsidR="02740533" w:rsidP="46B80AED" w:rsidRDefault="02740533" w14:paraId="2FA1268C" w14:textId="09EDB655">
      <w:pPr>
        <w:pStyle w:val="Normal"/>
        <w:spacing w:before="0" w:beforeAutospacing="off" w:after="120" w:afterAutospacing="off" w:line="240" w:lineRule="auto"/>
        <w:ind w:firstLine="0"/>
        <w:jc w:val="both"/>
        <w:rPr>
          <w:b w:val="1"/>
          <w:bCs w:val="1"/>
        </w:rPr>
      </w:pPr>
      <w:r w:rsidRPr="46B80AED" w:rsidR="02740533">
        <w:rPr>
          <w:rFonts w:ascii="Times New Roman" w:hAnsi="Times New Roman"/>
          <w:b w:val="1"/>
          <w:bCs w:val="1"/>
          <w:sz w:val="24"/>
        </w:rPr>
        <w:t>2. Referencial Teórico</w:t>
      </w:r>
    </w:p>
    <w:p w:rsidR="68E487CD" w:rsidP="46B80AED" w:rsidRDefault="68E487CD" w14:paraId="0254FD94" w14:textId="395DDF91">
      <w:pPr>
        <w:pStyle w:val="Normal"/>
        <w:spacing w:before="0" w:beforeAutospacing="off" w:after="120" w:afterAutospacing="off" w:line="240" w:lineRule="auto"/>
        <w:ind w:firstLine="0"/>
        <w:jc w:val="both"/>
        <w:rPr>
          <w:b w:val="1"/>
          <w:bCs w:val="1"/>
        </w:rPr>
      </w:pPr>
      <w:r w:rsidRPr="46B80AED" w:rsidR="68E487CD">
        <w:rPr>
          <w:rFonts w:ascii="Times New Roman" w:hAnsi="Times New Roman"/>
          <w:b w:val="1"/>
          <w:bCs w:val="1"/>
          <w:sz w:val="24"/>
        </w:rPr>
        <w:t>2.1 O Paradoxo da Produtividade Tecnológica no Mercado de Trabalho</w:t>
      </w:r>
    </w:p>
    <w:p w:rsidR="68E487CD" w:rsidP="46B80AED" w:rsidRDefault="68E487CD" w14:paraId="0E453FDE" w14:textId="0F2D5E0A">
      <w:pPr>
        <w:pStyle w:val="Normal"/>
        <w:spacing w:before="0" w:beforeAutospacing="off" w:after="120" w:afterAutospacing="off" w:line="240" w:lineRule="auto"/>
        <w:ind w:firstLine="0"/>
        <w:jc w:val="both"/>
        <w:rPr>
          <w:b w:val="0"/>
          <w:bCs w:val="0"/>
        </w:rPr>
      </w:pPr>
      <w:r w:rsidR="68E487CD">
        <w:rPr>
          <w:rFonts w:ascii="Times New Roman" w:hAnsi="Times New Roman"/>
          <w:b w:val="0"/>
          <w:bCs w:val="0"/>
          <w:sz w:val="24"/>
        </w:rPr>
        <w:t>A relação entre a inovação tecnológica e as reconfigurações do mercado de trabalho constitui objeto de investigação sistemática na teoria econômica (Frey &amp; Osborne, 2017). Historicamente, estudos demonstram que a introdução de novas tecnologias transforma a natureza das ocupações, promovendo a substituição de tarefas repetitivas por funções de operação mecanizada (</w:t>
      </w:r>
      <w:r w:rsidR="68E487CD">
        <w:rPr>
          <w:rFonts w:ascii="Times New Roman" w:hAnsi="Times New Roman"/>
          <w:b w:val="0"/>
          <w:bCs w:val="0"/>
          <w:sz w:val="24"/>
        </w:rPr>
        <w:t>Brynjolfsson</w:t>
      </w:r>
      <w:r w:rsidR="68E487CD">
        <w:rPr>
          <w:rFonts w:ascii="Times New Roman" w:hAnsi="Times New Roman"/>
          <w:b w:val="0"/>
          <w:bCs w:val="0"/>
          <w:sz w:val="24"/>
        </w:rPr>
        <w:t xml:space="preserve"> &amp; McAfee, 2014). Nessa perspectiva, o período contemporâneo vivencia a convergência de sistemas digitais, na qual a inteligência artificial (IA) assume centralidade na redefinição dos processos organizacionais (</w:t>
      </w:r>
      <w:r w:rsidR="68E487CD">
        <w:rPr>
          <w:rFonts w:ascii="Times New Roman" w:hAnsi="Times New Roman"/>
          <w:b w:val="0"/>
          <w:bCs w:val="0"/>
          <w:sz w:val="24"/>
        </w:rPr>
        <w:t>Felten</w:t>
      </w:r>
      <w:r w:rsidR="68E487CD">
        <w:rPr>
          <w:rFonts w:ascii="Times New Roman" w:hAnsi="Times New Roman"/>
          <w:b w:val="0"/>
          <w:bCs w:val="0"/>
          <w:sz w:val="24"/>
        </w:rPr>
        <w:t xml:space="preserve"> et al., 2023). Diante dessa capacidade de processamento cognitivo, torna-se necessário examinar como as corporações absorvem essas ferramentas e justificam a reestruturação de suas forças de trabalho (D. Autor [nota: David Autor, economista do Massachusetts </w:t>
      </w:r>
      <w:r w:rsidR="68E487CD">
        <w:rPr>
          <w:rFonts w:ascii="Times New Roman" w:hAnsi="Times New Roman"/>
          <w:b w:val="0"/>
          <w:bCs w:val="0"/>
          <w:sz w:val="24"/>
        </w:rPr>
        <w:t>Institute</w:t>
      </w:r>
      <w:r w:rsidR="68E487CD">
        <w:rPr>
          <w:rFonts w:ascii="Times New Roman" w:hAnsi="Times New Roman"/>
          <w:b w:val="0"/>
          <w:bCs w:val="0"/>
          <w:sz w:val="24"/>
        </w:rPr>
        <w:t xml:space="preserve"> </w:t>
      </w:r>
      <w:r w:rsidR="68E487CD">
        <w:rPr>
          <w:rFonts w:ascii="Times New Roman" w:hAnsi="Times New Roman"/>
          <w:b w:val="0"/>
          <w:bCs w:val="0"/>
          <w:sz w:val="24"/>
        </w:rPr>
        <w:t>of</w:t>
      </w:r>
      <w:r w:rsidR="68E487CD">
        <w:rPr>
          <w:rFonts w:ascii="Times New Roman" w:hAnsi="Times New Roman"/>
          <w:b w:val="0"/>
          <w:bCs w:val="0"/>
          <w:sz w:val="24"/>
        </w:rPr>
        <w:t xml:space="preserve"> Technology, citado como 'D. Autor' para evitar ambiguidade com o substantivo comum em português], 2015).</w:t>
      </w:r>
    </w:p>
    <w:p w:rsidR="68E487CD" w:rsidP="46B80AED" w:rsidRDefault="68E487CD" w14:paraId="383F1B2E" w14:textId="0BE19783">
      <w:pPr>
        <w:pStyle w:val="Normal"/>
        <w:spacing w:before="0" w:beforeAutospacing="off" w:after="120" w:afterAutospacing="off" w:line="240" w:lineRule="auto"/>
        <w:ind w:firstLine="0"/>
        <w:jc w:val="both"/>
        <w:rPr>
          <w:b w:val="0"/>
          <w:bCs w:val="0"/>
        </w:rPr>
      </w:pPr>
      <w:r w:rsidR="68E487CD">
        <w:rPr>
          <w:rFonts w:ascii="Times New Roman" w:hAnsi="Times New Roman"/>
          <w:b w:val="0"/>
          <w:bCs w:val="0"/>
          <w:sz w:val="24"/>
        </w:rPr>
        <w:t>Para analisar a referida dinâmica de absorção, o conceito de Paradoxo da Produtividade oferece embasamento teórico sobre a dissociação entre aportes em tecnologia e ganhos de eficiência (Solow, 1987). Em sua formulação original, o autor observou que a difusão da computação na economia norte-americana não refletiu em crescimento imediato nas estatísticas macroeconômicas de produção (</w:t>
      </w:r>
      <w:r w:rsidR="68E487CD">
        <w:rPr>
          <w:rFonts w:ascii="Times New Roman" w:hAnsi="Times New Roman"/>
          <w:b w:val="0"/>
          <w:bCs w:val="0"/>
          <w:sz w:val="24"/>
        </w:rPr>
        <w:t>Brynjolfsson</w:t>
      </w:r>
      <w:r w:rsidR="68E487CD">
        <w:rPr>
          <w:rFonts w:ascii="Times New Roman" w:hAnsi="Times New Roman"/>
          <w:b w:val="0"/>
          <w:bCs w:val="0"/>
          <w:sz w:val="24"/>
        </w:rPr>
        <w:t xml:space="preserve">, 1993). Consequentemente, análises mais recentes indicam que esse fenômeno persiste no cenário atual de adoção de sistemas autônomos (Abel et al., 2022). Nesse sentido, </w:t>
      </w:r>
      <w:r w:rsidR="68E487CD">
        <w:rPr>
          <w:rFonts w:ascii="Times New Roman" w:hAnsi="Times New Roman"/>
          <w:b w:val="0"/>
          <w:bCs w:val="0"/>
          <w:sz w:val="24"/>
        </w:rPr>
        <w:t>Bäck</w:t>
      </w:r>
      <w:r w:rsidR="68E487CD">
        <w:rPr>
          <w:rFonts w:ascii="Times New Roman" w:hAnsi="Times New Roman"/>
          <w:b w:val="0"/>
          <w:bCs w:val="0"/>
          <w:sz w:val="24"/>
        </w:rPr>
        <w:t xml:space="preserve"> et al. (2025) conduziram investigações empíricas com corporações europeias e demonstraram a ausência de correlação consistente entre a implementação algorítmica e o aumento mensurável da produtividade no nível da firma.</w:t>
      </w:r>
    </w:p>
    <w:p w:rsidR="68E487CD" w:rsidP="46B80AED" w:rsidRDefault="68E487CD" w14:paraId="461291C1" w14:textId="69E088DE">
      <w:pPr>
        <w:pStyle w:val="Normal"/>
        <w:spacing w:before="0" w:beforeAutospacing="off" w:after="120" w:afterAutospacing="off" w:line="240" w:lineRule="auto"/>
        <w:ind w:firstLine="0"/>
        <w:jc w:val="both"/>
        <w:rPr>
          <w:b w:val="0"/>
          <w:bCs w:val="0"/>
        </w:rPr>
      </w:pPr>
      <w:r w:rsidR="68E487CD">
        <w:rPr>
          <w:rFonts w:ascii="Times New Roman" w:hAnsi="Times New Roman"/>
          <w:b w:val="0"/>
          <w:bCs w:val="0"/>
          <w:sz w:val="24"/>
        </w:rPr>
        <w:t>Esses achados teóricos confrontam diretamente as narrativas corporativas recentes. Especificamente, as organizações investigadas neste artigo justificam reduções drásticas de pessoal alegando que a IA elevou a eficiência ao ponto de tornar colaboradores redundantes. Todavia, a literatura econômica sugere que os custos de integração de novos sistemas, atrelados à curva de aprendizado, frequentemente superam os retornos financeiros no curto prazo (</w:t>
      </w:r>
      <w:r w:rsidR="68E487CD">
        <w:rPr>
          <w:rFonts w:ascii="Times New Roman" w:hAnsi="Times New Roman"/>
          <w:b w:val="0"/>
          <w:bCs w:val="0"/>
          <w:sz w:val="24"/>
        </w:rPr>
        <w:t>Brynjolfsson</w:t>
      </w:r>
      <w:r w:rsidR="68E487CD">
        <w:rPr>
          <w:rFonts w:ascii="Times New Roman" w:hAnsi="Times New Roman"/>
          <w:b w:val="0"/>
          <w:bCs w:val="0"/>
          <w:sz w:val="24"/>
        </w:rPr>
        <w:t xml:space="preserve"> &amp; McAfee, 2014). Por conseguinte, a contradição entre os dados operacionais publicizados e o discurso de automação demanda a investigação de fatores paralelos que influenciam as deliberações executivas. Para tanto, faz-se necessário recorrer às formulações sobre governança e pressões de mercado.</w:t>
      </w:r>
    </w:p>
    <w:p w:rsidR="68E487CD" w:rsidP="46B80AED" w:rsidRDefault="68E487CD" w14:paraId="0FBA2773" w14:textId="1F658BA9">
      <w:pPr>
        <w:pStyle w:val="Normal"/>
        <w:spacing w:before="0" w:beforeAutospacing="off" w:after="120" w:afterAutospacing="off" w:line="240" w:lineRule="auto"/>
        <w:ind w:firstLine="0"/>
        <w:jc w:val="both"/>
        <w:rPr>
          <w:b w:val="1"/>
          <w:bCs w:val="1"/>
        </w:rPr>
      </w:pPr>
      <w:r w:rsidRPr="46B80AED" w:rsidR="68E487CD">
        <w:rPr>
          <w:rFonts w:ascii="Times New Roman" w:hAnsi="Times New Roman"/>
          <w:b w:val="1"/>
          <w:bCs w:val="1"/>
          <w:sz w:val="24"/>
        </w:rPr>
        <w:t>2.2 A Teoria da Agência e a Externalização de Decisões Gerenciais</w:t>
      </w:r>
    </w:p>
    <w:p w:rsidR="68E487CD" w:rsidP="46B80AED" w:rsidRDefault="68E487CD" w14:paraId="6B1D603E" w14:textId="5273C712">
      <w:pPr>
        <w:pStyle w:val="Normal"/>
        <w:spacing w:before="0" w:beforeAutospacing="off" w:after="120" w:afterAutospacing="off" w:line="240" w:lineRule="auto"/>
        <w:ind w:firstLine="0"/>
        <w:jc w:val="both"/>
        <w:rPr>
          <w:b w:val="0"/>
          <w:bCs w:val="0"/>
        </w:rPr>
      </w:pPr>
      <w:r w:rsidR="68E487CD">
        <w:rPr>
          <w:rFonts w:ascii="Times New Roman" w:hAnsi="Times New Roman"/>
          <w:b w:val="0"/>
          <w:bCs w:val="0"/>
          <w:sz w:val="24"/>
        </w:rPr>
        <w:t xml:space="preserve">A Teoria da Agência descreve a dinâmica de delegação de autoridade entre acionistas, designados como principais, e os executivos, categorizados como agentes (Jensen &amp; </w:t>
      </w:r>
      <w:r w:rsidR="68E487CD">
        <w:rPr>
          <w:rFonts w:ascii="Times New Roman" w:hAnsi="Times New Roman"/>
          <w:b w:val="0"/>
          <w:bCs w:val="0"/>
          <w:sz w:val="24"/>
        </w:rPr>
        <w:t>Meckling</w:t>
      </w:r>
      <w:r w:rsidR="68E487CD">
        <w:rPr>
          <w:rFonts w:ascii="Times New Roman" w:hAnsi="Times New Roman"/>
          <w:b w:val="0"/>
          <w:bCs w:val="0"/>
          <w:sz w:val="24"/>
        </w:rPr>
        <w:t xml:space="preserve">, 1976). De acordo com esse modelo analítico, a relação corporativa é estruturada sob assimetria informacional, fator que gera potenciais conflitos de interesse na condução das companhias. Como resultado dessa configuração, os diretores possuem incentivos para adotar decisões que maximizem sua utilidade pessoal e preservem sua reputação perante o mercado financeiro, independentemente do impacto a longo prazo na firma (Kaplan &amp; </w:t>
      </w:r>
      <w:r w:rsidR="68E487CD">
        <w:rPr>
          <w:rFonts w:ascii="Times New Roman" w:hAnsi="Times New Roman"/>
          <w:b w:val="0"/>
          <w:bCs w:val="0"/>
          <w:sz w:val="24"/>
        </w:rPr>
        <w:t>Minton</w:t>
      </w:r>
      <w:r w:rsidR="68E487CD">
        <w:rPr>
          <w:rFonts w:ascii="Times New Roman" w:hAnsi="Times New Roman"/>
          <w:b w:val="0"/>
          <w:bCs w:val="0"/>
          <w:sz w:val="24"/>
        </w:rPr>
        <w:t>, 2012).</w:t>
      </w:r>
    </w:p>
    <w:p w:rsidR="68E487CD" w:rsidP="46B80AED" w:rsidRDefault="68E487CD" w14:paraId="09FEE000" w14:textId="0FB4242E">
      <w:pPr>
        <w:pStyle w:val="Normal"/>
        <w:spacing w:before="0" w:beforeAutospacing="off" w:after="120" w:afterAutospacing="off" w:line="240" w:lineRule="auto"/>
        <w:ind w:firstLine="0"/>
        <w:jc w:val="both"/>
        <w:rPr>
          <w:b w:val="0"/>
          <w:bCs w:val="0"/>
        </w:rPr>
      </w:pPr>
      <w:r w:rsidR="68E487CD">
        <w:rPr>
          <w:rFonts w:ascii="Times New Roman" w:hAnsi="Times New Roman"/>
          <w:b w:val="0"/>
          <w:bCs w:val="0"/>
          <w:sz w:val="24"/>
        </w:rPr>
        <w:t xml:space="preserve">Em cenários de pressão por rentabilidade imediata, o risco de destituição eleva a probabilidade de adoção de ações emergenciais. Nesse contexto, a redução drástica de despesas operacionais, materializada em demissões em massa, representa um mecanismo rápido para a maximização do fluxo de caixa livre, referido na literatura de finanças como </w:t>
      </w:r>
      <w:r w:rsidR="68E487CD">
        <w:rPr>
          <w:rFonts w:ascii="Times New Roman" w:hAnsi="Times New Roman"/>
          <w:b w:val="0"/>
          <w:bCs w:val="0"/>
          <w:sz w:val="24"/>
        </w:rPr>
        <w:t>free</w:t>
      </w:r>
      <w:r w:rsidR="68E487CD">
        <w:rPr>
          <w:rFonts w:ascii="Times New Roman" w:hAnsi="Times New Roman"/>
          <w:b w:val="0"/>
          <w:bCs w:val="0"/>
          <w:sz w:val="24"/>
        </w:rPr>
        <w:t xml:space="preserve"> cash </w:t>
      </w:r>
      <w:r w:rsidR="68E487CD">
        <w:rPr>
          <w:rFonts w:ascii="Times New Roman" w:hAnsi="Times New Roman"/>
          <w:b w:val="0"/>
          <w:bCs w:val="0"/>
          <w:sz w:val="24"/>
        </w:rPr>
        <w:t>flow</w:t>
      </w:r>
      <w:r w:rsidR="68E487CD">
        <w:rPr>
          <w:rFonts w:ascii="Times New Roman" w:hAnsi="Times New Roman"/>
          <w:b w:val="0"/>
          <w:bCs w:val="0"/>
          <w:sz w:val="24"/>
        </w:rPr>
        <w:t xml:space="preserve"> (Jensen, 1986). Não obstante, deliberações que envolvem cortes severos de pessoal geram desgaste de imagem institucional e atraem escrutínio regulatório. Diante desse dilema, a literatura sobre economia de plataformas indica que a comunicação corporativa de transformação digital frequentemente funciona como instrumento de sinalização para atenuar reações negativas (</w:t>
      </w:r>
      <w:r w:rsidR="68E487CD">
        <w:rPr>
          <w:rFonts w:ascii="Times New Roman" w:hAnsi="Times New Roman"/>
          <w:b w:val="0"/>
          <w:bCs w:val="0"/>
          <w:sz w:val="24"/>
        </w:rPr>
        <w:t>Kenney</w:t>
      </w:r>
      <w:r w:rsidR="68E487CD">
        <w:rPr>
          <w:rFonts w:ascii="Times New Roman" w:hAnsi="Times New Roman"/>
          <w:b w:val="0"/>
          <w:bCs w:val="0"/>
          <w:sz w:val="24"/>
        </w:rPr>
        <w:t xml:space="preserve"> &amp; </w:t>
      </w:r>
      <w:r w:rsidR="68E487CD">
        <w:rPr>
          <w:rFonts w:ascii="Times New Roman" w:hAnsi="Times New Roman"/>
          <w:b w:val="0"/>
          <w:bCs w:val="0"/>
          <w:sz w:val="24"/>
        </w:rPr>
        <w:t>Zysman</w:t>
      </w:r>
      <w:r w:rsidR="68E487CD">
        <w:rPr>
          <w:rFonts w:ascii="Times New Roman" w:hAnsi="Times New Roman"/>
          <w:b w:val="0"/>
          <w:bCs w:val="0"/>
          <w:sz w:val="24"/>
        </w:rPr>
        <w:t>, 2016).</w:t>
      </w:r>
    </w:p>
    <w:p w:rsidR="68E487CD" w:rsidP="46B80AED" w:rsidRDefault="68E487CD" w14:paraId="297303D3" w14:textId="5398ABB7">
      <w:pPr>
        <w:pStyle w:val="Normal"/>
        <w:spacing w:before="0" w:beforeAutospacing="off" w:after="120" w:afterAutospacing="off" w:line="240" w:lineRule="auto"/>
        <w:ind w:firstLine="0"/>
        <w:jc w:val="both"/>
        <w:rPr>
          <w:b w:val="0"/>
          <w:bCs w:val="0"/>
        </w:rPr>
      </w:pPr>
      <w:r w:rsidR="68E487CD">
        <w:rPr>
          <w:rFonts w:ascii="Times New Roman" w:hAnsi="Times New Roman"/>
          <w:b w:val="0"/>
          <w:bCs w:val="0"/>
          <w:sz w:val="24"/>
        </w:rPr>
        <w:t xml:space="preserve">A aplicação dessa teoria ao problema de pesquisa deste artigo elucida a mecânica dos comunicados de demissão. Ao atribuírem os desligamentos à superioridade técnica algorítmica, os executivos transferem a responsabilidade de uma decisão discricionária para um fator exógeno. Dessa forma, a narrativa de implementação de IA atua como uma estratégia de mitigação de risco do agente (Jensen &amp; </w:t>
      </w:r>
      <w:r w:rsidR="68E487CD">
        <w:rPr>
          <w:rFonts w:ascii="Times New Roman" w:hAnsi="Times New Roman"/>
          <w:b w:val="0"/>
          <w:bCs w:val="0"/>
          <w:sz w:val="24"/>
        </w:rPr>
        <w:t>Meckling</w:t>
      </w:r>
      <w:r w:rsidR="68E487CD">
        <w:rPr>
          <w:rFonts w:ascii="Times New Roman" w:hAnsi="Times New Roman"/>
          <w:b w:val="0"/>
          <w:bCs w:val="0"/>
          <w:sz w:val="24"/>
        </w:rPr>
        <w:t>, 1976). Simultaneamente, a adoção desse discurso posiciona a corporação como uma entidade tecnologicamente atualizada perante os acionistas (</w:t>
      </w:r>
      <w:r w:rsidR="68E487CD">
        <w:rPr>
          <w:rFonts w:ascii="Times New Roman" w:hAnsi="Times New Roman"/>
          <w:b w:val="0"/>
          <w:bCs w:val="0"/>
          <w:sz w:val="24"/>
        </w:rPr>
        <w:t>Kenney</w:t>
      </w:r>
      <w:r w:rsidR="68E487CD">
        <w:rPr>
          <w:rFonts w:ascii="Times New Roman" w:hAnsi="Times New Roman"/>
          <w:b w:val="0"/>
          <w:bCs w:val="0"/>
          <w:sz w:val="24"/>
        </w:rPr>
        <w:t xml:space="preserve"> &amp; </w:t>
      </w:r>
      <w:r w:rsidR="68E487CD">
        <w:rPr>
          <w:rFonts w:ascii="Times New Roman" w:hAnsi="Times New Roman"/>
          <w:b w:val="0"/>
          <w:bCs w:val="0"/>
          <w:sz w:val="24"/>
        </w:rPr>
        <w:t>Zysman</w:t>
      </w:r>
      <w:r w:rsidR="68E487CD">
        <w:rPr>
          <w:rFonts w:ascii="Times New Roman" w:hAnsi="Times New Roman"/>
          <w:b w:val="0"/>
          <w:bCs w:val="0"/>
          <w:sz w:val="24"/>
        </w:rPr>
        <w:t>, 2016). Contudo, essa manobra financeira entra em conflito com os preceitos de sustentabilidade estratégica, aspecto central das teorias de acumulação de recursos intangíveis.</w:t>
      </w:r>
    </w:p>
    <w:p w:rsidR="68E487CD" w:rsidP="46B80AED" w:rsidRDefault="68E487CD" w14:paraId="6BFA5F84" w14:textId="67FD798B">
      <w:pPr>
        <w:pStyle w:val="Normal"/>
        <w:spacing w:before="0" w:beforeAutospacing="off" w:after="120" w:afterAutospacing="off" w:line="240" w:lineRule="auto"/>
        <w:ind w:firstLine="0"/>
        <w:jc w:val="both"/>
        <w:rPr>
          <w:b w:val="1"/>
          <w:bCs w:val="1"/>
        </w:rPr>
      </w:pPr>
      <w:r w:rsidRPr="46B80AED" w:rsidR="68E487CD">
        <w:rPr>
          <w:rFonts w:ascii="Times New Roman" w:hAnsi="Times New Roman"/>
          <w:b w:val="1"/>
          <w:bCs w:val="1"/>
          <w:sz w:val="24"/>
        </w:rPr>
        <w:t xml:space="preserve">2.3 Visão Baseada em Recursos e a Instrumentação Discursiva (AI </w:t>
      </w:r>
      <w:r w:rsidRPr="46B80AED" w:rsidR="68E487CD">
        <w:rPr>
          <w:rFonts w:ascii="Times New Roman" w:hAnsi="Times New Roman"/>
          <w:b w:val="1"/>
          <w:bCs w:val="1"/>
          <w:sz w:val="24"/>
        </w:rPr>
        <w:t>Scapegoating</w:t>
      </w:r>
      <w:r w:rsidRPr="46B80AED" w:rsidR="68E487CD">
        <w:rPr>
          <w:rFonts w:ascii="Times New Roman" w:hAnsi="Times New Roman"/>
          <w:b w:val="1"/>
          <w:bCs w:val="1"/>
          <w:sz w:val="24"/>
        </w:rPr>
        <w:t>)</w:t>
      </w:r>
    </w:p>
    <w:p w:rsidR="68E487CD" w:rsidP="46B80AED" w:rsidRDefault="68E487CD" w14:paraId="5C9462A7" w14:textId="3D8465EF">
      <w:pPr>
        <w:pStyle w:val="Normal"/>
        <w:spacing w:before="0" w:beforeAutospacing="off" w:after="120" w:afterAutospacing="off" w:line="240" w:lineRule="auto"/>
        <w:ind w:firstLine="0"/>
        <w:jc w:val="both"/>
        <w:rPr>
          <w:b w:val="0"/>
          <w:bCs w:val="0"/>
        </w:rPr>
      </w:pPr>
      <w:r w:rsidR="68E487CD">
        <w:rPr>
          <w:rFonts w:ascii="Times New Roman" w:hAnsi="Times New Roman"/>
          <w:b w:val="0"/>
          <w:bCs w:val="0"/>
          <w:sz w:val="24"/>
        </w:rPr>
        <w:t>A Visão Baseada em Recursos, reconhecida pela sigla em inglês RBV (</w:t>
      </w:r>
      <w:r w:rsidR="68E487CD">
        <w:rPr>
          <w:rFonts w:ascii="Times New Roman" w:hAnsi="Times New Roman"/>
          <w:b w:val="0"/>
          <w:bCs w:val="0"/>
          <w:sz w:val="24"/>
        </w:rPr>
        <w:t>Resource-Based</w:t>
      </w:r>
      <w:r w:rsidR="68E487CD">
        <w:rPr>
          <w:rFonts w:ascii="Times New Roman" w:hAnsi="Times New Roman"/>
          <w:b w:val="0"/>
          <w:bCs w:val="0"/>
          <w:sz w:val="24"/>
        </w:rPr>
        <w:t xml:space="preserve"> </w:t>
      </w:r>
      <w:r w:rsidR="68E487CD">
        <w:rPr>
          <w:rFonts w:ascii="Times New Roman" w:hAnsi="Times New Roman"/>
          <w:b w:val="0"/>
          <w:bCs w:val="0"/>
          <w:sz w:val="24"/>
        </w:rPr>
        <w:t>View</w:t>
      </w:r>
      <w:r w:rsidR="68E487CD">
        <w:rPr>
          <w:rFonts w:ascii="Times New Roman" w:hAnsi="Times New Roman"/>
          <w:b w:val="0"/>
          <w:bCs w:val="0"/>
          <w:sz w:val="24"/>
        </w:rPr>
        <w:t>), postula que as vantagens competitivas das organizações derivam de ativos internos específicos e de difícil replicação (</w:t>
      </w:r>
      <w:r w:rsidR="68E487CD">
        <w:rPr>
          <w:rFonts w:ascii="Times New Roman" w:hAnsi="Times New Roman"/>
          <w:b w:val="0"/>
          <w:bCs w:val="0"/>
          <w:sz w:val="24"/>
        </w:rPr>
        <w:t>Penrose</w:t>
      </w:r>
      <w:r w:rsidR="68E487CD">
        <w:rPr>
          <w:rFonts w:ascii="Times New Roman" w:hAnsi="Times New Roman"/>
          <w:b w:val="0"/>
          <w:bCs w:val="0"/>
          <w:sz w:val="24"/>
        </w:rPr>
        <w:t>, 1959). Nessa ótica teórica, os insumos capazes de sustentar o desempenho econômico requerem a condição de serem valiosos, raros, inimitáveis e não-substituíveis (Barney, 1991). Com base nesses critérios, o conhecimento tácito e as capacidades organizacionais acumuladas pelos funcionários enquadram-se como recursos intangíveis de alta complexidade, cujo desenvolvimento demanda tempo e investimento (Barney &amp; Clark, 2007). Em contrapartida, as inovações adquiríveis no mercado não configuram vantagem competitiva isolada, uma vez que empresas concorrentes possuem acesso equitativo a licenças e sistemas (</w:t>
      </w:r>
      <w:r w:rsidR="68E487CD">
        <w:rPr>
          <w:rFonts w:ascii="Times New Roman" w:hAnsi="Times New Roman"/>
          <w:b w:val="0"/>
          <w:bCs w:val="0"/>
          <w:sz w:val="24"/>
        </w:rPr>
        <w:t>Brynjolfsson</w:t>
      </w:r>
      <w:r w:rsidR="68E487CD">
        <w:rPr>
          <w:rFonts w:ascii="Times New Roman" w:hAnsi="Times New Roman"/>
          <w:b w:val="0"/>
          <w:bCs w:val="0"/>
          <w:sz w:val="24"/>
        </w:rPr>
        <w:t xml:space="preserve"> &amp; McAfee, 2014).</w:t>
      </w:r>
    </w:p>
    <w:p w:rsidR="68E487CD" w:rsidP="46B80AED" w:rsidRDefault="68E487CD" w14:paraId="16F94EF4" w14:textId="49DD9975">
      <w:pPr>
        <w:pStyle w:val="Normal"/>
        <w:spacing w:before="0" w:beforeAutospacing="off" w:after="120" w:afterAutospacing="off" w:line="240" w:lineRule="auto"/>
        <w:ind w:firstLine="0"/>
        <w:jc w:val="both"/>
        <w:rPr>
          <w:b w:val="0"/>
          <w:bCs w:val="0"/>
        </w:rPr>
      </w:pPr>
      <w:r w:rsidR="68E487CD">
        <w:rPr>
          <w:rFonts w:ascii="Times New Roman" w:hAnsi="Times New Roman"/>
          <w:b w:val="0"/>
          <w:bCs w:val="0"/>
          <w:sz w:val="24"/>
        </w:rPr>
        <w:t xml:space="preserve">A necessidade de preservar essas competências humanas encontra respaldo empírico nas investigações contemporâneas sobre o mercado de trabalho. A teoria do capital humano estabelece que investimentos em qualificação convertem indivíduos em ativos estratégicos para a integração de novas ferramentas (Becker, 1964). Em consonância com essa premissa, o modelo de estruturação baseado em tarefas, denominado </w:t>
      </w:r>
      <w:r w:rsidR="68E487CD">
        <w:rPr>
          <w:rFonts w:ascii="Times New Roman" w:hAnsi="Times New Roman"/>
          <w:b w:val="0"/>
          <w:bCs w:val="0"/>
          <w:sz w:val="24"/>
        </w:rPr>
        <w:t>task-based</w:t>
      </w:r>
      <w:r w:rsidR="68E487CD">
        <w:rPr>
          <w:rFonts w:ascii="Times New Roman" w:hAnsi="Times New Roman"/>
          <w:b w:val="0"/>
          <w:bCs w:val="0"/>
          <w:sz w:val="24"/>
        </w:rPr>
        <w:t>, indica que a tecnologia automatiza procedimentos rotineiros delimitados, mas não suprime as profissões em sua completude (D. Autor et al., 2003). Adicionalmente, pesquisas recentes demonstram que funções com alta exposição tecnológica tendem a vivenciar o fenômeno da complementaridade, situação na qual o trabalhador utiliza o sistema operacional para escalar sua produção intelectual (</w:t>
      </w:r>
      <w:r w:rsidR="68E487CD">
        <w:rPr>
          <w:rFonts w:ascii="Times New Roman" w:hAnsi="Times New Roman"/>
          <w:b w:val="0"/>
          <w:bCs w:val="0"/>
          <w:sz w:val="24"/>
        </w:rPr>
        <w:t>Felten</w:t>
      </w:r>
      <w:r w:rsidR="68E487CD">
        <w:rPr>
          <w:rFonts w:ascii="Times New Roman" w:hAnsi="Times New Roman"/>
          <w:b w:val="0"/>
          <w:bCs w:val="0"/>
          <w:sz w:val="24"/>
        </w:rPr>
        <w:t xml:space="preserve"> et al., 2023).</w:t>
      </w:r>
    </w:p>
    <w:p w:rsidR="68E487CD" w:rsidP="46B80AED" w:rsidRDefault="68E487CD" w14:paraId="6A6F6A41" w14:textId="29DAA627">
      <w:pPr>
        <w:pStyle w:val="Normal"/>
        <w:spacing w:before="0" w:beforeAutospacing="off" w:after="120" w:afterAutospacing="off" w:line="240" w:lineRule="auto"/>
        <w:ind w:firstLine="0"/>
        <w:jc w:val="both"/>
        <w:rPr>
          <w:b w:val="0"/>
          <w:bCs w:val="0"/>
        </w:rPr>
      </w:pPr>
      <w:r w:rsidR="68E487CD">
        <w:rPr>
          <w:rFonts w:ascii="Times New Roman" w:hAnsi="Times New Roman"/>
          <w:b w:val="0"/>
          <w:bCs w:val="0"/>
          <w:sz w:val="24"/>
        </w:rPr>
        <w:t>A convergência desses aportes teóricos revela uma lacuna substancial na narrativa de redundância humana. Se o capital intelectual representa um recurso inimitável (Barney, 1991) e a inteligência artificial atua primariamente como fator de complementaridade funcional (</w:t>
      </w:r>
      <w:r w:rsidR="68E487CD">
        <w:rPr>
          <w:rFonts w:ascii="Times New Roman" w:hAnsi="Times New Roman"/>
          <w:b w:val="0"/>
          <w:bCs w:val="0"/>
          <w:sz w:val="24"/>
        </w:rPr>
        <w:t>Felten</w:t>
      </w:r>
      <w:r w:rsidR="68E487CD">
        <w:rPr>
          <w:rFonts w:ascii="Times New Roman" w:hAnsi="Times New Roman"/>
          <w:b w:val="0"/>
          <w:bCs w:val="0"/>
          <w:sz w:val="24"/>
        </w:rPr>
        <w:t xml:space="preserve"> et al., 2023), a eliminação massiva de trabalhadores destrói ativos estratégicos. Diante dessa contradição entre a fundamentação científica e os cortes operados por companhias de capital aberto, o presente artigo formaliza a aplicação do termo AI </w:t>
      </w:r>
      <w:r w:rsidR="68E487CD">
        <w:rPr>
          <w:rFonts w:ascii="Times New Roman" w:hAnsi="Times New Roman"/>
          <w:b w:val="0"/>
          <w:bCs w:val="0"/>
          <w:sz w:val="24"/>
        </w:rPr>
        <w:t>Scapegoating</w:t>
      </w:r>
      <w:r w:rsidR="68E487CD">
        <w:rPr>
          <w:rFonts w:ascii="Times New Roman" w:hAnsi="Times New Roman"/>
          <w:b w:val="0"/>
          <w:bCs w:val="0"/>
          <w:sz w:val="24"/>
        </w:rPr>
        <w:t>. Em síntese, o conceito define a instrumentalização discursiva da inteligência artificial como pretexto para mascarar demissões motivadas por ajustes financeiros de curto prazo, estabelecendo uma diferenciação clara em relação à publicidade comercial de sistemas digitais.</w:t>
      </w:r>
    </w:p>
    <w:p w:rsidR="02740533" w:rsidP="46B80AED" w:rsidRDefault="02740533" w14:paraId="6A8DC8C5" w14:textId="49D64E0F">
      <w:pPr>
        <w:pStyle w:val="Normal"/>
        <w:spacing w:before="0" w:beforeAutospacing="off" w:after="120" w:afterAutospacing="off" w:line="240" w:lineRule="auto"/>
        <w:ind w:firstLine="0"/>
        <w:jc w:val="both"/>
        <w:rPr>
          <w:b w:val="1"/>
          <w:bCs w:val="1"/>
        </w:rPr>
      </w:pPr>
      <w:r w:rsidRPr="46B80AED" w:rsidR="02740533">
        <w:rPr>
          <w:rFonts w:ascii="Times New Roman" w:hAnsi="Times New Roman"/>
          <w:b w:val="1"/>
          <w:bCs w:val="1"/>
          <w:sz w:val="24"/>
        </w:rPr>
        <w:t>3. Procedimentos Metodológicos</w:t>
      </w:r>
    </w:p>
    <w:p w:rsidR="02740533" w:rsidP="46B80AED" w:rsidRDefault="02740533" w14:paraId="6B178B07" w14:textId="68DA5691">
      <w:pPr>
        <w:pStyle w:val="Normal"/>
        <w:spacing w:before="0" w:beforeAutospacing="off" w:after="120" w:afterAutospacing="off" w:line="240" w:lineRule="auto"/>
        <w:ind w:firstLine="0"/>
        <w:jc w:val="both"/>
        <w:rPr>
          <w:b w:val="1"/>
          <w:bCs w:val="1"/>
        </w:rPr>
      </w:pPr>
      <w:r w:rsidRPr="46B80AED" w:rsidR="02740533">
        <w:rPr>
          <w:rFonts w:ascii="Times New Roman" w:hAnsi="Times New Roman"/>
          <w:b w:val="1"/>
          <w:bCs w:val="1"/>
          <w:sz w:val="24"/>
        </w:rPr>
        <w:t xml:space="preserve">3.1 Enquadramento da Pesquisa </w:t>
      </w:r>
    </w:p>
    <w:p w:rsidR="02740533" w:rsidP="46B80AED" w:rsidRDefault="02740533" w14:paraId="5541053F" w14:textId="0639234D">
      <w:pPr>
        <w:pStyle w:val="Normal"/>
        <w:spacing w:before="0" w:beforeAutospacing="off" w:after="120" w:afterAutospacing="off" w:line="240" w:lineRule="auto"/>
        <w:ind w:firstLine="0"/>
        <w:jc w:val="both"/>
      </w:pPr>
      <w:r w:rsidR="02740533">
        <w:rPr>
          <w:rFonts w:ascii="Times New Roman" w:hAnsi="Times New Roman"/>
          <w:sz w:val="24"/>
        </w:rPr>
        <w:t>O presente estudo adota abordagem qualitativa de natureza descritiva (Gil, 2019). Com esse propósito, a investigação apoia-se no método de pesquisa documental para acessar fontes primárias de organizações do setor tecnológico norte-americano (Vergara, 2016). Sob a ótica epistemológica, o trabalho alinha-se à perspectiva crítico-</w:t>
      </w:r>
      <w:r w:rsidR="02740533">
        <w:rPr>
          <w:rFonts w:ascii="Times New Roman" w:hAnsi="Times New Roman"/>
          <w:sz w:val="24"/>
        </w:rPr>
        <w:t>interpretativista</w:t>
      </w:r>
      <w:r w:rsidR="02740533">
        <w:rPr>
          <w:rFonts w:ascii="Times New Roman" w:hAnsi="Times New Roman"/>
          <w:sz w:val="24"/>
        </w:rPr>
        <w:t xml:space="preserve"> (</w:t>
      </w:r>
      <w:r w:rsidR="02740533">
        <w:rPr>
          <w:rFonts w:ascii="Times New Roman" w:hAnsi="Times New Roman"/>
          <w:sz w:val="24"/>
        </w:rPr>
        <w:t>Creswell</w:t>
      </w:r>
      <w:r w:rsidR="02740533">
        <w:rPr>
          <w:rFonts w:ascii="Times New Roman" w:hAnsi="Times New Roman"/>
          <w:sz w:val="24"/>
        </w:rPr>
        <w:t xml:space="preserve"> &amp; </w:t>
      </w:r>
      <w:r w:rsidR="02740533">
        <w:rPr>
          <w:rFonts w:ascii="Times New Roman" w:hAnsi="Times New Roman"/>
          <w:sz w:val="24"/>
        </w:rPr>
        <w:t>Creswell</w:t>
      </w:r>
      <w:r w:rsidR="02740533">
        <w:rPr>
          <w:rFonts w:ascii="Times New Roman" w:hAnsi="Times New Roman"/>
          <w:sz w:val="24"/>
        </w:rPr>
        <w:t>, 2018). A partir desse enquadramento, assume-se que as declarações financeiras operam como instrumentos diretos de legitimação institucional (</w:t>
      </w:r>
      <w:r w:rsidR="02740533">
        <w:rPr>
          <w:rFonts w:ascii="Times New Roman" w:hAnsi="Times New Roman"/>
          <w:sz w:val="24"/>
        </w:rPr>
        <w:t>Fairclough</w:t>
      </w:r>
      <w:r w:rsidR="02740533">
        <w:rPr>
          <w:rFonts w:ascii="Times New Roman" w:hAnsi="Times New Roman"/>
          <w:sz w:val="24"/>
        </w:rPr>
        <w:t>, 2003).</w:t>
      </w:r>
    </w:p>
    <w:p w:rsidR="02740533" w:rsidP="46B80AED" w:rsidRDefault="02740533" w14:paraId="29FA856F" w14:textId="2AD243CD">
      <w:pPr>
        <w:pStyle w:val="Normal"/>
        <w:spacing w:before="0" w:beforeAutospacing="off" w:after="120" w:afterAutospacing="off" w:line="240" w:lineRule="auto"/>
        <w:ind w:firstLine="0"/>
        <w:jc w:val="both"/>
        <w:rPr>
          <w:b w:val="1"/>
          <w:bCs w:val="1"/>
        </w:rPr>
      </w:pPr>
      <w:r w:rsidRPr="46B80AED" w:rsidR="02740533">
        <w:rPr>
          <w:rFonts w:ascii="Times New Roman" w:hAnsi="Times New Roman"/>
          <w:b w:val="1"/>
          <w:bCs w:val="1"/>
          <w:sz w:val="24"/>
        </w:rPr>
        <w:t xml:space="preserve">3.2 Coleta de Dados </w:t>
      </w:r>
    </w:p>
    <w:p w:rsidR="02740533" w:rsidP="46B80AED" w:rsidRDefault="02740533" w14:paraId="108C4C27" w14:textId="04F7A828">
      <w:pPr>
        <w:pStyle w:val="Normal"/>
        <w:spacing w:before="0" w:beforeAutospacing="off" w:after="120" w:afterAutospacing="off" w:line="240" w:lineRule="auto"/>
        <w:ind w:firstLine="0"/>
        <w:jc w:val="both"/>
      </w:pPr>
      <w:r w:rsidR="02740533">
        <w:rPr>
          <w:rFonts w:ascii="Times New Roman" w:hAnsi="Times New Roman"/>
          <w:sz w:val="24"/>
        </w:rPr>
        <w:t>A delimitação temporal do estudo abrangeu os anos de 2023 a 2026, período marcado pela difusão de redes neurais corporativas (</w:t>
      </w:r>
      <w:r w:rsidR="02740533">
        <w:rPr>
          <w:rFonts w:ascii="Times New Roman" w:hAnsi="Times New Roman"/>
          <w:sz w:val="24"/>
        </w:rPr>
        <w:t>Felten</w:t>
      </w:r>
      <w:r w:rsidR="02740533">
        <w:rPr>
          <w:rFonts w:ascii="Times New Roman" w:hAnsi="Times New Roman"/>
          <w:sz w:val="24"/>
        </w:rPr>
        <w:t xml:space="preserve"> et al., 2023). Para a composição do corpus analítico, estabeleceram-se critérios rigorosos de inclusão e exclusão (Yin, 2018). Especificamente, selecionaram-se empresas listadas em bolsa de valores que comunicaram eliminação mínima de 500 postos de trabalho e que aplicaram o termo "inteligência artificial" como justificativa direta ou indireta nas publicações formais (Gil, 2019). Em decorrência dessa filtragem, a amostra consolidou seis organizações: </w:t>
      </w:r>
      <w:r w:rsidR="02740533">
        <w:rPr>
          <w:rFonts w:ascii="Times New Roman" w:hAnsi="Times New Roman"/>
          <w:sz w:val="24"/>
        </w:rPr>
        <w:t>Salesforce</w:t>
      </w:r>
      <w:r w:rsidR="02740533">
        <w:rPr>
          <w:rFonts w:ascii="Times New Roman" w:hAnsi="Times New Roman"/>
          <w:sz w:val="24"/>
        </w:rPr>
        <w:t xml:space="preserve">, </w:t>
      </w:r>
      <w:r w:rsidR="02740533">
        <w:rPr>
          <w:rFonts w:ascii="Times New Roman" w:hAnsi="Times New Roman"/>
          <w:sz w:val="24"/>
        </w:rPr>
        <w:t>Intuit</w:t>
      </w:r>
      <w:r w:rsidR="02740533">
        <w:rPr>
          <w:rFonts w:ascii="Times New Roman" w:hAnsi="Times New Roman"/>
          <w:sz w:val="24"/>
        </w:rPr>
        <w:t xml:space="preserve">, Dropbox, Block, Cisco e IBM. Adicionalmente, os indicadores financeiros e as métricas laborais foram extraídos dos registros contábeis obrigatórios depositados no órgão regulador de capitais dos Estados Unidos, a </w:t>
      </w:r>
      <w:r w:rsidR="02740533">
        <w:rPr>
          <w:rFonts w:ascii="Times New Roman" w:hAnsi="Times New Roman"/>
          <w:sz w:val="24"/>
        </w:rPr>
        <w:t>Securities</w:t>
      </w:r>
      <w:r w:rsidR="02740533">
        <w:rPr>
          <w:rFonts w:ascii="Times New Roman" w:hAnsi="Times New Roman"/>
          <w:sz w:val="24"/>
        </w:rPr>
        <w:t xml:space="preserve"> </w:t>
      </w:r>
      <w:r w:rsidR="02740533">
        <w:rPr>
          <w:rFonts w:ascii="Times New Roman" w:hAnsi="Times New Roman"/>
          <w:sz w:val="24"/>
        </w:rPr>
        <w:t>and</w:t>
      </w:r>
      <w:r w:rsidR="02740533">
        <w:rPr>
          <w:rFonts w:ascii="Times New Roman" w:hAnsi="Times New Roman"/>
          <w:sz w:val="24"/>
        </w:rPr>
        <w:t xml:space="preserve"> Exchange Commission (SEC).</w:t>
      </w:r>
    </w:p>
    <w:p w:rsidR="02740533" w:rsidP="46B80AED" w:rsidRDefault="02740533" w14:paraId="64A2A775" w14:textId="776439EE">
      <w:pPr>
        <w:pStyle w:val="Normal"/>
        <w:spacing w:before="0" w:beforeAutospacing="off" w:after="120" w:afterAutospacing="off" w:line="240" w:lineRule="auto"/>
        <w:ind w:firstLine="0"/>
        <w:jc w:val="both"/>
        <w:rPr>
          <w:b w:val="1"/>
          <w:bCs w:val="1"/>
        </w:rPr>
      </w:pPr>
      <w:r w:rsidRPr="46B80AED" w:rsidR="02740533">
        <w:rPr>
          <w:rFonts w:ascii="Times New Roman" w:hAnsi="Times New Roman"/>
          <w:b w:val="1"/>
          <w:bCs w:val="1"/>
          <w:sz w:val="24"/>
        </w:rPr>
        <w:t xml:space="preserve">3.3 Análise de Dados e Confiabilidade </w:t>
      </w:r>
    </w:p>
    <w:p w:rsidR="02740533" w:rsidP="46B80AED" w:rsidRDefault="02740533" w14:paraId="61BA15A2" w14:textId="7E6E0E5B">
      <w:pPr>
        <w:pStyle w:val="Normal"/>
        <w:spacing w:before="0" w:beforeAutospacing="off" w:after="120" w:afterAutospacing="off" w:line="240" w:lineRule="auto"/>
        <w:ind w:firstLine="0"/>
        <w:jc w:val="both"/>
      </w:pPr>
      <w:r w:rsidR="02740533">
        <w:rPr>
          <w:rFonts w:ascii="Times New Roman" w:hAnsi="Times New Roman"/>
          <w:sz w:val="24"/>
        </w:rPr>
        <w:t>O tratamento do material coletado ocorreu por meio da técnica de análise de conteúdo (Bardin, 2016). Em conformidade com esse método, os fragmentos textuais foram classificados em seis categorias de observação dedutiva (Vergara, 2016). De modo detalhado, aferiram-se a natureza causal da justificativa, a disponibilização de métricas verificáveis, o status financeiro simultâneo, o histórico de expansão do quadro funcional, os aportes direcionados a projetos algorítmicos e o emprego de determinismo na linguagem oficial (</w:t>
      </w:r>
      <w:r w:rsidR="02740533">
        <w:rPr>
          <w:rFonts w:ascii="Times New Roman" w:hAnsi="Times New Roman"/>
          <w:sz w:val="24"/>
        </w:rPr>
        <w:t>Fairclough</w:t>
      </w:r>
      <w:r w:rsidR="02740533">
        <w:rPr>
          <w:rFonts w:ascii="Times New Roman" w:hAnsi="Times New Roman"/>
          <w:sz w:val="24"/>
        </w:rPr>
        <w:t>, 2003). No que tange ao rigor científico, registra-se que o procedimento de codificação operou por meio de pesquisador único (</w:t>
      </w:r>
      <w:r w:rsidR="02740533">
        <w:rPr>
          <w:rFonts w:ascii="Times New Roman" w:hAnsi="Times New Roman"/>
          <w:sz w:val="24"/>
        </w:rPr>
        <w:t>Creswell</w:t>
      </w:r>
      <w:r w:rsidR="02740533">
        <w:rPr>
          <w:rFonts w:ascii="Times New Roman" w:hAnsi="Times New Roman"/>
          <w:sz w:val="24"/>
        </w:rPr>
        <w:t xml:space="preserve"> &amp; </w:t>
      </w:r>
      <w:r w:rsidR="02740533">
        <w:rPr>
          <w:rFonts w:ascii="Times New Roman" w:hAnsi="Times New Roman"/>
          <w:sz w:val="24"/>
        </w:rPr>
        <w:t>Creswell</w:t>
      </w:r>
      <w:r w:rsidR="02740533">
        <w:rPr>
          <w:rFonts w:ascii="Times New Roman" w:hAnsi="Times New Roman"/>
          <w:sz w:val="24"/>
        </w:rPr>
        <w:t>, 2018). Para mitigar as limitações de confiabilidade associadas à ausência de múltiplos avaliadores independentes, instituiu-se protocolo de dupla checagem com intervalo temporal, método que garante a revisão pareada intrapessoal (Yin, 2018). Dessa forma, assegurou-se a consistência teórica na transição das variáveis para a seção de resultados deste trabalho.</w:t>
      </w:r>
    </w:p>
    <w:p w:rsidR="185DE5E9" w:rsidP="46B80AED" w:rsidRDefault="185DE5E9" w14:paraId="7CE61C5C" w14:textId="016EF1D1">
      <w:pPr>
        <w:pStyle w:val="Normal"/>
        <w:spacing w:before="0" w:beforeAutospacing="off" w:after="120" w:afterAutospacing="off" w:line="240" w:lineRule="auto"/>
        <w:ind w:firstLine="0"/>
        <w:jc w:val="both"/>
        <w:rPr>
          <w:b w:val="1"/>
          <w:bCs w:val="1"/>
        </w:rPr>
      </w:pPr>
      <w:r w:rsidRPr="46B80AED" w:rsidR="185DE5E9">
        <w:rPr>
          <w:rFonts w:ascii="Times New Roman" w:hAnsi="Times New Roman"/>
          <w:b w:val="1"/>
          <w:bCs w:val="1"/>
          <w:sz w:val="24"/>
        </w:rPr>
        <w:t>4. Resultados e Discussões</w:t>
      </w:r>
    </w:p>
    <w:p w:rsidR="185DE5E9" w:rsidP="46B80AED" w:rsidRDefault="185DE5E9" w14:paraId="3BDF73B1" w14:textId="1DECE095">
      <w:pPr>
        <w:pStyle w:val="Normal"/>
        <w:spacing w:before="0" w:beforeAutospacing="off" w:after="120" w:afterAutospacing="off" w:line="240" w:lineRule="auto"/>
        <w:ind w:firstLine="0"/>
        <w:jc w:val="both"/>
        <w:rPr>
          <w:b w:val="1"/>
          <w:bCs w:val="1"/>
        </w:rPr>
      </w:pPr>
      <w:r w:rsidRPr="46B80AED" w:rsidR="185DE5E9">
        <w:rPr>
          <w:rFonts w:ascii="Times New Roman" w:hAnsi="Times New Roman"/>
          <w:b w:val="1"/>
          <w:bCs w:val="1"/>
          <w:sz w:val="24"/>
        </w:rPr>
        <w:t xml:space="preserve">4.1 Apresentação do Corpus e Padrões Discursivos </w:t>
      </w:r>
    </w:p>
    <w:p w:rsidR="185DE5E9" w:rsidP="46B80AED" w:rsidRDefault="185DE5E9" w14:paraId="08801944" w14:textId="4C1B57EE">
      <w:pPr>
        <w:pStyle w:val="Normal"/>
        <w:spacing w:before="0" w:beforeAutospacing="off" w:after="120" w:afterAutospacing="off" w:line="240" w:lineRule="auto"/>
        <w:ind w:firstLine="0"/>
        <w:jc w:val="both"/>
      </w:pPr>
      <w:r w:rsidR="185DE5E9">
        <w:rPr>
          <w:rFonts w:ascii="Times New Roman" w:hAnsi="Times New Roman"/>
          <w:sz w:val="24"/>
        </w:rPr>
        <w:t>A presente seção integra a exposição dos dados empíricos com a respectiva análise teórica. Dessa forma, evita-se a reiteração de informações e atende-se à necessidade de progressão lógica do argumento. Inicialmente, o corpus documental consolidou seis corporações de capital aberto que anunciaram demissões sob justificativas tecnológicas entre 2023 e 2026. Nesse contexto, a Tabela 1 sistematiza as características fundamentais dos eventos analisados.</w:t>
      </w:r>
    </w:p>
    <w:p w:rsidR="7ECCB1E6" w:rsidP="46B80AED" w:rsidRDefault="7ECCB1E6" w14:paraId="1B2FAD1E" w14:textId="0025E845">
      <w:pPr>
        <w:spacing w:before="0" w:beforeAutospacing="off" w:after="120" w:afterAutospacing="off" w:line="240" w:lineRule="auto"/>
        <w:ind w:firstLine="0"/>
        <w:jc w:val="both"/>
      </w:pPr>
      <w:r w:rsidRPr="46B80AED" w:rsidR="7ECCB1E6">
        <w:rPr>
          <w:rFonts w:ascii="Times New Roman" w:hAnsi="Times New Roman" w:eastAsia="Times New Roman" w:cs="Times New Roman"/>
          <w:b w:val="1"/>
          <w:bCs w:val="1"/>
          <w:noProof w:val="0"/>
          <w:sz w:val="24"/>
          <w:szCs w:val="24"/>
          <w:lang w:val="pt-BR"/>
        </w:rPr>
        <w:t>Tabela 1</w:t>
      </w:r>
    </w:p>
    <w:p w:rsidR="7ECCB1E6" w:rsidP="46B80AED" w:rsidRDefault="7ECCB1E6" w14:paraId="521CF447" w14:textId="72DF9340">
      <w:pPr>
        <w:spacing w:before="0" w:beforeAutospacing="off" w:after="120" w:afterAutospacing="off" w:line="240" w:lineRule="auto"/>
        <w:ind w:firstLine="0"/>
        <w:jc w:val="both"/>
      </w:pPr>
      <w:r w:rsidRPr="46B80AED" w:rsidR="7ECCB1E6">
        <w:rPr>
          <w:rFonts w:ascii="Times New Roman" w:hAnsi="Times New Roman" w:eastAsia="Times New Roman" w:cs="Times New Roman"/>
          <w:i w:val="1"/>
          <w:iCs w:val="1"/>
          <w:noProof w:val="0"/>
          <w:sz w:val="24"/>
          <w:szCs w:val="24"/>
          <w:lang w:val="pt-BR"/>
        </w:rPr>
        <w:t>Características dos Eventos de Redução Funcional</w:t>
      </w:r>
    </w:p>
    <w:tbl>
      <w:tblPr>
        <w:tblStyle w:val="PlainTable2"/>
        <w:bidiVisual w:val="0"/>
        <w:tblW w:w="0" w:type="auto"/>
        <w:tblLook w:val="06A0" w:firstRow="1" w:lastRow="0" w:firstColumn="1" w:lastColumn="0" w:noHBand="1" w:noVBand="1"/>
      </w:tblPr>
      <w:tblGrid>
        <w:gridCol w:w="1502"/>
        <w:gridCol w:w="1502"/>
        <w:gridCol w:w="1502"/>
        <w:gridCol w:w="1502"/>
        <w:gridCol w:w="1502"/>
        <w:gridCol w:w="1502"/>
      </w:tblGrid>
      <w:tr w:rsidR="46B80AED" w:rsidTr="46B80AED" w14:paraId="7C550B0E">
        <w:trPr>
          <w:trHeight w:val="300"/>
        </w:trPr>
        <w:tc>
          <w:tcPr>
            <w:cnfStyle w:val="001000000000" w:firstRow="0" w:lastRow="0" w:firstColumn="1" w:lastColumn="0" w:oddVBand="0" w:evenVBand="0" w:oddHBand="0" w:evenHBand="0" w:firstRowFirstColumn="0" w:firstRowLastColumn="0" w:lastRowFirstColumn="0" w:lastRowLastColumn="0"/>
            <w:tcW w:w="1502" w:type="dxa"/>
            <w:tcMar/>
            <w:vAlign w:val="center"/>
          </w:tcPr>
          <w:p w:rsidR="46B80AED" w:rsidP="46B80AED" w:rsidRDefault="46B80AED" w14:paraId="244C58EC" w14:textId="3627CCBA">
            <w:pPr>
              <w:spacing w:before="0" w:beforeAutospacing="off" w:after="0" w:afterAutospacing="off" w:line="240" w:lineRule="auto"/>
              <w:jc w:val="left"/>
              <w:rPr>
                <w:b w:val="1"/>
                <w:bCs w:val="1"/>
                <w:sz w:val="20"/>
                <w:szCs w:val="20"/>
              </w:rPr>
            </w:pPr>
            <w:r w:rsidRPr="46B80AED" w:rsidR="46B80AED">
              <w:rPr>
                <w:b w:val="1"/>
                <w:bCs w:val="1"/>
                <w:sz w:val="20"/>
                <w:szCs w:val="20"/>
              </w:rPr>
              <w:t>Empresa</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46B80AED" w:rsidP="46B80AED" w:rsidRDefault="46B80AED" w14:paraId="03E187F2" w14:textId="6A55DDF6">
            <w:pPr>
              <w:spacing w:before="0" w:beforeAutospacing="off" w:after="0" w:afterAutospacing="off" w:line="240" w:lineRule="auto"/>
              <w:jc w:val="left"/>
              <w:rPr>
                <w:b w:val="1"/>
                <w:bCs w:val="1"/>
                <w:sz w:val="20"/>
                <w:szCs w:val="20"/>
              </w:rPr>
            </w:pPr>
            <w:r w:rsidRPr="46B80AED" w:rsidR="46B80AED">
              <w:rPr>
                <w:b w:val="1"/>
                <w:bCs w:val="1"/>
                <w:sz w:val="20"/>
                <w:szCs w:val="20"/>
              </w:rPr>
              <w:t>Representante Executivo</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46B80AED" w:rsidP="46B80AED" w:rsidRDefault="46B80AED" w14:paraId="1D0EBAC8" w14:textId="0E648705">
            <w:pPr>
              <w:spacing w:before="0" w:beforeAutospacing="off" w:after="0" w:afterAutospacing="off" w:line="240" w:lineRule="auto"/>
              <w:jc w:val="left"/>
              <w:rPr>
                <w:b w:val="1"/>
                <w:bCs w:val="1"/>
                <w:sz w:val="20"/>
                <w:szCs w:val="20"/>
              </w:rPr>
            </w:pPr>
            <w:r w:rsidRPr="46B80AED" w:rsidR="46B80AED">
              <w:rPr>
                <w:b w:val="1"/>
                <w:bCs w:val="1"/>
                <w:sz w:val="20"/>
                <w:szCs w:val="20"/>
              </w:rPr>
              <w:t>Período do Anúncio</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46B80AED" w:rsidP="46B80AED" w:rsidRDefault="46B80AED" w14:paraId="182FF7D1" w14:textId="7610C5F3">
            <w:pPr>
              <w:spacing w:before="0" w:beforeAutospacing="off" w:after="0" w:afterAutospacing="off" w:line="240" w:lineRule="auto"/>
              <w:jc w:val="left"/>
              <w:rPr>
                <w:b w:val="1"/>
                <w:bCs w:val="1"/>
                <w:sz w:val="20"/>
                <w:szCs w:val="20"/>
              </w:rPr>
            </w:pPr>
            <w:r w:rsidRPr="46B80AED" w:rsidR="46B80AED">
              <w:rPr>
                <w:b w:val="1"/>
                <w:bCs w:val="1"/>
                <w:sz w:val="20"/>
                <w:szCs w:val="20"/>
              </w:rPr>
              <w:t>Volume de Demissões</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46B80AED" w:rsidP="46B80AED" w:rsidRDefault="46B80AED" w14:paraId="41056131" w14:textId="03990704">
            <w:pPr>
              <w:spacing w:before="0" w:beforeAutospacing="off" w:after="0" w:afterAutospacing="off" w:line="240" w:lineRule="auto"/>
              <w:jc w:val="left"/>
              <w:rPr>
                <w:b w:val="1"/>
                <w:bCs w:val="1"/>
                <w:sz w:val="20"/>
                <w:szCs w:val="20"/>
              </w:rPr>
            </w:pPr>
            <w:r w:rsidRPr="46B80AED" w:rsidR="46B80AED">
              <w:rPr>
                <w:b w:val="1"/>
                <w:bCs w:val="1"/>
                <w:sz w:val="20"/>
                <w:szCs w:val="20"/>
              </w:rPr>
              <w:t>Proporção do Quadro (%)</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46B80AED" w:rsidP="46B80AED" w:rsidRDefault="46B80AED" w14:paraId="6E407ED1" w14:textId="61629210">
            <w:pPr>
              <w:spacing w:before="0" w:beforeAutospacing="off" w:after="0" w:afterAutospacing="off" w:line="240" w:lineRule="auto"/>
              <w:jc w:val="left"/>
              <w:rPr>
                <w:b w:val="1"/>
                <w:bCs w:val="1"/>
                <w:sz w:val="20"/>
                <w:szCs w:val="20"/>
              </w:rPr>
            </w:pPr>
            <w:r w:rsidRPr="46B80AED" w:rsidR="46B80AED">
              <w:rPr>
                <w:b w:val="1"/>
                <w:bCs w:val="1"/>
                <w:sz w:val="20"/>
                <w:szCs w:val="20"/>
              </w:rPr>
              <w:t>Canal de Comunicação</w:t>
            </w:r>
          </w:p>
        </w:tc>
      </w:tr>
      <w:tr w:rsidR="46B80AED" w:rsidTr="46B80AED" w14:paraId="0AB4F2FF">
        <w:trPr>
          <w:trHeight w:val="300"/>
        </w:trPr>
        <w:tc>
          <w:tcPr>
            <w:cnfStyle w:val="001000000000" w:firstRow="0" w:lastRow="0" w:firstColumn="1" w:lastColumn="0" w:oddVBand="0" w:evenVBand="0" w:oddHBand="0" w:evenHBand="0" w:firstRowFirstColumn="0" w:firstRowLastColumn="0" w:lastRowFirstColumn="0" w:lastRowLastColumn="0"/>
            <w:tcW w:w="1502" w:type="dxa"/>
            <w:tcMar/>
            <w:vAlign w:val="center"/>
          </w:tcPr>
          <w:p w:rsidR="46B80AED" w:rsidP="46B80AED" w:rsidRDefault="46B80AED" w14:paraId="75BF8074" w14:textId="39A1F605">
            <w:pPr>
              <w:spacing w:before="0" w:beforeAutospacing="off" w:after="0" w:afterAutospacing="off"/>
              <w:jc w:val="left"/>
              <w:rPr>
                <w:sz w:val="20"/>
                <w:szCs w:val="20"/>
              </w:rPr>
            </w:pPr>
            <w:r w:rsidRPr="46B80AED" w:rsidR="46B80AED">
              <w:rPr>
                <w:sz w:val="20"/>
                <w:szCs w:val="20"/>
              </w:rPr>
              <w:t>Salesforce</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46B80AED" w:rsidP="46B80AED" w:rsidRDefault="46B80AED" w14:paraId="5488CEFD" w14:textId="59A30C5D">
            <w:pPr>
              <w:spacing w:before="0" w:beforeAutospacing="off" w:after="0" w:afterAutospacing="off"/>
              <w:jc w:val="left"/>
              <w:rPr>
                <w:sz w:val="20"/>
                <w:szCs w:val="20"/>
              </w:rPr>
            </w:pPr>
            <w:r w:rsidRPr="46B80AED" w:rsidR="46B80AED">
              <w:rPr>
                <w:sz w:val="20"/>
                <w:szCs w:val="20"/>
              </w:rPr>
              <w:t xml:space="preserve">Marc </w:t>
            </w:r>
            <w:r w:rsidRPr="46B80AED" w:rsidR="46B80AED">
              <w:rPr>
                <w:sz w:val="20"/>
                <w:szCs w:val="20"/>
              </w:rPr>
              <w:t>Benioff</w:t>
            </w:r>
            <w:r w:rsidRPr="46B80AED" w:rsidR="46B80AED">
              <w:rPr>
                <w:sz w:val="20"/>
                <w:szCs w:val="20"/>
              </w:rPr>
              <w:t xml:space="preserve"> (CEO)</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46B80AED" w:rsidP="46B80AED" w:rsidRDefault="46B80AED" w14:paraId="2495907B" w14:textId="52D28D2E">
            <w:pPr>
              <w:spacing w:before="0" w:beforeAutospacing="off" w:after="0" w:afterAutospacing="off"/>
              <w:jc w:val="left"/>
              <w:rPr>
                <w:sz w:val="20"/>
                <w:szCs w:val="20"/>
              </w:rPr>
            </w:pPr>
            <w:r w:rsidRPr="46B80AED" w:rsidR="46B80AED">
              <w:rPr>
                <w:sz w:val="20"/>
                <w:szCs w:val="20"/>
              </w:rPr>
              <w:t>Setembro 2025</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46B80AED" w:rsidP="46B80AED" w:rsidRDefault="46B80AED" w14:paraId="1B316EC0" w14:textId="58A68C15">
            <w:pPr>
              <w:spacing w:before="0" w:beforeAutospacing="off" w:after="0" w:afterAutospacing="off"/>
              <w:jc w:val="left"/>
              <w:rPr>
                <w:sz w:val="20"/>
                <w:szCs w:val="20"/>
              </w:rPr>
            </w:pPr>
            <w:r w:rsidRPr="46B80AED" w:rsidR="46B80AED">
              <w:rPr>
                <w:sz w:val="20"/>
                <w:szCs w:val="20"/>
              </w:rPr>
              <w:t>~4.000</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46B80AED" w:rsidP="46B80AED" w:rsidRDefault="46B80AED" w14:paraId="27833C97" w14:textId="09E83E13">
            <w:pPr>
              <w:spacing w:before="0" w:beforeAutospacing="off" w:after="0" w:afterAutospacing="off"/>
              <w:jc w:val="left"/>
              <w:rPr>
                <w:sz w:val="20"/>
                <w:szCs w:val="20"/>
              </w:rPr>
            </w:pPr>
            <w:r w:rsidRPr="46B80AED" w:rsidR="46B80AED">
              <w:rPr>
                <w:sz w:val="20"/>
                <w:szCs w:val="20"/>
              </w:rPr>
              <w:t>~6%</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46B80AED" w:rsidP="46B80AED" w:rsidRDefault="46B80AED" w14:paraId="4438CC52" w14:textId="606BEDB9">
            <w:pPr>
              <w:spacing w:before="0" w:beforeAutospacing="off" w:after="0" w:afterAutospacing="off"/>
              <w:jc w:val="left"/>
              <w:rPr>
                <w:sz w:val="20"/>
                <w:szCs w:val="20"/>
              </w:rPr>
            </w:pPr>
            <w:r w:rsidRPr="46B80AED" w:rsidR="46B80AED">
              <w:rPr>
                <w:i w:val="1"/>
                <w:iCs w:val="1"/>
                <w:sz w:val="20"/>
                <w:szCs w:val="20"/>
              </w:rPr>
              <w:t>Earnings</w:t>
            </w:r>
            <w:r w:rsidRPr="46B80AED" w:rsidR="46B80AED">
              <w:rPr>
                <w:i w:val="1"/>
                <w:iCs w:val="1"/>
                <w:sz w:val="20"/>
                <w:szCs w:val="20"/>
              </w:rPr>
              <w:t xml:space="preserve"> </w:t>
            </w:r>
            <w:r w:rsidRPr="46B80AED" w:rsidR="46B80AED">
              <w:rPr>
                <w:i w:val="1"/>
                <w:iCs w:val="1"/>
                <w:sz w:val="20"/>
                <w:szCs w:val="20"/>
              </w:rPr>
              <w:t>call</w:t>
            </w:r>
            <w:r w:rsidRPr="46B80AED" w:rsidR="46B80AED">
              <w:rPr>
                <w:sz w:val="20"/>
                <w:szCs w:val="20"/>
              </w:rPr>
              <w:t xml:space="preserve"> / Entrevista</w:t>
            </w:r>
          </w:p>
        </w:tc>
      </w:tr>
      <w:tr w:rsidR="46B80AED" w:rsidTr="46B80AED" w14:paraId="6CBD623D">
        <w:trPr>
          <w:trHeight w:val="300"/>
        </w:trPr>
        <w:tc>
          <w:tcPr>
            <w:cnfStyle w:val="001000000000" w:firstRow="0" w:lastRow="0" w:firstColumn="1" w:lastColumn="0" w:oddVBand="0" w:evenVBand="0" w:oddHBand="0" w:evenHBand="0" w:firstRowFirstColumn="0" w:firstRowLastColumn="0" w:lastRowFirstColumn="0" w:lastRowLastColumn="0"/>
            <w:tcW w:w="1502" w:type="dxa"/>
            <w:tcMar/>
            <w:vAlign w:val="center"/>
          </w:tcPr>
          <w:p w:rsidR="46B80AED" w:rsidP="46B80AED" w:rsidRDefault="46B80AED" w14:paraId="38C6AF38" w14:textId="27E133DB">
            <w:pPr>
              <w:spacing w:before="0" w:beforeAutospacing="off" w:after="0" w:afterAutospacing="off"/>
              <w:jc w:val="left"/>
              <w:rPr>
                <w:sz w:val="20"/>
                <w:szCs w:val="20"/>
              </w:rPr>
            </w:pPr>
            <w:r w:rsidRPr="46B80AED" w:rsidR="46B80AED">
              <w:rPr>
                <w:sz w:val="20"/>
                <w:szCs w:val="20"/>
              </w:rPr>
              <w:t>Intuit</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46B80AED" w:rsidP="46B80AED" w:rsidRDefault="46B80AED" w14:paraId="48BA9A3C" w14:textId="6AA18F0F">
            <w:pPr>
              <w:spacing w:before="0" w:beforeAutospacing="off" w:after="0" w:afterAutospacing="off"/>
              <w:jc w:val="left"/>
              <w:rPr>
                <w:sz w:val="20"/>
                <w:szCs w:val="20"/>
              </w:rPr>
            </w:pPr>
            <w:r w:rsidRPr="46B80AED" w:rsidR="46B80AED">
              <w:rPr>
                <w:sz w:val="20"/>
                <w:szCs w:val="20"/>
              </w:rPr>
              <w:t>Sasan</w:t>
            </w:r>
            <w:r w:rsidRPr="46B80AED" w:rsidR="46B80AED">
              <w:rPr>
                <w:sz w:val="20"/>
                <w:szCs w:val="20"/>
              </w:rPr>
              <w:t xml:space="preserve"> </w:t>
            </w:r>
            <w:r w:rsidRPr="46B80AED" w:rsidR="46B80AED">
              <w:rPr>
                <w:sz w:val="20"/>
                <w:szCs w:val="20"/>
              </w:rPr>
              <w:t>Goodarzi</w:t>
            </w:r>
            <w:r w:rsidRPr="46B80AED" w:rsidR="46B80AED">
              <w:rPr>
                <w:sz w:val="20"/>
                <w:szCs w:val="20"/>
              </w:rPr>
              <w:t xml:space="preserve"> (CEO)</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46B80AED" w:rsidP="46B80AED" w:rsidRDefault="46B80AED" w14:paraId="630BC20C" w14:textId="219D9DF9">
            <w:pPr>
              <w:spacing w:before="0" w:beforeAutospacing="off" w:after="0" w:afterAutospacing="off"/>
              <w:jc w:val="left"/>
              <w:rPr>
                <w:sz w:val="20"/>
                <w:szCs w:val="20"/>
              </w:rPr>
            </w:pPr>
            <w:r w:rsidRPr="46B80AED" w:rsidR="46B80AED">
              <w:rPr>
                <w:sz w:val="20"/>
                <w:szCs w:val="20"/>
              </w:rPr>
              <w:t>Julho 2024</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46B80AED" w:rsidP="46B80AED" w:rsidRDefault="46B80AED" w14:paraId="32CF5CC1" w14:textId="04F5AEBC">
            <w:pPr>
              <w:spacing w:before="0" w:beforeAutospacing="off" w:after="0" w:afterAutospacing="off"/>
              <w:jc w:val="left"/>
              <w:rPr>
                <w:sz w:val="20"/>
                <w:szCs w:val="20"/>
              </w:rPr>
            </w:pPr>
            <w:r w:rsidRPr="46B80AED" w:rsidR="46B80AED">
              <w:rPr>
                <w:sz w:val="20"/>
                <w:szCs w:val="20"/>
              </w:rPr>
              <w:t>1.800</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46B80AED" w:rsidP="46B80AED" w:rsidRDefault="46B80AED" w14:paraId="0E493C62" w14:textId="50EA38A7">
            <w:pPr>
              <w:spacing w:before="0" w:beforeAutospacing="off" w:after="0" w:afterAutospacing="off"/>
              <w:jc w:val="left"/>
              <w:rPr>
                <w:sz w:val="20"/>
                <w:szCs w:val="20"/>
              </w:rPr>
            </w:pPr>
            <w:r w:rsidRPr="46B80AED" w:rsidR="46B80AED">
              <w:rPr>
                <w:sz w:val="20"/>
                <w:szCs w:val="20"/>
              </w:rPr>
              <w:t>10%</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46B80AED" w:rsidP="46B80AED" w:rsidRDefault="46B80AED" w14:paraId="151100EB" w14:textId="56E2B9AE">
            <w:pPr>
              <w:spacing w:before="0" w:beforeAutospacing="off" w:after="0" w:afterAutospacing="off"/>
              <w:jc w:val="left"/>
              <w:rPr>
                <w:sz w:val="20"/>
                <w:szCs w:val="20"/>
              </w:rPr>
            </w:pPr>
            <w:r w:rsidRPr="46B80AED" w:rsidR="46B80AED">
              <w:rPr>
                <w:sz w:val="20"/>
                <w:szCs w:val="20"/>
              </w:rPr>
              <w:t>Comunicado corporativo</w:t>
            </w:r>
          </w:p>
        </w:tc>
      </w:tr>
      <w:tr w:rsidR="46B80AED" w:rsidTr="46B80AED" w14:paraId="68693A05">
        <w:trPr>
          <w:trHeight w:val="300"/>
        </w:trPr>
        <w:tc>
          <w:tcPr>
            <w:cnfStyle w:val="001000000000" w:firstRow="0" w:lastRow="0" w:firstColumn="1" w:lastColumn="0" w:oddVBand="0" w:evenVBand="0" w:oddHBand="0" w:evenHBand="0" w:firstRowFirstColumn="0" w:firstRowLastColumn="0" w:lastRowFirstColumn="0" w:lastRowLastColumn="0"/>
            <w:tcW w:w="1502" w:type="dxa"/>
            <w:tcMar/>
            <w:vAlign w:val="center"/>
          </w:tcPr>
          <w:p w:rsidR="46B80AED" w:rsidP="46B80AED" w:rsidRDefault="46B80AED" w14:paraId="0723CFC3" w14:textId="39AC6999">
            <w:pPr>
              <w:spacing w:before="0" w:beforeAutospacing="off" w:after="0" w:afterAutospacing="off"/>
              <w:jc w:val="left"/>
              <w:rPr>
                <w:sz w:val="20"/>
                <w:szCs w:val="20"/>
              </w:rPr>
            </w:pPr>
            <w:r w:rsidRPr="46B80AED" w:rsidR="46B80AED">
              <w:rPr>
                <w:sz w:val="20"/>
                <w:szCs w:val="20"/>
              </w:rPr>
              <w:t>Cisco</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46B80AED" w:rsidP="46B80AED" w:rsidRDefault="46B80AED" w14:paraId="68EA5B22" w14:textId="51B33F82">
            <w:pPr>
              <w:spacing w:before="0" w:beforeAutospacing="off" w:after="0" w:afterAutospacing="off"/>
              <w:jc w:val="left"/>
              <w:rPr>
                <w:sz w:val="20"/>
                <w:szCs w:val="20"/>
              </w:rPr>
            </w:pPr>
            <w:r w:rsidRPr="46B80AED" w:rsidR="46B80AED">
              <w:rPr>
                <w:sz w:val="20"/>
                <w:szCs w:val="20"/>
              </w:rPr>
              <w:t>Chuck Robbins (CEO)</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46B80AED" w:rsidP="46B80AED" w:rsidRDefault="46B80AED" w14:paraId="778C24B3" w14:textId="68B8FE5B">
            <w:pPr>
              <w:spacing w:before="0" w:beforeAutospacing="off" w:after="0" w:afterAutospacing="off"/>
              <w:jc w:val="left"/>
              <w:rPr>
                <w:sz w:val="20"/>
                <w:szCs w:val="20"/>
              </w:rPr>
            </w:pPr>
            <w:r w:rsidRPr="46B80AED" w:rsidR="46B80AED">
              <w:rPr>
                <w:sz w:val="20"/>
                <w:szCs w:val="20"/>
              </w:rPr>
              <w:t>Agosto 2024</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46B80AED" w:rsidP="46B80AED" w:rsidRDefault="46B80AED" w14:paraId="12651AC4" w14:textId="130D3C5E">
            <w:pPr>
              <w:spacing w:before="0" w:beforeAutospacing="off" w:after="0" w:afterAutospacing="off"/>
              <w:jc w:val="left"/>
              <w:rPr>
                <w:sz w:val="20"/>
                <w:szCs w:val="20"/>
              </w:rPr>
            </w:pPr>
            <w:r w:rsidRPr="46B80AED" w:rsidR="46B80AED">
              <w:rPr>
                <w:sz w:val="20"/>
                <w:szCs w:val="20"/>
              </w:rPr>
              <w:t>~4.250</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46B80AED" w:rsidP="46B80AED" w:rsidRDefault="46B80AED" w14:paraId="7AB454EC" w14:textId="7480847D">
            <w:pPr>
              <w:spacing w:before="0" w:beforeAutospacing="off" w:after="0" w:afterAutospacing="off"/>
              <w:jc w:val="left"/>
              <w:rPr>
                <w:sz w:val="20"/>
                <w:szCs w:val="20"/>
              </w:rPr>
            </w:pPr>
            <w:r w:rsidRPr="46B80AED" w:rsidR="46B80AED">
              <w:rPr>
                <w:sz w:val="20"/>
                <w:szCs w:val="20"/>
              </w:rPr>
              <w:t>7%</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46B80AED" w:rsidP="46B80AED" w:rsidRDefault="46B80AED" w14:paraId="5E4A92DB" w14:textId="6CDF4486">
            <w:pPr>
              <w:spacing w:before="0" w:beforeAutospacing="off" w:after="0" w:afterAutospacing="off"/>
              <w:jc w:val="left"/>
              <w:rPr>
                <w:i w:val="1"/>
                <w:iCs w:val="1"/>
                <w:sz w:val="20"/>
                <w:szCs w:val="20"/>
              </w:rPr>
            </w:pPr>
            <w:r w:rsidRPr="46B80AED" w:rsidR="46B80AED">
              <w:rPr>
                <w:i w:val="1"/>
                <w:iCs w:val="1"/>
                <w:sz w:val="20"/>
                <w:szCs w:val="20"/>
              </w:rPr>
              <w:t>Earnings</w:t>
            </w:r>
            <w:r w:rsidRPr="46B80AED" w:rsidR="46B80AED">
              <w:rPr>
                <w:i w:val="1"/>
                <w:iCs w:val="1"/>
                <w:sz w:val="20"/>
                <w:szCs w:val="20"/>
              </w:rPr>
              <w:t xml:space="preserve"> </w:t>
            </w:r>
            <w:r w:rsidRPr="46B80AED" w:rsidR="46B80AED">
              <w:rPr>
                <w:i w:val="1"/>
                <w:iCs w:val="1"/>
                <w:sz w:val="20"/>
                <w:szCs w:val="20"/>
              </w:rPr>
              <w:t>call</w:t>
            </w:r>
          </w:p>
        </w:tc>
      </w:tr>
      <w:tr w:rsidR="46B80AED" w:rsidTr="46B80AED" w14:paraId="5B27C6C2">
        <w:trPr>
          <w:trHeight w:val="300"/>
        </w:trPr>
        <w:tc>
          <w:tcPr>
            <w:cnfStyle w:val="001000000000" w:firstRow="0" w:lastRow="0" w:firstColumn="1" w:lastColumn="0" w:oddVBand="0" w:evenVBand="0" w:oddHBand="0" w:evenHBand="0" w:firstRowFirstColumn="0" w:firstRowLastColumn="0" w:lastRowFirstColumn="0" w:lastRowLastColumn="0"/>
            <w:tcW w:w="1502" w:type="dxa"/>
            <w:tcMar/>
            <w:vAlign w:val="center"/>
          </w:tcPr>
          <w:p w:rsidR="46B80AED" w:rsidP="46B80AED" w:rsidRDefault="46B80AED" w14:paraId="10AD995A" w14:textId="096AFF91">
            <w:pPr>
              <w:spacing w:before="0" w:beforeAutospacing="off" w:after="0" w:afterAutospacing="off"/>
              <w:jc w:val="left"/>
              <w:rPr>
                <w:sz w:val="20"/>
                <w:szCs w:val="20"/>
              </w:rPr>
            </w:pPr>
            <w:r w:rsidRPr="46B80AED" w:rsidR="46B80AED">
              <w:rPr>
                <w:sz w:val="20"/>
                <w:szCs w:val="20"/>
              </w:rPr>
              <w:t>Dropbox</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46B80AED" w:rsidP="46B80AED" w:rsidRDefault="46B80AED" w14:paraId="7D121501" w14:textId="0A460813">
            <w:pPr>
              <w:spacing w:before="0" w:beforeAutospacing="off" w:after="0" w:afterAutospacing="off"/>
              <w:jc w:val="left"/>
              <w:rPr>
                <w:sz w:val="20"/>
                <w:szCs w:val="20"/>
              </w:rPr>
            </w:pPr>
            <w:r w:rsidRPr="46B80AED" w:rsidR="46B80AED">
              <w:rPr>
                <w:sz w:val="20"/>
                <w:szCs w:val="20"/>
              </w:rPr>
              <w:t>Drew Houston (CEO)</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46B80AED" w:rsidP="46B80AED" w:rsidRDefault="46B80AED" w14:paraId="43DA06D9" w14:textId="4822CE7F">
            <w:pPr>
              <w:spacing w:before="0" w:beforeAutospacing="off" w:after="0" w:afterAutospacing="off"/>
              <w:jc w:val="left"/>
              <w:rPr>
                <w:sz w:val="20"/>
                <w:szCs w:val="20"/>
              </w:rPr>
            </w:pPr>
            <w:r w:rsidRPr="46B80AED" w:rsidR="46B80AED">
              <w:rPr>
                <w:sz w:val="20"/>
                <w:szCs w:val="20"/>
              </w:rPr>
              <w:t>Abril 2023</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46B80AED" w:rsidP="46B80AED" w:rsidRDefault="46B80AED" w14:paraId="39B22644" w14:textId="2D26E262">
            <w:pPr>
              <w:spacing w:before="0" w:beforeAutospacing="off" w:after="0" w:afterAutospacing="off"/>
              <w:jc w:val="left"/>
              <w:rPr>
                <w:sz w:val="20"/>
                <w:szCs w:val="20"/>
              </w:rPr>
            </w:pPr>
            <w:r w:rsidRPr="46B80AED" w:rsidR="46B80AED">
              <w:rPr>
                <w:sz w:val="20"/>
                <w:szCs w:val="20"/>
              </w:rPr>
              <w:t>500</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46B80AED" w:rsidP="46B80AED" w:rsidRDefault="46B80AED" w14:paraId="2BEC332D" w14:textId="717B3924">
            <w:pPr>
              <w:spacing w:before="0" w:beforeAutospacing="off" w:after="0" w:afterAutospacing="off"/>
              <w:jc w:val="left"/>
              <w:rPr>
                <w:sz w:val="20"/>
                <w:szCs w:val="20"/>
              </w:rPr>
            </w:pPr>
            <w:r w:rsidRPr="46B80AED" w:rsidR="46B80AED">
              <w:rPr>
                <w:sz w:val="20"/>
                <w:szCs w:val="20"/>
              </w:rPr>
              <w:t>16%</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46B80AED" w:rsidP="46B80AED" w:rsidRDefault="46B80AED" w14:paraId="5E5AA9BE" w14:textId="01815B2F">
            <w:pPr>
              <w:spacing w:before="0" w:beforeAutospacing="off" w:after="0" w:afterAutospacing="off"/>
              <w:jc w:val="left"/>
              <w:rPr>
                <w:sz w:val="20"/>
                <w:szCs w:val="20"/>
              </w:rPr>
            </w:pPr>
            <w:r w:rsidRPr="46B80AED" w:rsidR="46B80AED">
              <w:rPr>
                <w:sz w:val="20"/>
                <w:szCs w:val="20"/>
              </w:rPr>
              <w:t>Carta aos funcionários</w:t>
            </w:r>
          </w:p>
        </w:tc>
      </w:tr>
      <w:tr w:rsidR="46B80AED" w:rsidTr="46B80AED" w14:paraId="2F146897">
        <w:trPr>
          <w:trHeight w:val="300"/>
        </w:trPr>
        <w:tc>
          <w:tcPr>
            <w:cnfStyle w:val="001000000000" w:firstRow="0" w:lastRow="0" w:firstColumn="1" w:lastColumn="0" w:oddVBand="0" w:evenVBand="0" w:oddHBand="0" w:evenHBand="0" w:firstRowFirstColumn="0" w:firstRowLastColumn="0" w:lastRowFirstColumn="0" w:lastRowLastColumn="0"/>
            <w:tcW w:w="1502" w:type="dxa"/>
            <w:tcMar/>
            <w:vAlign w:val="center"/>
          </w:tcPr>
          <w:p w:rsidR="46B80AED" w:rsidP="46B80AED" w:rsidRDefault="46B80AED" w14:paraId="573DB76F" w14:textId="7E85845B">
            <w:pPr>
              <w:spacing w:before="0" w:beforeAutospacing="off" w:after="0" w:afterAutospacing="off"/>
              <w:jc w:val="left"/>
              <w:rPr>
                <w:sz w:val="20"/>
                <w:szCs w:val="20"/>
              </w:rPr>
            </w:pPr>
            <w:r w:rsidRPr="46B80AED" w:rsidR="46B80AED">
              <w:rPr>
                <w:sz w:val="20"/>
                <w:szCs w:val="20"/>
              </w:rPr>
              <w:t>Block</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46B80AED" w:rsidP="46B80AED" w:rsidRDefault="46B80AED" w14:paraId="00479BD5" w14:textId="2B0DAC6F">
            <w:pPr>
              <w:spacing w:before="0" w:beforeAutospacing="off" w:after="0" w:afterAutospacing="off"/>
              <w:jc w:val="left"/>
              <w:rPr>
                <w:sz w:val="20"/>
                <w:szCs w:val="20"/>
              </w:rPr>
            </w:pPr>
            <w:r w:rsidRPr="46B80AED" w:rsidR="46B80AED">
              <w:rPr>
                <w:sz w:val="20"/>
                <w:szCs w:val="20"/>
              </w:rPr>
              <w:t>Jack Dorsey (</w:t>
            </w:r>
            <w:r w:rsidRPr="46B80AED" w:rsidR="46B80AED">
              <w:rPr>
                <w:i w:val="1"/>
                <w:iCs w:val="1"/>
                <w:sz w:val="20"/>
                <w:szCs w:val="20"/>
              </w:rPr>
              <w:t>Block Head/Chairman</w:t>
            </w:r>
            <w:r w:rsidRPr="46B80AED" w:rsidR="46B80AED">
              <w:rPr>
                <w:sz w:val="20"/>
                <w:szCs w:val="20"/>
              </w:rPr>
              <w:t>)</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46B80AED" w:rsidP="46B80AED" w:rsidRDefault="46B80AED" w14:paraId="7A5765FC" w14:textId="7346E1F5">
            <w:pPr>
              <w:spacing w:before="0" w:beforeAutospacing="off" w:after="0" w:afterAutospacing="off"/>
              <w:jc w:val="left"/>
              <w:rPr>
                <w:sz w:val="20"/>
                <w:szCs w:val="20"/>
              </w:rPr>
            </w:pPr>
            <w:r w:rsidRPr="46B80AED" w:rsidR="46B80AED">
              <w:rPr>
                <w:sz w:val="20"/>
                <w:szCs w:val="20"/>
              </w:rPr>
              <w:t>Fevereiro 2026</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46B80AED" w:rsidP="46B80AED" w:rsidRDefault="46B80AED" w14:paraId="0EE908C9" w14:textId="4FAA6E20">
            <w:pPr>
              <w:spacing w:before="0" w:beforeAutospacing="off" w:after="0" w:afterAutospacing="off"/>
              <w:jc w:val="left"/>
              <w:rPr>
                <w:sz w:val="20"/>
                <w:szCs w:val="20"/>
              </w:rPr>
            </w:pPr>
            <w:r w:rsidRPr="46B80AED" w:rsidR="46B80AED">
              <w:rPr>
                <w:sz w:val="20"/>
                <w:szCs w:val="20"/>
              </w:rPr>
              <w:t>~4.000</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46B80AED" w:rsidP="46B80AED" w:rsidRDefault="46B80AED" w14:paraId="49D2A531" w14:textId="4120673B">
            <w:pPr>
              <w:spacing w:before="0" w:beforeAutospacing="off" w:after="0" w:afterAutospacing="off"/>
              <w:jc w:val="left"/>
              <w:rPr>
                <w:sz w:val="20"/>
                <w:szCs w:val="20"/>
              </w:rPr>
            </w:pPr>
            <w:r w:rsidRPr="46B80AED" w:rsidR="46B80AED">
              <w:rPr>
                <w:sz w:val="20"/>
                <w:szCs w:val="20"/>
              </w:rPr>
              <w:t>~40%</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46B80AED" w:rsidP="46B80AED" w:rsidRDefault="46B80AED" w14:paraId="2EC71589" w14:textId="69CF46CB">
            <w:pPr>
              <w:spacing w:before="0" w:beforeAutospacing="off" w:after="0" w:afterAutospacing="off"/>
              <w:jc w:val="left"/>
              <w:rPr>
                <w:sz w:val="20"/>
                <w:szCs w:val="20"/>
              </w:rPr>
            </w:pPr>
            <w:r w:rsidRPr="46B80AED" w:rsidR="46B80AED">
              <w:rPr>
                <w:sz w:val="20"/>
                <w:szCs w:val="20"/>
              </w:rPr>
              <w:t>Memorando interno</w:t>
            </w:r>
          </w:p>
        </w:tc>
      </w:tr>
      <w:tr w:rsidR="46B80AED" w:rsidTr="46B80AED" w14:paraId="78701CF6">
        <w:trPr>
          <w:trHeight w:val="300"/>
        </w:trPr>
        <w:tc>
          <w:tcPr>
            <w:cnfStyle w:val="001000000000" w:firstRow="0" w:lastRow="0" w:firstColumn="1" w:lastColumn="0" w:oddVBand="0" w:evenVBand="0" w:oddHBand="0" w:evenHBand="0" w:firstRowFirstColumn="0" w:firstRowLastColumn="0" w:lastRowFirstColumn="0" w:lastRowLastColumn="0"/>
            <w:tcW w:w="1502" w:type="dxa"/>
            <w:tcMar/>
            <w:vAlign w:val="center"/>
          </w:tcPr>
          <w:p w:rsidR="46B80AED" w:rsidP="46B80AED" w:rsidRDefault="46B80AED" w14:paraId="2973C099" w14:textId="70DA18CE">
            <w:pPr>
              <w:spacing w:before="0" w:beforeAutospacing="off" w:after="0" w:afterAutospacing="off"/>
              <w:jc w:val="left"/>
              <w:rPr>
                <w:sz w:val="20"/>
                <w:szCs w:val="20"/>
              </w:rPr>
            </w:pPr>
            <w:r w:rsidRPr="46B80AED" w:rsidR="46B80AED">
              <w:rPr>
                <w:sz w:val="20"/>
                <w:szCs w:val="20"/>
              </w:rPr>
              <w:t>IBM</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46B80AED" w:rsidP="46B80AED" w:rsidRDefault="46B80AED" w14:paraId="37EF6C58" w14:textId="1847332B">
            <w:pPr>
              <w:spacing w:before="0" w:beforeAutospacing="off" w:after="0" w:afterAutospacing="off"/>
              <w:jc w:val="left"/>
              <w:rPr>
                <w:sz w:val="20"/>
                <w:szCs w:val="20"/>
              </w:rPr>
            </w:pPr>
            <w:r w:rsidRPr="46B80AED" w:rsidR="46B80AED">
              <w:rPr>
                <w:sz w:val="20"/>
                <w:szCs w:val="20"/>
              </w:rPr>
              <w:t>Arvind</w:t>
            </w:r>
            <w:r w:rsidRPr="46B80AED" w:rsidR="46B80AED">
              <w:rPr>
                <w:sz w:val="20"/>
                <w:szCs w:val="20"/>
              </w:rPr>
              <w:t xml:space="preserve"> Krishna (CEO)</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46B80AED" w:rsidP="46B80AED" w:rsidRDefault="46B80AED" w14:paraId="1DE3E41C" w14:textId="00871D53">
            <w:pPr>
              <w:spacing w:before="0" w:beforeAutospacing="off" w:after="0" w:afterAutospacing="off"/>
              <w:jc w:val="left"/>
              <w:rPr>
                <w:sz w:val="20"/>
                <w:szCs w:val="20"/>
              </w:rPr>
            </w:pPr>
            <w:r w:rsidRPr="46B80AED" w:rsidR="46B80AED">
              <w:rPr>
                <w:sz w:val="20"/>
                <w:szCs w:val="20"/>
              </w:rPr>
              <w:t>Março 2024</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46B80AED" w:rsidP="46B80AED" w:rsidRDefault="46B80AED" w14:paraId="355856FE" w14:textId="20733889">
            <w:pPr>
              <w:spacing w:before="0" w:beforeAutospacing="off" w:after="0" w:afterAutospacing="off"/>
              <w:jc w:val="left"/>
              <w:rPr>
                <w:sz w:val="20"/>
                <w:szCs w:val="20"/>
              </w:rPr>
            </w:pPr>
            <w:r w:rsidRPr="46B80AED" w:rsidR="46B80AED">
              <w:rPr>
                <w:sz w:val="20"/>
                <w:szCs w:val="20"/>
              </w:rPr>
              <w:t>Não divulgado (*)</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46B80AED" w:rsidP="46B80AED" w:rsidRDefault="46B80AED" w14:paraId="436ABE6A" w14:textId="4BA9FB9B">
            <w:pPr>
              <w:spacing w:before="0" w:beforeAutospacing="off" w:after="0" w:afterAutospacing="off"/>
              <w:jc w:val="left"/>
              <w:rPr>
                <w:sz w:val="20"/>
                <w:szCs w:val="20"/>
              </w:rPr>
            </w:pPr>
            <w:r w:rsidRPr="46B80AED" w:rsidR="46B80AED">
              <w:rPr>
                <w:sz w:val="20"/>
                <w:szCs w:val="20"/>
              </w:rPr>
              <w:t>~5% (Estimativa **)</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46B80AED" w:rsidP="46B80AED" w:rsidRDefault="46B80AED" w14:paraId="31BAEF4B" w14:textId="00B7BE59">
            <w:pPr>
              <w:spacing w:before="0" w:beforeAutospacing="off" w:after="0" w:afterAutospacing="off"/>
              <w:jc w:val="left"/>
              <w:rPr>
                <w:sz w:val="20"/>
                <w:szCs w:val="20"/>
              </w:rPr>
            </w:pPr>
            <w:r w:rsidRPr="46B80AED" w:rsidR="46B80AED">
              <w:rPr>
                <w:sz w:val="20"/>
                <w:szCs w:val="20"/>
              </w:rPr>
              <w:t>Entrevista</w:t>
            </w:r>
          </w:p>
        </w:tc>
      </w:tr>
    </w:tbl>
    <w:p w:rsidR="7645FF3E" w:rsidP="46B80AED" w:rsidRDefault="7645FF3E" w14:paraId="1F43FE4D" w14:textId="374A81D2">
      <w:pPr>
        <w:pStyle w:val="Normal"/>
        <w:spacing w:before="0" w:beforeAutospacing="off" w:after="120" w:afterAutospacing="off" w:line="240" w:lineRule="auto"/>
        <w:ind w:firstLine="0"/>
        <w:jc w:val="both"/>
        <w:rPr>
          <w:sz w:val="18"/>
          <w:szCs w:val="18"/>
        </w:rPr>
      </w:pPr>
      <w:r w:rsidRPr="46B80AED" w:rsidR="7645FF3E">
        <w:rPr>
          <w:rFonts w:ascii="Times New Roman" w:hAnsi="Times New Roman"/>
          <w:sz w:val="24"/>
          <w:szCs w:val="20"/>
        </w:rPr>
        <w:t>Nota. (*) A IBM não publicitou o volume exato nos canais oficiais, limitando-se a relatar reduções focadas em funções administrativas. (**) Estimativa baseada em reportagens da Bloomberg (2024). Dados da Block referentes a fevereiro de 2026, verificados até à data de submissão deste manuscrito. Earnings call (chamada de resultados). Fonte: Elaborada pelo autor (2026) a partir de comunicados ao mercado e relatórios protocolados na Securities and Exchange Commission (SEC).</w:t>
      </w:r>
    </w:p>
    <w:p w:rsidR="185DE5E9" w:rsidP="46B80AED" w:rsidRDefault="185DE5E9" w14:paraId="5C6210CE" w14:textId="4E3B3A1F">
      <w:pPr>
        <w:pStyle w:val="Normal"/>
        <w:spacing w:before="0" w:beforeAutospacing="off" w:after="120" w:afterAutospacing="off" w:line="240" w:lineRule="auto"/>
        <w:ind w:firstLine="0"/>
        <w:jc w:val="both"/>
      </w:pPr>
      <w:r w:rsidR="185DE5E9">
        <w:rPr>
          <w:rFonts w:ascii="Times New Roman" w:hAnsi="Times New Roman"/>
          <w:sz w:val="24"/>
        </w:rPr>
        <w:t>A análise do discurso executivo revelou a prevalência de linguagem pautada no determinismo tecnológico (</w:t>
      </w:r>
      <w:r w:rsidR="185DE5E9">
        <w:rPr>
          <w:rFonts w:ascii="Times New Roman" w:hAnsi="Times New Roman"/>
          <w:sz w:val="24"/>
        </w:rPr>
        <w:t>Fairclough</w:t>
      </w:r>
      <w:r w:rsidR="185DE5E9">
        <w:rPr>
          <w:rFonts w:ascii="Times New Roman" w:hAnsi="Times New Roman"/>
          <w:sz w:val="24"/>
        </w:rPr>
        <w:t>, 2003). De fato, quatro das seis corporações (</w:t>
      </w:r>
      <w:r w:rsidR="185DE5E9">
        <w:rPr>
          <w:rFonts w:ascii="Times New Roman" w:hAnsi="Times New Roman"/>
          <w:sz w:val="24"/>
        </w:rPr>
        <w:t>Salesforce</w:t>
      </w:r>
      <w:r w:rsidR="185DE5E9">
        <w:rPr>
          <w:rFonts w:ascii="Times New Roman" w:hAnsi="Times New Roman"/>
          <w:sz w:val="24"/>
        </w:rPr>
        <w:t xml:space="preserve">, Dropbox, Block e IBM) estruturaram suas comunicações apresentando a inteligência artificial (IA) como uma força exógena e inevitável. Como evidência disso, o executivo da </w:t>
      </w:r>
      <w:r w:rsidR="185DE5E9">
        <w:rPr>
          <w:rFonts w:ascii="Times New Roman" w:hAnsi="Times New Roman"/>
          <w:sz w:val="24"/>
        </w:rPr>
        <w:t>Salesforce</w:t>
      </w:r>
      <w:r w:rsidR="185DE5E9">
        <w:rPr>
          <w:rFonts w:ascii="Times New Roman" w:hAnsi="Times New Roman"/>
          <w:sz w:val="24"/>
        </w:rPr>
        <w:t xml:space="preserve"> declarou que necessitava de menos colaboradores estritamente por causa da IA, enquanto o representante da Dropbox referenciou a transição tecnológica como um fator gerador de bifurcação compulsória no mercado. Sob a ótica da Teoria da Agência, a adoção dessa linguagem funciona como mecanismo de mitigação de risco reputacional (Jensen &amp; </w:t>
      </w:r>
      <w:r w:rsidR="185DE5E9">
        <w:rPr>
          <w:rFonts w:ascii="Times New Roman" w:hAnsi="Times New Roman"/>
          <w:sz w:val="24"/>
        </w:rPr>
        <w:t>Meckling</w:t>
      </w:r>
      <w:r w:rsidR="185DE5E9">
        <w:rPr>
          <w:rFonts w:ascii="Times New Roman" w:hAnsi="Times New Roman"/>
          <w:sz w:val="24"/>
        </w:rPr>
        <w:t>, 1976). Por conseguinte, ao atribuir a eliminação de postos de trabalho à superioridade técnica algorítmica, o gestor atua para externalizar a responsabilidade social da reestruturação e para alinhar a imagem da companhia às expectativas do mercado financeiro (</w:t>
      </w:r>
      <w:r w:rsidR="185DE5E9">
        <w:rPr>
          <w:rFonts w:ascii="Times New Roman" w:hAnsi="Times New Roman"/>
          <w:sz w:val="24"/>
        </w:rPr>
        <w:t>Kenney</w:t>
      </w:r>
      <w:r w:rsidR="185DE5E9">
        <w:rPr>
          <w:rFonts w:ascii="Times New Roman" w:hAnsi="Times New Roman"/>
          <w:sz w:val="24"/>
        </w:rPr>
        <w:t xml:space="preserve"> &amp; </w:t>
      </w:r>
      <w:r w:rsidR="185DE5E9">
        <w:rPr>
          <w:rFonts w:ascii="Times New Roman" w:hAnsi="Times New Roman"/>
          <w:sz w:val="24"/>
        </w:rPr>
        <w:t>Zysman</w:t>
      </w:r>
      <w:r w:rsidR="185DE5E9">
        <w:rPr>
          <w:rFonts w:ascii="Times New Roman" w:hAnsi="Times New Roman"/>
          <w:sz w:val="24"/>
        </w:rPr>
        <w:t>, 2016).</w:t>
      </w:r>
    </w:p>
    <w:p w:rsidR="185DE5E9" w:rsidP="46B80AED" w:rsidRDefault="185DE5E9" w14:paraId="06ACF03A" w14:textId="1498465F">
      <w:pPr>
        <w:pStyle w:val="Normal"/>
        <w:spacing w:before="0" w:beforeAutospacing="off" w:after="120" w:afterAutospacing="off" w:line="240" w:lineRule="auto"/>
        <w:ind w:firstLine="0"/>
        <w:jc w:val="both"/>
        <w:rPr>
          <w:b w:val="1"/>
          <w:bCs w:val="1"/>
        </w:rPr>
      </w:pPr>
      <w:r w:rsidRPr="46B80AED" w:rsidR="185DE5E9">
        <w:rPr>
          <w:rFonts w:ascii="Times New Roman" w:hAnsi="Times New Roman"/>
          <w:b w:val="1"/>
          <w:bCs w:val="1"/>
          <w:sz w:val="24"/>
        </w:rPr>
        <w:t xml:space="preserve">4.2 O Paradoxo Operacional e os Indicadores Financeiros </w:t>
      </w:r>
    </w:p>
    <w:p w:rsidR="185DE5E9" w:rsidP="46B80AED" w:rsidRDefault="185DE5E9" w14:paraId="4F2D52ED" w14:textId="448EE348">
      <w:pPr>
        <w:pStyle w:val="Normal"/>
        <w:spacing w:before="0" w:beforeAutospacing="off" w:after="120" w:afterAutospacing="off" w:line="240" w:lineRule="auto"/>
        <w:ind w:firstLine="0"/>
        <w:jc w:val="both"/>
      </w:pPr>
      <w:r w:rsidR="185DE5E9">
        <w:rPr>
          <w:rFonts w:ascii="Times New Roman" w:hAnsi="Times New Roman"/>
          <w:sz w:val="24"/>
        </w:rPr>
        <w:t xml:space="preserve">A investigação acerca da efetividade das tecnologias implementadas evidenciou uma assimetria informacional sistemática. Especificamente, nenhuma das empresas analisadas disponibilizou publicamente métricas verificáveis de produtividade que sustentassem a redundância das funções humanas eliminadas. Diante desse fato, reconhece-se que a ausência de publicação pode derivar de políticas de sigilo industrial ou de restrições legais inerentes a processos rescisórios. No entanto, a falta de dados concretos sobre ganhos de eficiência por unidade de trabalho corrobora a persistência microeconômica do Paradoxo de Produtividade (Solow, 1987). De maneira análoga, os estudos de </w:t>
      </w:r>
      <w:r w:rsidR="185DE5E9">
        <w:rPr>
          <w:rFonts w:ascii="Times New Roman" w:hAnsi="Times New Roman"/>
          <w:sz w:val="24"/>
        </w:rPr>
        <w:t>Bäck</w:t>
      </w:r>
      <w:r w:rsidR="185DE5E9">
        <w:rPr>
          <w:rFonts w:ascii="Times New Roman" w:hAnsi="Times New Roman"/>
          <w:sz w:val="24"/>
        </w:rPr>
        <w:t xml:space="preserve"> et al. (2025) sugerem que a adoção de sistemas autônomos raramente se traduz em expansão imediata de output nas demonstrações contábeis.</w:t>
      </w:r>
    </w:p>
    <w:p w:rsidR="185DE5E9" w:rsidP="46B80AED" w:rsidRDefault="185DE5E9" w14:paraId="22E44A98" w14:textId="26CE3A65">
      <w:pPr>
        <w:pStyle w:val="Normal"/>
        <w:spacing w:before="0" w:beforeAutospacing="off" w:after="120" w:afterAutospacing="off" w:line="240" w:lineRule="auto"/>
        <w:ind w:firstLine="0"/>
        <w:jc w:val="both"/>
      </w:pPr>
      <w:r w:rsidR="185DE5E9">
        <w:rPr>
          <w:rFonts w:ascii="Times New Roman" w:hAnsi="Times New Roman"/>
          <w:sz w:val="24"/>
        </w:rPr>
        <w:t>Para verificar a existência de motivações alternativas às justificativas operacionais, procedeu-se ao levantamento dos dados financeiros do exercício fiscal correspondente aos anúncios de demissão. Assim sendo, a Tabela 2 apresenta os indicadores de rentabilidade extraídos dos formulários 10-K institucionais.</w:t>
      </w:r>
    </w:p>
    <w:p w:rsidR="2BFF6DB0" w:rsidP="46B80AED" w:rsidRDefault="2BFF6DB0" w14:paraId="58C6488A" w14:textId="7112798A">
      <w:pPr>
        <w:pStyle w:val="Normal"/>
        <w:spacing w:before="0" w:beforeAutospacing="off" w:after="120" w:afterAutospacing="off" w:line="240" w:lineRule="auto"/>
        <w:ind w:firstLine="0"/>
        <w:jc w:val="both"/>
        <w:rPr>
          <w:rFonts w:ascii="Times New Roman" w:hAnsi="Times New Roman" w:eastAsia="Times New Roman" w:cs="Times New Roman"/>
          <w:noProof w:val="0"/>
          <w:sz w:val="24"/>
          <w:szCs w:val="24"/>
          <w:lang w:val="pt-BR"/>
        </w:rPr>
      </w:pPr>
      <w:r w:rsidRPr="46B80AED" w:rsidR="2BFF6DB0">
        <w:rPr>
          <w:rFonts w:ascii="Times New Roman" w:hAnsi="Times New Roman" w:eastAsia="Times New Roman" w:cs="Times New Roman"/>
          <w:b w:val="1"/>
          <w:bCs w:val="1"/>
          <w:noProof w:val="0"/>
          <w:sz w:val="24"/>
          <w:szCs w:val="24"/>
          <w:lang w:val="pt-BR"/>
        </w:rPr>
        <w:t>Tabela 2</w:t>
      </w:r>
      <w:r w:rsidRPr="46B80AED" w:rsidR="2BFF6DB0">
        <w:rPr>
          <w:rFonts w:ascii="Times New Roman" w:hAnsi="Times New Roman" w:eastAsia="Times New Roman" w:cs="Times New Roman"/>
          <w:noProof w:val="0"/>
          <w:sz w:val="24"/>
          <w:szCs w:val="24"/>
          <w:lang w:val="pt-BR"/>
        </w:rPr>
        <w:t xml:space="preserve"> </w:t>
      </w:r>
    </w:p>
    <w:p w:rsidR="2BFF6DB0" w:rsidP="46B80AED" w:rsidRDefault="2BFF6DB0" w14:paraId="4D8B1ECC" w14:textId="310233F5">
      <w:pPr>
        <w:pStyle w:val="Normal"/>
        <w:spacing w:before="0" w:beforeAutospacing="off" w:after="120" w:afterAutospacing="off" w:line="240" w:lineRule="auto"/>
        <w:ind w:firstLine="0"/>
        <w:jc w:val="both"/>
        <w:rPr>
          <w:rFonts w:ascii="Times New Roman" w:hAnsi="Times New Roman" w:eastAsia="Times New Roman" w:cs="Times New Roman"/>
          <w:noProof w:val="0"/>
          <w:sz w:val="24"/>
          <w:szCs w:val="24"/>
          <w:lang w:val="pt-BR"/>
        </w:rPr>
      </w:pPr>
      <w:r w:rsidRPr="46B80AED" w:rsidR="2BFF6DB0">
        <w:rPr>
          <w:rFonts w:ascii="Times New Roman" w:hAnsi="Times New Roman" w:eastAsia="Times New Roman" w:cs="Times New Roman"/>
          <w:i w:val="1"/>
          <w:iCs w:val="1"/>
          <w:noProof w:val="0"/>
          <w:sz w:val="24"/>
          <w:szCs w:val="24"/>
          <w:lang w:val="pt-BR"/>
        </w:rPr>
        <w:t>Indicadores Financeiros no Exercício do Anúncio de Demissões</w:t>
      </w:r>
    </w:p>
    <w:tbl>
      <w:tblPr>
        <w:tblStyle w:val="PlainTable2"/>
        <w:bidiVisual w:val="0"/>
        <w:tblW w:w="0" w:type="auto"/>
        <w:tblLook w:val="06A0" w:firstRow="1" w:lastRow="0" w:firstColumn="1" w:lastColumn="0" w:noHBand="1" w:noVBand="1"/>
      </w:tblPr>
      <w:tblGrid>
        <w:gridCol w:w="2065"/>
        <w:gridCol w:w="2065"/>
        <w:gridCol w:w="1260"/>
        <w:gridCol w:w="1875"/>
        <w:gridCol w:w="1785"/>
      </w:tblGrid>
      <w:tr w:rsidR="46B80AED" w:rsidTr="46B80AED" w14:paraId="400DE61C">
        <w:trPr>
          <w:trHeight w:val="300"/>
        </w:trPr>
        <w:tc>
          <w:tcPr>
            <w:cnfStyle w:val="001000000000" w:firstRow="0" w:lastRow="0" w:firstColumn="1" w:lastColumn="0" w:oddVBand="0" w:evenVBand="0" w:oddHBand="0" w:evenHBand="0" w:firstRowFirstColumn="0" w:firstRowLastColumn="0" w:lastRowFirstColumn="0" w:lastRowLastColumn="0"/>
            <w:tcW w:w="2065" w:type="dxa"/>
            <w:tcMar/>
            <w:vAlign w:val="center"/>
          </w:tcPr>
          <w:p w:rsidR="46B80AED" w:rsidP="46B80AED" w:rsidRDefault="46B80AED" w14:paraId="024CEE11" w14:textId="56915CF6">
            <w:pPr>
              <w:spacing w:before="0" w:beforeAutospacing="off" w:after="0" w:afterAutospacing="off"/>
              <w:jc w:val="left"/>
              <w:rPr>
                <w:b w:val="1"/>
                <w:bCs w:val="1"/>
                <w:sz w:val="18"/>
                <w:szCs w:val="18"/>
              </w:rPr>
            </w:pPr>
            <w:r w:rsidRPr="46B80AED" w:rsidR="46B80AED">
              <w:rPr>
                <w:b w:val="1"/>
                <w:bCs w:val="1"/>
                <w:sz w:val="20"/>
                <w:szCs w:val="20"/>
              </w:rPr>
              <w:t>Empresa</w:t>
            </w:r>
          </w:p>
        </w:tc>
        <w:tc>
          <w:tcPr>
            <w:cnfStyle w:val="000000000000" w:firstRow="0" w:lastRow="0" w:firstColumn="0" w:lastColumn="0" w:oddVBand="0" w:evenVBand="0" w:oddHBand="0" w:evenHBand="0" w:firstRowFirstColumn="0" w:firstRowLastColumn="0" w:lastRowFirstColumn="0" w:lastRowLastColumn="0"/>
            <w:tcW w:w="2065" w:type="dxa"/>
            <w:tcMar/>
            <w:vAlign w:val="center"/>
          </w:tcPr>
          <w:p w:rsidR="46B80AED" w:rsidP="46B80AED" w:rsidRDefault="46B80AED" w14:paraId="7DAB06CA" w14:textId="4DEF31B1">
            <w:pPr>
              <w:spacing w:before="0" w:beforeAutospacing="off" w:after="0" w:afterAutospacing="off"/>
              <w:jc w:val="left"/>
              <w:rPr>
                <w:b w:val="1"/>
                <w:bCs w:val="1"/>
                <w:sz w:val="18"/>
                <w:szCs w:val="18"/>
              </w:rPr>
            </w:pPr>
            <w:r w:rsidRPr="46B80AED" w:rsidR="46B80AED">
              <w:rPr>
                <w:b w:val="1"/>
                <w:bCs w:val="1"/>
                <w:sz w:val="20"/>
                <w:szCs w:val="20"/>
              </w:rPr>
              <w:t>Receita Anual (US$)</w:t>
            </w:r>
          </w:p>
        </w:tc>
        <w:tc>
          <w:tcPr>
            <w:cnfStyle w:val="000000000000" w:firstRow="0" w:lastRow="0" w:firstColumn="0" w:lastColumn="0" w:oddVBand="0" w:evenVBand="0" w:oddHBand="0" w:evenHBand="0" w:firstRowFirstColumn="0" w:firstRowLastColumn="0" w:lastRowFirstColumn="0" w:lastRowLastColumn="0"/>
            <w:tcW w:w="1260" w:type="dxa"/>
            <w:tcMar/>
            <w:vAlign w:val="center"/>
          </w:tcPr>
          <w:p w:rsidR="46B80AED" w:rsidP="46B80AED" w:rsidRDefault="46B80AED" w14:paraId="05FEFA52" w14:textId="0B1918D0">
            <w:pPr>
              <w:spacing w:before="0" w:beforeAutospacing="off" w:after="0" w:afterAutospacing="off"/>
              <w:jc w:val="left"/>
              <w:rPr>
                <w:b w:val="1"/>
                <w:bCs w:val="1"/>
                <w:sz w:val="18"/>
                <w:szCs w:val="18"/>
              </w:rPr>
            </w:pPr>
            <w:r w:rsidRPr="46B80AED" w:rsidR="46B80AED">
              <w:rPr>
                <w:b w:val="1"/>
                <w:bCs w:val="1"/>
                <w:sz w:val="20"/>
                <w:szCs w:val="20"/>
              </w:rPr>
              <w:t>Crescimento (A/A)</w:t>
            </w:r>
          </w:p>
        </w:tc>
        <w:tc>
          <w:tcPr>
            <w:cnfStyle w:val="000000000000" w:firstRow="0" w:lastRow="0" w:firstColumn="0" w:lastColumn="0" w:oddVBand="0" w:evenVBand="0" w:oddHBand="0" w:evenHBand="0" w:firstRowFirstColumn="0" w:firstRowLastColumn="0" w:lastRowFirstColumn="0" w:lastRowLastColumn="0"/>
            <w:tcW w:w="1875" w:type="dxa"/>
            <w:tcMar/>
            <w:vAlign w:val="center"/>
          </w:tcPr>
          <w:p w:rsidR="46B80AED" w:rsidP="46B80AED" w:rsidRDefault="46B80AED" w14:paraId="3DCB0D41" w14:textId="5D5B0594">
            <w:pPr>
              <w:spacing w:before="0" w:beforeAutospacing="off" w:after="0" w:afterAutospacing="off"/>
              <w:jc w:val="left"/>
              <w:rPr>
                <w:b w:val="1"/>
                <w:bCs w:val="1"/>
                <w:sz w:val="18"/>
                <w:szCs w:val="18"/>
              </w:rPr>
            </w:pPr>
            <w:r w:rsidRPr="46B80AED" w:rsidR="46B80AED">
              <w:rPr>
                <w:b w:val="1"/>
                <w:bCs w:val="1"/>
                <w:sz w:val="20"/>
                <w:szCs w:val="20"/>
              </w:rPr>
              <w:t>Lucro Líquido (US$)</w:t>
            </w:r>
          </w:p>
        </w:tc>
        <w:tc>
          <w:tcPr>
            <w:cnfStyle w:val="000000000000" w:firstRow="0" w:lastRow="0" w:firstColumn="0" w:lastColumn="0" w:oddVBand="0" w:evenVBand="0" w:oddHBand="0" w:evenHBand="0" w:firstRowFirstColumn="0" w:firstRowLastColumn="0" w:lastRowFirstColumn="0" w:lastRowLastColumn="0"/>
            <w:tcW w:w="1785" w:type="dxa"/>
            <w:tcMar/>
            <w:vAlign w:val="center"/>
          </w:tcPr>
          <w:p w:rsidR="46B80AED" w:rsidP="46B80AED" w:rsidRDefault="46B80AED" w14:paraId="1B2507E3" w14:textId="3200B270">
            <w:pPr>
              <w:spacing w:before="0" w:beforeAutospacing="off" w:after="0" w:afterAutospacing="off"/>
              <w:jc w:val="left"/>
              <w:rPr>
                <w:b w:val="1"/>
                <w:bCs w:val="1"/>
                <w:sz w:val="18"/>
                <w:szCs w:val="18"/>
              </w:rPr>
            </w:pPr>
            <w:r w:rsidRPr="46B80AED" w:rsidR="46B80AED">
              <w:rPr>
                <w:b w:val="1"/>
                <w:bCs w:val="1"/>
                <w:sz w:val="20"/>
                <w:szCs w:val="20"/>
              </w:rPr>
              <w:t>Margem Operacional</w:t>
            </w:r>
          </w:p>
        </w:tc>
      </w:tr>
      <w:tr w:rsidR="46B80AED" w:rsidTr="46B80AED" w14:paraId="2C36F29D">
        <w:trPr>
          <w:trHeight w:val="300"/>
        </w:trPr>
        <w:tc>
          <w:tcPr>
            <w:cnfStyle w:val="001000000000" w:firstRow="0" w:lastRow="0" w:firstColumn="1" w:lastColumn="0" w:oddVBand="0" w:evenVBand="0" w:oddHBand="0" w:evenHBand="0" w:firstRowFirstColumn="0" w:firstRowLastColumn="0" w:lastRowFirstColumn="0" w:lastRowLastColumn="0"/>
            <w:tcW w:w="2065" w:type="dxa"/>
            <w:tcMar/>
            <w:vAlign w:val="center"/>
          </w:tcPr>
          <w:p w:rsidR="46B80AED" w:rsidP="46B80AED" w:rsidRDefault="46B80AED" w14:paraId="57C36AF8" w14:textId="0F3932B1">
            <w:pPr>
              <w:spacing w:before="0" w:beforeAutospacing="off" w:after="0" w:afterAutospacing="off"/>
              <w:jc w:val="left"/>
              <w:rPr>
                <w:sz w:val="18"/>
                <w:szCs w:val="18"/>
              </w:rPr>
            </w:pPr>
            <w:r w:rsidRPr="46B80AED" w:rsidR="46B80AED">
              <w:rPr>
                <w:sz w:val="20"/>
                <w:szCs w:val="20"/>
              </w:rPr>
              <w:t>Salesforce</w:t>
            </w:r>
          </w:p>
        </w:tc>
        <w:tc>
          <w:tcPr>
            <w:cnfStyle w:val="000000000000" w:firstRow="0" w:lastRow="0" w:firstColumn="0" w:lastColumn="0" w:oddVBand="0" w:evenVBand="0" w:oddHBand="0" w:evenHBand="0" w:firstRowFirstColumn="0" w:firstRowLastColumn="0" w:lastRowFirstColumn="0" w:lastRowLastColumn="0"/>
            <w:tcW w:w="2065" w:type="dxa"/>
            <w:tcMar/>
            <w:vAlign w:val="center"/>
          </w:tcPr>
          <w:p w:rsidR="46B80AED" w:rsidP="46B80AED" w:rsidRDefault="46B80AED" w14:paraId="3FCCB3CA" w14:textId="7BF173DE">
            <w:pPr>
              <w:spacing w:before="0" w:beforeAutospacing="off" w:after="0" w:afterAutospacing="off"/>
              <w:jc w:val="left"/>
              <w:rPr>
                <w:sz w:val="18"/>
                <w:szCs w:val="18"/>
              </w:rPr>
            </w:pPr>
            <w:r w:rsidRPr="46B80AED" w:rsidR="46B80AED">
              <w:rPr>
                <w:sz w:val="20"/>
                <w:szCs w:val="20"/>
              </w:rPr>
              <w:t>34,9 bilhões</w:t>
            </w:r>
          </w:p>
        </w:tc>
        <w:tc>
          <w:tcPr>
            <w:cnfStyle w:val="000000000000" w:firstRow="0" w:lastRow="0" w:firstColumn="0" w:lastColumn="0" w:oddVBand="0" w:evenVBand="0" w:oddHBand="0" w:evenHBand="0" w:firstRowFirstColumn="0" w:firstRowLastColumn="0" w:lastRowFirstColumn="0" w:lastRowLastColumn="0"/>
            <w:tcW w:w="1260" w:type="dxa"/>
            <w:tcMar/>
            <w:vAlign w:val="center"/>
          </w:tcPr>
          <w:p w:rsidR="46B80AED" w:rsidP="46B80AED" w:rsidRDefault="46B80AED" w14:paraId="76FC09B6" w14:textId="511ABF17">
            <w:pPr>
              <w:spacing w:before="0" w:beforeAutospacing="off" w:after="0" w:afterAutospacing="off"/>
              <w:jc w:val="left"/>
              <w:rPr>
                <w:sz w:val="18"/>
                <w:szCs w:val="18"/>
              </w:rPr>
            </w:pPr>
            <w:r w:rsidRPr="46B80AED" w:rsidR="46B80AED">
              <w:rPr>
                <w:sz w:val="20"/>
                <w:szCs w:val="20"/>
              </w:rPr>
              <w:t>+ 11%</w:t>
            </w:r>
          </w:p>
        </w:tc>
        <w:tc>
          <w:tcPr>
            <w:cnfStyle w:val="000000000000" w:firstRow="0" w:lastRow="0" w:firstColumn="0" w:lastColumn="0" w:oddVBand="0" w:evenVBand="0" w:oddHBand="0" w:evenHBand="0" w:firstRowFirstColumn="0" w:firstRowLastColumn="0" w:lastRowFirstColumn="0" w:lastRowLastColumn="0"/>
            <w:tcW w:w="1875" w:type="dxa"/>
            <w:tcMar/>
            <w:vAlign w:val="center"/>
          </w:tcPr>
          <w:p w:rsidR="46B80AED" w:rsidP="46B80AED" w:rsidRDefault="46B80AED" w14:paraId="11C529AD" w14:textId="0F6C27F7">
            <w:pPr>
              <w:spacing w:before="0" w:beforeAutospacing="off" w:after="0" w:afterAutospacing="off"/>
              <w:jc w:val="left"/>
              <w:rPr>
                <w:sz w:val="18"/>
                <w:szCs w:val="18"/>
              </w:rPr>
            </w:pPr>
            <w:r w:rsidRPr="46B80AED" w:rsidR="46B80AED">
              <w:rPr>
                <w:sz w:val="20"/>
                <w:szCs w:val="20"/>
              </w:rPr>
              <w:t>4,1 bilhões</w:t>
            </w:r>
          </w:p>
        </w:tc>
        <w:tc>
          <w:tcPr>
            <w:cnfStyle w:val="000000000000" w:firstRow="0" w:lastRow="0" w:firstColumn="0" w:lastColumn="0" w:oddVBand="0" w:evenVBand="0" w:oddHBand="0" w:evenHBand="0" w:firstRowFirstColumn="0" w:firstRowLastColumn="0" w:lastRowFirstColumn="0" w:lastRowLastColumn="0"/>
            <w:tcW w:w="1785" w:type="dxa"/>
            <w:tcMar/>
            <w:vAlign w:val="center"/>
          </w:tcPr>
          <w:p w:rsidR="46B80AED" w:rsidP="46B80AED" w:rsidRDefault="46B80AED" w14:paraId="6486A92D" w14:textId="5CD697EB">
            <w:pPr>
              <w:spacing w:before="0" w:beforeAutospacing="off" w:after="0" w:afterAutospacing="off"/>
              <w:jc w:val="left"/>
              <w:rPr>
                <w:sz w:val="18"/>
                <w:szCs w:val="18"/>
              </w:rPr>
            </w:pPr>
            <w:r w:rsidRPr="46B80AED" w:rsidR="46B80AED">
              <w:rPr>
                <w:sz w:val="20"/>
                <w:szCs w:val="20"/>
              </w:rPr>
              <w:t>30,5% (</w:t>
            </w:r>
            <w:r w:rsidRPr="46B80AED" w:rsidR="46B80AED">
              <w:rPr>
                <w:i w:val="1"/>
                <w:iCs w:val="1"/>
                <w:sz w:val="20"/>
                <w:szCs w:val="20"/>
              </w:rPr>
              <w:t>Non-GAAP</w:t>
            </w:r>
            <w:r w:rsidRPr="46B80AED" w:rsidR="46B80AED">
              <w:rPr>
                <w:sz w:val="20"/>
                <w:szCs w:val="20"/>
              </w:rPr>
              <w:t>)</w:t>
            </w:r>
          </w:p>
        </w:tc>
      </w:tr>
      <w:tr w:rsidR="46B80AED" w:rsidTr="46B80AED" w14:paraId="2EB3A58B">
        <w:trPr>
          <w:trHeight w:val="300"/>
        </w:trPr>
        <w:tc>
          <w:tcPr>
            <w:cnfStyle w:val="001000000000" w:firstRow="0" w:lastRow="0" w:firstColumn="1" w:lastColumn="0" w:oddVBand="0" w:evenVBand="0" w:oddHBand="0" w:evenHBand="0" w:firstRowFirstColumn="0" w:firstRowLastColumn="0" w:lastRowFirstColumn="0" w:lastRowLastColumn="0"/>
            <w:tcW w:w="2065" w:type="dxa"/>
            <w:tcMar/>
            <w:vAlign w:val="center"/>
          </w:tcPr>
          <w:p w:rsidR="46B80AED" w:rsidP="46B80AED" w:rsidRDefault="46B80AED" w14:paraId="0C2A101C" w14:textId="237F6C55">
            <w:pPr>
              <w:spacing w:before="0" w:beforeAutospacing="off" w:after="0" w:afterAutospacing="off"/>
              <w:jc w:val="left"/>
              <w:rPr>
                <w:sz w:val="18"/>
                <w:szCs w:val="18"/>
              </w:rPr>
            </w:pPr>
            <w:r w:rsidRPr="46B80AED" w:rsidR="46B80AED">
              <w:rPr>
                <w:sz w:val="20"/>
                <w:szCs w:val="20"/>
              </w:rPr>
              <w:t>Cisco</w:t>
            </w:r>
          </w:p>
        </w:tc>
        <w:tc>
          <w:tcPr>
            <w:cnfStyle w:val="000000000000" w:firstRow="0" w:lastRow="0" w:firstColumn="0" w:lastColumn="0" w:oddVBand="0" w:evenVBand="0" w:oddHBand="0" w:evenHBand="0" w:firstRowFirstColumn="0" w:firstRowLastColumn="0" w:lastRowFirstColumn="0" w:lastRowLastColumn="0"/>
            <w:tcW w:w="2065" w:type="dxa"/>
            <w:tcMar/>
            <w:vAlign w:val="center"/>
          </w:tcPr>
          <w:p w:rsidR="46B80AED" w:rsidP="46B80AED" w:rsidRDefault="46B80AED" w14:paraId="49551491" w14:textId="5D6C7803">
            <w:pPr>
              <w:spacing w:before="0" w:beforeAutospacing="off" w:after="0" w:afterAutospacing="off"/>
              <w:jc w:val="left"/>
              <w:rPr>
                <w:sz w:val="18"/>
                <w:szCs w:val="18"/>
              </w:rPr>
            </w:pPr>
            <w:r w:rsidRPr="46B80AED" w:rsidR="46B80AED">
              <w:rPr>
                <w:sz w:val="20"/>
                <w:szCs w:val="20"/>
              </w:rPr>
              <w:t>57,2 bilhões</w:t>
            </w:r>
          </w:p>
        </w:tc>
        <w:tc>
          <w:tcPr>
            <w:cnfStyle w:val="000000000000" w:firstRow="0" w:lastRow="0" w:firstColumn="0" w:lastColumn="0" w:oddVBand="0" w:evenVBand="0" w:oddHBand="0" w:evenHBand="0" w:firstRowFirstColumn="0" w:firstRowLastColumn="0" w:lastRowFirstColumn="0" w:lastRowLastColumn="0"/>
            <w:tcW w:w="1260" w:type="dxa"/>
            <w:tcMar/>
            <w:vAlign w:val="center"/>
          </w:tcPr>
          <w:p w:rsidR="46B80AED" w:rsidP="46B80AED" w:rsidRDefault="46B80AED" w14:paraId="1DC73E12" w14:textId="47DDBF6E">
            <w:pPr>
              <w:spacing w:before="0" w:beforeAutospacing="off" w:after="0" w:afterAutospacing="off"/>
              <w:jc w:val="left"/>
              <w:rPr>
                <w:sz w:val="18"/>
                <w:szCs w:val="18"/>
              </w:rPr>
            </w:pPr>
            <w:r w:rsidRPr="46B80AED" w:rsidR="46B80AED">
              <w:rPr>
                <w:sz w:val="20"/>
                <w:szCs w:val="20"/>
              </w:rPr>
              <w:t>+ 1%</w:t>
            </w:r>
          </w:p>
        </w:tc>
        <w:tc>
          <w:tcPr>
            <w:cnfStyle w:val="000000000000" w:firstRow="0" w:lastRow="0" w:firstColumn="0" w:lastColumn="0" w:oddVBand="0" w:evenVBand="0" w:oddHBand="0" w:evenHBand="0" w:firstRowFirstColumn="0" w:firstRowLastColumn="0" w:lastRowFirstColumn="0" w:lastRowLastColumn="0"/>
            <w:tcW w:w="1875" w:type="dxa"/>
            <w:tcMar/>
            <w:vAlign w:val="center"/>
          </w:tcPr>
          <w:p w:rsidR="46B80AED" w:rsidP="46B80AED" w:rsidRDefault="46B80AED" w14:paraId="11145903" w14:textId="697C73A3">
            <w:pPr>
              <w:spacing w:before="0" w:beforeAutospacing="off" w:after="0" w:afterAutospacing="off"/>
              <w:jc w:val="left"/>
              <w:rPr>
                <w:sz w:val="18"/>
                <w:szCs w:val="18"/>
              </w:rPr>
            </w:pPr>
            <w:r w:rsidRPr="46B80AED" w:rsidR="46B80AED">
              <w:rPr>
                <w:sz w:val="20"/>
                <w:szCs w:val="20"/>
              </w:rPr>
              <w:t>10,3 bilhões</w:t>
            </w:r>
          </w:p>
        </w:tc>
        <w:tc>
          <w:tcPr>
            <w:cnfStyle w:val="000000000000" w:firstRow="0" w:lastRow="0" w:firstColumn="0" w:lastColumn="0" w:oddVBand="0" w:evenVBand="0" w:oddHBand="0" w:evenHBand="0" w:firstRowFirstColumn="0" w:firstRowLastColumn="0" w:lastRowFirstColumn="0" w:lastRowLastColumn="0"/>
            <w:tcW w:w="1785" w:type="dxa"/>
            <w:tcMar/>
            <w:vAlign w:val="center"/>
          </w:tcPr>
          <w:p w:rsidR="46B80AED" w:rsidP="46B80AED" w:rsidRDefault="46B80AED" w14:paraId="274E96F9" w14:textId="484C416A">
            <w:pPr>
              <w:spacing w:before="0" w:beforeAutospacing="off" w:after="0" w:afterAutospacing="off"/>
              <w:jc w:val="left"/>
              <w:rPr>
                <w:sz w:val="18"/>
                <w:szCs w:val="18"/>
              </w:rPr>
            </w:pPr>
            <w:r w:rsidRPr="46B80AED" w:rsidR="46B80AED">
              <w:rPr>
                <w:sz w:val="20"/>
                <w:szCs w:val="20"/>
              </w:rPr>
              <w:t>27,4%</w:t>
            </w:r>
          </w:p>
        </w:tc>
      </w:tr>
      <w:tr w:rsidR="46B80AED" w:rsidTr="46B80AED" w14:paraId="373B2B5E">
        <w:trPr>
          <w:trHeight w:val="300"/>
        </w:trPr>
        <w:tc>
          <w:tcPr>
            <w:cnfStyle w:val="001000000000" w:firstRow="0" w:lastRow="0" w:firstColumn="1" w:lastColumn="0" w:oddVBand="0" w:evenVBand="0" w:oddHBand="0" w:evenHBand="0" w:firstRowFirstColumn="0" w:firstRowLastColumn="0" w:lastRowFirstColumn="0" w:lastRowLastColumn="0"/>
            <w:tcW w:w="2065" w:type="dxa"/>
            <w:tcMar/>
            <w:vAlign w:val="center"/>
          </w:tcPr>
          <w:p w:rsidR="46B80AED" w:rsidP="46B80AED" w:rsidRDefault="46B80AED" w14:paraId="0AEADD8E" w14:textId="3E995B91">
            <w:pPr>
              <w:spacing w:before="0" w:beforeAutospacing="off" w:after="0" w:afterAutospacing="off"/>
              <w:jc w:val="left"/>
              <w:rPr>
                <w:sz w:val="18"/>
                <w:szCs w:val="18"/>
              </w:rPr>
            </w:pPr>
            <w:r w:rsidRPr="46B80AED" w:rsidR="46B80AED">
              <w:rPr>
                <w:sz w:val="20"/>
                <w:szCs w:val="20"/>
              </w:rPr>
              <w:t>Intuit</w:t>
            </w:r>
          </w:p>
        </w:tc>
        <w:tc>
          <w:tcPr>
            <w:cnfStyle w:val="000000000000" w:firstRow="0" w:lastRow="0" w:firstColumn="0" w:lastColumn="0" w:oddVBand="0" w:evenVBand="0" w:oddHBand="0" w:evenHBand="0" w:firstRowFirstColumn="0" w:firstRowLastColumn="0" w:lastRowFirstColumn="0" w:lastRowLastColumn="0"/>
            <w:tcW w:w="2065" w:type="dxa"/>
            <w:tcMar/>
            <w:vAlign w:val="center"/>
          </w:tcPr>
          <w:p w:rsidR="46B80AED" w:rsidP="46B80AED" w:rsidRDefault="46B80AED" w14:paraId="6AF957C8" w14:textId="368C0B74">
            <w:pPr>
              <w:spacing w:before="0" w:beforeAutospacing="off" w:after="0" w:afterAutospacing="off"/>
              <w:jc w:val="left"/>
              <w:rPr>
                <w:sz w:val="18"/>
                <w:szCs w:val="18"/>
              </w:rPr>
            </w:pPr>
            <w:r w:rsidRPr="46B80AED" w:rsidR="46B80AED">
              <w:rPr>
                <w:sz w:val="20"/>
                <w:szCs w:val="20"/>
              </w:rPr>
              <w:t>16,3 bilhões</w:t>
            </w:r>
          </w:p>
        </w:tc>
        <w:tc>
          <w:tcPr>
            <w:cnfStyle w:val="000000000000" w:firstRow="0" w:lastRow="0" w:firstColumn="0" w:lastColumn="0" w:oddVBand="0" w:evenVBand="0" w:oddHBand="0" w:evenHBand="0" w:firstRowFirstColumn="0" w:firstRowLastColumn="0" w:lastRowFirstColumn="0" w:lastRowLastColumn="0"/>
            <w:tcW w:w="1260" w:type="dxa"/>
            <w:tcMar/>
            <w:vAlign w:val="center"/>
          </w:tcPr>
          <w:p w:rsidR="46B80AED" w:rsidP="46B80AED" w:rsidRDefault="46B80AED" w14:paraId="6C38512B" w14:textId="4ADAAEF5">
            <w:pPr>
              <w:spacing w:before="0" w:beforeAutospacing="off" w:after="0" w:afterAutospacing="off"/>
              <w:jc w:val="left"/>
              <w:rPr>
                <w:sz w:val="18"/>
                <w:szCs w:val="18"/>
              </w:rPr>
            </w:pPr>
            <w:r w:rsidRPr="46B80AED" w:rsidR="46B80AED">
              <w:rPr>
                <w:sz w:val="20"/>
                <w:szCs w:val="20"/>
              </w:rPr>
              <w:t>+ 13%</w:t>
            </w:r>
          </w:p>
        </w:tc>
        <w:tc>
          <w:tcPr>
            <w:cnfStyle w:val="000000000000" w:firstRow="0" w:lastRow="0" w:firstColumn="0" w:lastColumn="0" w:oddVBand="0" w:evenVBand="0" w:oddHBand="0" w:evenHBand="0" w:firstRowFirstColumn="0" w:firstRowLastColumn="0" w:lastRowFirstColumn="0" w:lastRowLastColumn="0"/>
            <w:tcW w:w="1875" w:type="dxa"/>
            <w:tcMar/>
            <w:vAlign w:val="center"/>
          </w:tcPr>
          <w:p w:rsidR="46B80AED" w:rsidP="46B80AED" w:rsidRDefault="46B80AED" w14:paraId="4E630EEE" w14:textId="4B7F0EF9">
            <w:pPr>
              <w:spacing w:before="0" w:beforeAutospacing="off" w:after="0" w:afterAutospacing="off"/>
              <w:jc w:val="left"/>
              <w:rPr>
                <w:sz w:val="18"/>
                <w:szCs w:val="18"/>
              </w:rPr>
            </w:pPr>
            <w:r w:rsidRPr="46B80AED" w:rsidR="46B80AED">
              <w:rPr>
                <w:sz w:val="20"/>
                <w:szCs w:val="20"/>
              </w:rPr>
              <w:t>3,1 bilhões</w:t>
            </w:r>
          </w:p>
        </w:tc>
        <w:tc>
          <w:tcPr>
            <w:cnfStyle w:val="000000000000" w:firstRow="0" w:lastRow="0" w:firstColumn="0" w:lastColumn="0" w:oddVBand="0" w:evenVBand="0" w:oddHBand="0" w:evenHBand="0" w:firstRowFirstColumn="0" w:firstRowLastColumn="0" w:lastRowFirstColumn="0" w:lastRowLastColumn="0"/>
            <w:tcW w:w="1785" w:type="dxa"/>
            <w:tcMar/>
            <w:vAlign w:val="center"/>
          </w:tcPr>
          <w:p w:rsidR="46B80AED" w:rsidP="46B80AED" w:rsidRDefault="46B80AED" w14:paraId="5BD47EBE" w14:textId="5440B1F6">
            <w:pPr>
              <w:spacing w:before="0" w:beforeAutospacing="off" w:after="0" w:afterAutospacing="off"/>
              <w:jc w:val="left"/>
              <w:rPr>
                <w:sz w:val="18"/>
                <w:szCs w:val="18"/>
              </w:rPr>
            </w:pPr>
            <w:r w:rsidRPr="46B80AED" w:rsidR="46B80AED">
              <w:rPr>
                <w:sz w:val="20"/>
                <w:szCs w:val="20"/>
              </w:rPr>
              <w:t>22,6%</w:t>
            </w:r>
          </w:p>
        </w:tc>
      </w:tr>
      <w:tr w:rsidR="46B80AED" w:rsidTr="46B80AED" w14:paraId="45D0E28A">
        <w:trPr>
          <w:trHeight w:val="300"/>
        </w:trPr>
        <w:tc>
          <w:tcPr>
            <w:cnfStyle w:val="001000000000" w:firstRow="0" w:lastRow="0" w:firstColumn="1" w:lastColumn="0" w:oddVBand="0" w:evenVBand="0" w:oddHBand="0" w:evenHBand="0" w:firstRowFirstColumn="0" w:firstRowLastColumn="0" w:lastRowFirstColumn="0" w:lastRowLastColumn="0"/>
            <w:tcW w:w="2065" w:type="dxa"/>
            <w:tcMar/>
            <w:vAlign w:val="center"/>
          </w:tcPr>
          <w:p w:rsidR="46B80AED" w:rsidP="46B80AED" w:rsidRDefault="46B80AED" w14:paraId="136DCA81" w14:textId="5066E17D">
            <w:pPr>
              <w:spacing w:before="0" w:beforeAutospacing="off" w:after="0" w:afterAutospacing="off"/>
              <w:jc w:val="left"/>
              <w:rPr>
                <w:sz w:val="18"/>
                <w:szCs w:val="18"/>
              </w:rPr>
            </w:pPr>
            <w:r w:rsidRPr="46B80AED" w:rsidR="46B80AED">
              <w:rPr>
                <w:sz w:val="20"/>
                <w:szCs w:val="20"/>
              </w:rPr>
              <w:t>Block</w:t>
            </w:r>
          </w:p>
        </w:tc>
        <w:tc>
          <w:tcPr>
            <w:cnfStyle w:val="000000000000" w:firstRow="0" w:lastRow="0" w:firstColumn="0" w:lastColumn="0" w:oddVBand="0" w:evenVBand="0" w:oddHBand="0" w:evenHBand="0" w:firstRowFirstColumn="0" w:firstRowLastColumn="0" w:lastRowFirstColumn="0" w:lastRowLastColumn="0"/>
            <w:tcW w:w="2065" w:type="dxa"/>
            <w:tcMar/>
            <w:vAlign w:val="center"/>
          </w:tcPr>
          <w:p w:rsidR="46B80AED" w:rsidP="46B80AED" w:rsidRDefault="46B80AED" w14:paraId="2245C491" w14:textId="2DA51B26">
            <w:pPr>
              <w:spacing w:before="0" w:beforeAutospacing="off" w:after="0" w:afterAutospacing="off"/>
              <w:jc w:val="left"/>
              <w:rPr>
                <w:sz w:val="18"/>
                <w:szCs w:val="18"/>
              </w:rPr>
            </w:pPr>
            <w:r w:rsidRPr="46B80AED" w:rsidR="46B80AED">
              <w:rPr>
                <w:sz w:val="20"/>
                <w:szCs w:val="20"/>
              </w:rPr>
              <w:t>21,9 bilhões</w:t>
            </w:r>
          </w:p>
        </w:tc>
        <w:tc>
          <w:tcPr>
            <w:cnfStyle w:val="000000000000" w:firstRow="0" w:lastRow="0" w:firstColumn="0" w:lastColumn="0" w:oddVBand="0" w:evenVBand="0" w:oddHBand="0" w:evenHBand="0" w:firstRowFirstColumn="0" w:firstRowLastColumn="0" w:lastRowFirstColumn="0" w:lastRowLastColumn="0"/>
            <w:tcW w:w="1260" w:type="dxa"/>
            <w:tcMar/>
            <w:vAlign w:val="center"/>
          </w:tcPr>
          <w:p w:rsidR="46B80AED" w:rsidP="46B80AED" w:rsidRDefault="46B80AED" w14:paraId="1DCF8924" w14:textId="241472D0">
            <w:pPr>
              <w:spacing w:before="0" w:beforeAutospacing="off" w:after="0" w:afterAutospacing="off"/>
              <w:jc w:val="left"/>
              <w:rPr>
                <w:sz w:val="18"/>
                <w:szCs w:val="18"/>
              </w:rPr>
            </w:pPr>
            <w:r w:rsidRPr="46B80AED" w:rsidR="46B80AED">
              <w:rPr>
                <w:sz w:val="20"/>
                <w:szCs w:val="20"/>
              </w:rPr>
              <w:t>+ 25%</w:t>
            </w:r>
          </w:p>
        </w:tc>
        <w:tc>
          <w:tcPr>
            <w:cnfStyle w:val="000000000000" w:firstRow="0" w:lastRow="0" w:firstColumn="0" w:lastColumn="0" w:oddVBand="0" w:evenVBand="0" w:oddHBand="0" w:evenHBand="0" w:firstRowFirstColumn="0" w:firstRowLastColumn="0" w:lastRowFirstColumn="0" w:lastRowLastColumn="0"/>
            <w:tcW w:w="1875" w:type="dxa"/>
            <w:tcMar/>
            <w:vAlign w:val="center"/>
          </w:tcPr>
          <w:p w:rsidR="46B80AED" w:rsidP="46B80AED" w:rsidRDefault="46B80AED" w14:paraId="07FD4C44" w14:textId="67916E53">
            <w:pPr>
              <w:spacing w:before="0" w:beforeAutospacing="off" w:after="0" w:afterAutospacing="off"/>
              <w:jc w:val="left"/>
              <w:rPr>
                <w:sz w:val="18"/>
                <w:szCs w:val="18"/>
              </w:rPr>
            </w:pPr>
            <w:r w:rsidRPr="46B80AED" w:rsidR="46B80AED">
              <w:rPr>
                <w:sz w:val="20"/>
                <w:szCs w:val="20"/>
              </w:rPr>
              <w:t>10 milhões</w:t>
            </w:r>
          </w:p>
        </w:tc>
        <w:tc>
          <w:tcPr>
            <w:cnfStyle w:val="000000000000" w:firstRow="0" w:lastRow="0" w:firstColumn="0" w:lastColumn="0" w:oddVBand="0" w:evenVBand="0" w:oddHBand="0" w:evenHBand="0" w:firstRowFirstColumn="0" w:firstRowLastColumn="0" w:lastRowFirstColumn="0" w:lastRowLastColumn="0"/>
            <w:tcW w:w="1785" w:type="dxa"/>
            <w:tcMar/>
            <w:vAlign w:val="center"/>
          </w:tcPr>
          <w:p w:rsidR="46B80AED" w:rsidP="46B80AED" w:rsidRDefault="46B80AED" w14:paraId="035D03C4" w14:textId="0E955B8B">
            <w:pPr>
              <w:spacing w:before="0" w:beforeAutospacing="off" w:after="0" w:afterAutospacing="off"/>
              <w:jc w:val="left"/>
              <w:rPr>
                <w:sz w:val="18"/>
                <w:szCs w:val="18"/>
              </w:rPr>
            </w:pPr>
            <w:r w:rsidRPr="46B80AED" w:rsidR="46B80AED">
              <w:rPr>
                <w:sz w:val="20"/>
                <w:szCs w:val="20"/>
              </w:rPr>
              <w:t>1,2% (Em recuperação)</w:t>
            </w:r>
          </w:p>
        </w:tc>
      </w:tr>
      <w:tr w:rsidR="46B80AED" w:rsidTr="46B80AED" w14:paraId="3F777EA1">
        <w:trPr>
          <w:trHeight w:val="300"/>
        </w:trPr>
        <w:tc>
          <w:tcPr>
            <w:cnfStyle w:val="001000000000" w:firstRow="0" w:lastRow="0" w:firstColumn="1" w:lastColumn="0" w:oddVBand="0" w:evenVBand="0" w:oddHBand="0" w:evenHBand="0" w:firstRowFirstColumn="0" w:firstRowLastColumn="0" w:lastRowFirstColumn="0" w:lastRowLastColumn="0"/>
            <w:tcW w:w="2065" w:type="dxa"/>
            <w:tcMar/>
            <w:vAlign w:val="center"/>
          </w:tcPr>
          <w:p w:rsidR="46B80AED" w:rsidP="46B80AED" w:rsidRDefault="46B80AED" w14:paraId="5BC01209" w14:textId="6BCDCB3F">
            <w:pPr>
              <w:spacing w:before="0" w:beforeAutospacing="off" w:after="0" w:afterAutospacing="off"/>
              <w:jc w:val="left"/>
              <w:rPr>
                <w:sz w:val="18"/>
                <w:szCs w:val="18"/>
              </w:rPr>
            </w:pPr>
            <w:r w:rsidRPr="46B80AED" w:rsidR="46B80AED">
              <w:rPr>
                <w:sz w:val="20"/>
                <w:szCs w:val="20"/>
              </w:rPr>
              <w:t>Dropbox</w:t>
            </w:r>
          </w:p>
        </w:tc>
        <w:tc>
          <w:tcPr>
            <w:cnfStyle w:val="000000000000" w:firstRow="0" w:lastRow="0" w:firstColumn="0" w:lastColumn="0" w:oddVBand="0" w:evenVBand="0" w:oddHBand="0" w:evenHBand="0" w:firstRowFirstColumn="0" w:firstRowLastColumn="0" w:lastRowFirstColumn="0" w:lastRowLastColumn="0"/>
            <w:tcW w:w="2065" w:type="dxa"/>
            <w:tcMar/>
            <w:vAlign w:val="center"/>
          </w:tcPr>
          <w:p w:rsidR="46B80AED" w:rsidP="46B80AED" w:rsidRDefault="46B80AED" w14:paraId="2E79F90C" w14:textId="1EF2317F">
            <w:pPr>
              <w:spacing w:before="0" w:beforeAutospacing="off" w:after="0" w:afterAutospacing="off"/>
              <w:jc w:val="left"/>
              <w:rPr>
                <w:sz w:val="18"/>
                <w:szCs w:val="18"/>
              </w:rPr>
            </w:pPr>
            <w:r w:rsidRPr="46B80AED" w:rsidR="46B80AED">
              <w:rPr>
                <w:sz w:val="20"/>
                <w:szCs w:val="20"/>
              </w:rPr>
              <w:t>2,5 bilhões</w:t>
            </w:r>
          </w:p>
        </w:tc>
        <w:tc>
          <w:tcPr>
            <w:cnfStyle w:val="000000000000" w:firstRow="0" w:lastRow="0" w:firstColumn="0" w:lastColumn="0" w:oddVBand="0" w:evenVBand="0" w:oddHBand="0" w:evenHBand="0" w:firstRowFirstColumn="0" w:firstRowLastColumn="0" w:lastRowFirstColumn="0" w:lastRowLastColumn="0"/>
            <w:tcW w:w="1260" w:type="dxa"/>
            <w:tcMar/>
            <w:vAlign w:val="center"/>
          </w:tcPr>
          <w:p w:rsidR="46B80AED" w:rsidP="46B80AED" w:rsidRDefault="46B80AED" w14:paraId="5DA4305F" w14:textId="7FED66B5">
            <w:pPr>
              <w:spacing w:before="0" w:beforeAutospacing="off" w:after="0" w:afterAutospacing="off"/>
              <w:jc w:val="left"/>
              <w:rPr>
                <w:sz w:val="18"/>
                <w:szCs w:val="18"/>
              </w:rPr>
            </w:pPr>
            <w:r w:rsidRPr="46B80AED" w:rsidR="46B80AED">
              <w:rPr>
                <w:sz w:val="20"/>
                <w:szCs w:val="20"/>
              </w:rPr>
              <w:t>+ 7%</w:t>
            </w:r>
          </w:p>
        </w:tc>
        <w:tc>
          <w:tcPr>
            <w:cnfStyle w:val="000000000000" w:firstRow="0" w:lastRow="0" w:firstColumn="0" w:lastColumn="0" w:oddVBand="0" w:evenVBand="0" w:oddHBand="0" w:evenHBand="0" w:firstRowFirstColumn="0" w:firstRowLastColumn="0" w:lastRowFirstColumn="0" w:lastRowLastColumn="0"/>
            <w:tcW w:w="1875" w:type="dxa"/>
            <w:tcMar/>
            <w:vAlign w:val="center"/>
          </w:tcPr>
          <w:p w:rsidR="46B80AED" w:rsidP="46B80AED" w:rsidRDefault="46B80AED" w14:paraId="6F924105" w14:textId="35AAD67D">
            <w:pPr>
              <w:spacing w:before="0" w:beforeAutospacing="off" w:after="0" w:afterAutospacing="off"/>
              <w:jc w:val="left"/>
              <w:rPr>
                <w:sz w:val="18"/>
                <w:szCs w:val="18"/>
              </w:rPr>
            </w:pPr>
            <w:r w:rsidRPr="46B80AED" w:rsidR="46B80AED">
              <w:rPr>
                <w:sz w:val="20"/>
                <w:szCs w:val="20"/>
              </w:rPr>
              <w:t>453 milhões</w:t>
            </w:r>
          </w:p>
        </w:tc>
        <w:tc>
          <w:tcPr>
            <w:cnfStyle w:val="000000000000" w:firstRow="0" w:lastRow="0" w:firstColumn="0" w:lastColumn="0" w:oddVBand="0" w:evenVBand="0" w:oddHBand="0" w:evenHBand="0" w:firstRowFirstColumn="0" w:firstRowLastColumn="0" w:lastRowFirstColumn="0" w:lastRowLastColumn="0"/>
            <w:tcW w:w="1785" w:type="dxa"/>
            <w:tcMar/>
            <w:vAlign w:val="center"/>
          </w:tcPr>
          <w:p w:rsidR="46B80AED" w:rsidP="46B80AED" w:rsidRDefault="46B80AED" w14:paraId="6AA884D0" w14:textId="16E832E5">
            <w:pPr>
              <w:spacing w:before="0" w:beforeAutospacing="off" w:after="0" w:afterAutospacing="off"/>
              <w:jc w:val="left"/>
              <w:rPr>
                <w:sz w:val="18"/>
                <w:szCs w:val="18"/>
              </w:rPr>
            </w:pPr>
            <w:r w:rsidRPr="46B80AED" w:rsidR="46B80AED">
              <w:rPr>
                <w:sz w:val="20"/>
                <w:szCs w:val="20"/>
              </w:rPr>
              <w:t>18,5%</w:t>
            </w:r>
          </w:p>
        </w:tc>
      </w:tr>
      <w:tr w:rsidR="46B80AED" w:rsidTr="46B80AED" w14:paraId="7FE55AEC">
        <w:trPr>
          <w:trHeight w:val="300"/>
        </w:trPr>
        <w:tc>
          <w:tcPr>
            <w:cnfStyle w:val="001000000000" w:firstRow="0" w:lastRow="0" w:firstColumn="1" w:lastColumn="0" w:oddVBand="0" w:evenVBand="0" w:oddHBand="0" w:evenHBand="0" w:firstRowFirstColumn="0" w:firstRowLastColumn="0" w:lastRowFirstColumn="0" w:lastRowLastColumn="0"/>
            <w:tcW w:w="2065" w:type="dxa"/>
            <w:tcMar/>
            <w:vAlign w:val="center"/>
          </w:tcPr>
          <w:p w:rsidR="46B80AED" w:rsidP="46B80AED" w:rsidRDefault="46B80AED" w14:paraId="0398DE89" w14:textId="66046F30">
            <w:pPr>
              <w:spacing w:before="0" w:beforeAutospacing="off" w:after="0" w:afterAutospacing="off"/>
              <w:jc w:val="left"/>
              <w:rPr>
                <w:sz w:val="18"/>
                <w:szCs w:val="18"/>
              </w:rPr>
            </w:pPr>
            <w:r w:rsidRPr="46B80AED" w:rsidR="46B80AED">
              <w:rPr>
                <w:sz w:val="20"/>
                <w:szCs w:val="20"/>
              </w:rPr>
              <w:t>IBM</w:t>
            </w:r>
          </w:p>
        </w:tc>
        <w:tc>
          <w:tcPr>
            <w:cnfStyle w:val="000000000000" w:firstRow="0" w:lastRow="0" w:firstColumn="0" w:lastColumn="0" w:oddVBand="0" w:evenVBand="0" w:oddHBand="0" w:evenHBand="0" w:firstRowFirstColumn="0" w:firstRowLastColumn="0" w:lastRowFirstColumn="0" w:lastRowLastColumn="0"/>
            <w:tcW w:w="2065" w:type="dxa"/>
            <w:tcMar/>
            <w:vAlign w:val="center"/>
          </w:tcPr>
          <w:p w:rsidR="46B80AED" w:rsidP="46B80AED" w:rsidRDefault="46B80AED" w14:paraId="7F1C339B" w14:textId="7F3B711E">
            <w:pPr>
              <w:spacing w:before="0" w:beforeAutospacing="off" w:after="0" w:afterAutospacing="off"/>
              <w:jc w:val="left"/>
              <w:rPr>
                <w:sz w:val="18"/>
                <w:szCs w:val="18"/>
              </w:rPr>
            </w:pPr>
            <w:r w:rsidRPr="46B80AED" w:rsidR="46B80AED">
              <w:rPr>
                <w:sz w:val="20"/>
                <w:szCs w:val="20"/>
              </w:rPr>
              <w:t>61,8 bilhões</w:t>
            </w:r>
          </w:p>
        </w:tc>
        <w:tc>
          <w:tcPr>
            <w:cnfStyle w:val="000000000000" w:firstRow="0" w:lastRow="0" w:firstColumn="0" w:lastColumn="0" w:oddVBand="0" w:evenVBand="0" w:oddHBand="0" w:evenHBand="0" w:firstRowFirstColumn="0" w:firstRowLastColumn="0" w:lastRowFirstColumn="0" w:lastRowLastColumn="0"/>
            <w:tcW w:w="1260" w:type="dxa"/>
            <w:tcMar/>
            <w:vAlign w:val="center"/>
          </w:tcPr>
          <w:p w:rsidR="46B80AED" w:rsidP="46B80AED" w:rsidRDefault="46B80AED" w14:paraId="152AAC83" w14:textId="6D26A79E">
            <w:pPr>
              <w:spacing w:before="0" w:beforeAutospacing="off" w:after="0" w:afterAutospacing="off"/>
              <w:jc w:val="left"/>
              <w:rPr>
                <w:sz w:val="18"/>
                <w:szCs w:val="18"/>
              </w:rPr>
            </w:pPr>
            <w:r w:rsidRPr="46B80AED" w:rsidR="46B80AED">
              <w:rPr>
                <w:sz w:val="20"/>
                <w:szCs w:val="20"/>
              </w:rPr>
              <w:t>+ 2%</w:t>
            </w:r>
          </w:p>
        </w:tc>
        <w:tc>
          <w:tcPr>
            <w:cnfStyle w:val="000000000000" w:firstRow="0" w:lastRow="0" w:firstColumn="0" w:lastColumn="0" w:oddVBand="0" w:evenVBand="0" w:oddHBand="0" w:evenHBand="0" w:firstRowFirstColumn="0" w:firstRowLastColumn="0" w:lastRowFirstColumn="0" w:lastRowLastColumn="0"/>
            <w:tcW w:w="1875" w:type="dxa"/>
            <w:tcMar/>
            <w:vAlign w:val="center"/>
          </w:tcPr>
          <w:p w:rsidR="46B80AED" w:rsidP="46B80AED" w:rsidRDefault="46B80AED" w14:paraId="55B9897C" w14:textId="0E5AC11B">
            <w:pPr>
              <w:spacing w:before="0" w:beforeAutospacing="off" w:after="0" w:afterAutospacing="off"/>
              <w:jc w:val="left"/>
              <w:rPr>
                <w:sz w:val="18"/>
                <w:szCs w:val="18"/>
              </w:rPr>
            </w:pPr>
            <w:r w:rsidRPr="46B80AED" w:rsidR="46B80AED">
              <w:rPr>
                <w:sz w:val="20"/>
                <w:szCs w:val="20"/>
              </w:rPr>
              <w:t>7,5 bilhões</w:t>
            </w:r>
          </w:p>
        </w:tc>
        <w:tc>
          <w:tcPr>
            <w:cnfStyle w:val="000000000000" w:firstRow="0" w:lastRow="0" w:firstColumn="0" w:lastColumn="0" w:oddVBand="0" w:evenVBand="0" w:oddHBand="0" w:evenHBand="0" w:firstRowFirstColumn="0" w:firstRowLastColumn="0" w:lastRowFirstColumn="0" w:lastRowLastColumn="0"/>
            <w:tcW w:w="1785" w:type="dxa"/>
            <w:tcMar/>
            <w:vAlign w:val="center"/>
          </w:tcPr>
          <w:p w:rsidR="46B80AED" w:rsidP="46B80AED" w:rsidRDefault="46B80AED" w14:paraId="58974589" w14:textId="0A16C7DB">
            <w:pPr>
              <w:spacing w:before="0" w:beforeAutospacing="off" w:after="0" w:afterAutospacing="off"/>
              <w:jc w:val="left"/>
              <w:rPr>
                <w:sz w:val="18"/>
                <w:szCs w:val="18"/>
              </w:rPr>
            </w:pPr>
            <w:r w:rsidRPr="46B80AED" w:rsidR="46B80AED">
              <w:rPr>
                <w:sz w:val="20"/>
                <w:szCs w:val="20"/>
              </w:rPr>
              <w:t>14,8%</w:t>
            </w:r>
          </w:p>
        </w:tc>
      </w:tr>
    </w:tbl>
    <w:p w:rsidR="26D5C90A" w:rsidP="46B80AED" w:rsidRDefault="26D5C90A" w14:paraId="356A8515" w14:textId="7728E099">
      <w:pPr>
        <w:pStyle w:val="Normal"/>
        <w:spacing w:before="0" w:beforeAutospacing="off" w:after="120" w:afterAutospacing="off" w:line="240" w:lineRule="auto"/>
        <w:ind w:firstLine="0"/>
        <w:jc w:val="both"/>
        <w:rPr>
          <w:sz w:val="18"/>
          <w:szCs w:val="18"/>
        </w:rPr>
      </w:pPr>
      <w:r w:rsidRPr="46B80AED" w:rsidR="26D5C90A">
        <w:rPr>
          <w:rFonts w:ascii="Times New Roman" w:hAnsi="Times New Roman"/>
          <w:sz w:val="24"/>
          <w:szCs w:val="20"/>
        </w:rPr>
        <w:t xml:space="preserve">Nota. Dados extraídos dos formulários 10-K protocolados na SEC, referentes ao ano fiscal correspondente à respectiva declaração de redução funcional. Fonte: Elaborada pelo autor (2026).  </w:t>
      </w:r>
    </w:p>
    <w:p w:rsidR="185DE5E9" w:rsidP="46B80AED" w:rsidRDefault="185DE5E9" w14:paraId="0F71143F" w14:textId="4CB99D3A">
      <w:pPr>
        <w:pStyle w:val="Normal"/>
        <w:spacing w:before="0" w:beforeAutospacing="off" w:after="120" w:afterAutospacing="off" w:line="240" w:lineRule="auto"/>
        <w:ind w:firstLine="0"/>
        <w:jc w:val="both"/>
      </w:pPr>
      <w:r w:rsidR="185DE5E9">
        <w:rPr>
          <w:rFonts w:ascii="Times New Roman" w:hAnsi="Times New Roman"/>
          <w:sz w:val="24"/>
        </w:rPr>
        <w:t xml:space="preserve">Os resultados quantitativos demonstram a inexistência de vulnerabilidade financeira imediata nas organizações investigadas. Com efeito, todas as corporações apresentaram fluxos de receita superiores à marca de bilhões de dólares, acompanhados de lucro líquido positivo e de margens operacionais sustentáveis. À luz desses números, a pressão imposta por investidores institucionais por otimização de rentabilidade de curto prazo emerge como variável explicativa robusta (Kaplan &amp; </w:t>
      </w:r>
      <w:r w:rsidR="185DE5E9">
        <w:rPr>
          <w:rFonts w:ascii="Times New Roman" w:hAnsi="Times New Roman"/>
          <w:sz w:val="24"/>
        </w:rPr>
        <w:t>Minton</w:t>
      </w:r>
      <w:r w:rsidR="185DE5E9">
        <w:rPr>
          <w:rFonts w:ascii="Times New Roman" w:hAnsi="Times New Roman"/>
          <w:sz w:val="24"/>
        </w:rPr>
        <w:t xml:space="preserve">, 2012). Portanto, as decisões de desligamento parecem responder primariamente à necessidade gerencial de maximização do </w:t>
      </w:r>
      <w:r w:rsidR="185DE5E9">
        <w:rPr>
          <w:rFonts w:ascii="Times New Roman" w:hAnsi="Times New Roman"/>
          <w:sz w:val="24"/>
        </w:rPr>
        <w:t>free</w:t>
      </w:r>
      <w:r w:rsidR="185DE5E9">
        <w:rPr>
          <w:rFonts w:ascii="Times New Roman" w:hAnsi="Times New Roman"/>
          <w:sz w:val="24"/>
        </w:rPr>
        <w:t xml:space="preserve"> cash </w:t>
      </w:r>
      <w:r w:rsidR="185DE5E9">
        <w:rPr>
          <w:rFonts w:ascii="Times New Roman" w:hAnsi="Times New Roman"/>
          <w:sz w:val="24"/>
        </w:rPr>
        <w:t>flow</w:t>
      </w:r>
      <w:r w:rsidR="185DE5E9">
        <w:rPr>
          <w:rFonts w:ascii="Times New Roman" w:hAnsi="Times New Roman"/>
          <w:sz w:val="24"/>
        </w:rPr>
        <w:t xml:space="preserve"> (fluxo de caixa livre), utilizando a narrativa tecnológica como instrumento de aceitação pública (Jensen, 1986).</w:t>
      </w:r>
    </w:p>
    <w:p w:rsidR="185DE5E9" w:rsidP="46B80AED" w:rsidRDefault="185DE5E9" w14:paraId="3481F23B" w14:textId="25C7CA61">
      <w:pPr>
        <w:pStyle w:val="Normal"/>
        <w:spacing w:before="0" w:beforeAutospacing="off" w:after="120" w:afterAutospacing="off" w:line="240" w:lineRule="auto"/>
        <w:ind w:firstLine="0"/>
        <w:jc w:val="both"/>
      </w:pPr>
      <w:r w:rsidR="185DE5E9">
        <w:rPr>
          <w:rFonts w:ascii="Times New Roman" w:hAnsi="Times New Roman"/>
          <w:sz w:val="24"/>
        </w:rPr>
        <w:t>Para ilustrar a relação entre a manutenção das receitas e o volume de demissões, a Figura 1 consolida a proporção de cortes funcionais face ao faturamento documentado.</w:t>
      </w:r>
    </w:p>
    <w:p w:rsidR="284A3AF5" w:rsidP="46B80AED" w:rsidRDefault="284A3AF5" w14:paraId="58FAE75D" w14:textId="6CFD2476">
      <w:pPr>
        <w:pStyle w:val="Normal"/>
        <w:spacing w:before="0" w:beforeAutospacing="off" w:after="120" w:afterAutospacing="off" w:line="240" w:lineRule="auto"/>
        <w:ind w:firstLine="0"/>
        <w:jc w:val="both"/>
        <w:rPr>
          <w:b w:val="1"/>
          <w:bCs w:val="1"/>
          <w:sz w:val="20"/>
          <w:szCs w:val="20"/>
        </w:rPr>
      </w:pPr>
      <w:r w:rsidRPr="46B80AED" w:rsidR="284A3AF5">
        <w:rPr>
          <w:rFonts w:ascii="Times New Roman" w:hAnsi="Times New Roman"/>
          <w:b w:val="1"/>
          <w:bCs w:val="1"/>
          <w:sz w:val="24"/>
          <w:szCs w:val="20"/>
        </w:rPr>
        <w:t xml:space="preserve">Figura 1 </w:t>
      </w:r>
    </w:p>
    <w:p w:rsidR="284A3AF5" w:rsidP="46B80AED" w:rsidRDefault="284A3AF5" w14:paraId="0E7FE545" w14:textId="231B6962">
      <w:pPr>
        <w:pStyle w:val="Normal"/>
        <w:spacing w:before="0" w:beforeAutospacing="off" w:after="120" w:afterAutospacing="off" w:line="240" w:lineRule="auto"/>
        <w:ind w:firstLine="0"/>
        <w:jc w:val="both"/>
        <w:rPr>
          <w:i w:val="1"/>
          <w:iCs w:val="1"/>
          <w:sz w:val="20"/>
          <w:szCs w:val="20"/>
        </w:rPr>
      </w:pPr>
      <w:r w:rsidRPr="46B80AED" w:rsidR="284A3AF5">
        <w:rPr>
          <w:rFonts w:ascii="Times New Roman" w:hAnsi="Times New Roman"/>
          <w:i w:val="1"/>
          <w:iCs w:val="1"/>
          <w:sz w:val="24"/>
          <w:szCs w:val="20"/>
        </w:rPr>
        <w:t>Relação Percentual entre Redução Funcional e Faturamento Corporativo</w:t>
      </w:r>
    </w:p>
    <w:p xmlns:a="http://schemas.openxmlformats.org/drawingml/2006/main" w:rsidR="464375D5" w:rsidP="46B80AED" w:rsidRDefault="464375D5" w14:paraId="73792FBB" w14:textId="25A7F903">
      <w:pPr>
        <w:pStyle w:val="Normal"/>
        <w:spacing w:before="0" w:beforeAutospacing="off" w:after="120" w:afterAutospacing="off" w:line="240" w:lineRule="auto"/>
        <w:ind w:firstLine="0"/>
        <w:jc w:val="both"/>
        <w:rPr>
          <w:sz w:val="20"/>
          <w:szCs w:val="20"/>
        </w:rPr>
      </w:pPr>
      <w:r w:rsidR="464375D5">
        <w:rPr>
          <w:rFonts w:ascii="Times New Roman" w:hAnsi="Times New Roman"/>
          <w:sz w:val="24"/>
        </w:rPr>
        <w:drawing>
          <wp:inline wp14:editId="206F7498" wp14:anchorId="0929772C">
            <wp:extent cx="5695950" cy="2841688"/>
            <wp:effectExtent l="0" t="0" r="0" b="0"/>
            <wp:docPr id="1351827772" name="drawing"/>
            <wp:cNvGraphicFramePr>
              <a:graphicFrameLocks noChangeAspect="1"/>
            </wp:cNvGraphicFramePr>
            <a:graphic>
              <a:graphicData uri="http://schemas.openxmlformats.org/drawingml/2006/picture">
                <pic:pic xmlns:pic="http://schemas.openxmlformats.org/drawingml/2006/picture">
                  <pic:nvPicPr>
                    <pic:cNvPr id="1351827772" name="Picture 1351827772"/>
                    <pic:cNvPicPr/>
                  </pic:nvPicPr>
                  <pic:blipFill>
                    <a:blip r:embed="rId237153221">
                      <a:extLst>
                        <a:ext uri="{28A0092B-C50C-407E-A947-70E740481C1C}">
                          <a14:useLocalDpi xmlns:a14="http://schemas.microsoft.com/office/drawing/2010/main"/>
                        </a:ext>
                      </a:extLst>
                    </a:blip>
                    <a:stretch>
                      <a:fillRect/>
                    </a:stretch>
                  </pic:blipFill>
                  <pic:spPr>
                    <a:xfrm rot="0">
                      <a:off x="0" y="0"/>
                      <a:ext cx="5695950" cy="2841688"/>
                    </a:xfrm>
                    <a:prstGeom prst="rect">
                      <a:avLst/>
                    </a:prstGeom>
                  </pic:spPr>
                </pic:pic>
              </a:graphicData>
            </a:graphic>
          </wp:inline>
        </w:drawing>
      </w:r>
      <w:r w:rsidRPr="46B80AED" w:rsidR="185DE5E9">
        <w:rPr>
          <w:rFonts w:ascii="Times New Roman" w:hAnsi="Times New Roman"/>
          <w:sz w:val="24"/>
          <w:szCs w:val="20"/>
        </w:rPr>
        <w:t>Fonte: Elaborada pelo autor (2026).</w:t>
      </w:r>
    </w:p>
    <w:p w:rsidR="185DE5E9" w:rsidP="46B80AED" w:rsidRDefault="185DE5E9" w14:paraId="35CBDAE5" w14:textId="00CC9157">
      <w:pPr>
        <w:pStyle w:val="Normal"/>
        <w:spacing w:before="0" w:beforeAutospacing="off" w:after="120" w:afterAutospacing="off" w:line="240" w:lineRule="auto"/>
        <w:ind w:firstLine="0"/>
        <w:jc w:val="both"/>
      </w:pPr>
      <w:r w:rsidR="185DE5E9">
        <w:rPr>
          <w:rFonts w:ascii="Times New Roman" w:hAnsi="Times New Roman"/>
          <w:sz w:val="24"/>
        </w:rPr>
        <w:t>A visualização gráfica reforça a constatação de que as reestruturações não guardam relação de causalidade com retrações de faturamento. Paralelamente a esse cenário de solidez contábil, a análise histórica da alocação de recursos humanos revelou desvios de planejamento estratégico em períodos antecedentes.</w:t>
      </w:r>
    </w:p>
    <w:p w:rsidR="185DE5E9" w:rsidP="46B80AED" w:rsidRDefault="185DE5E9" w14:paraId="7523BE41" w14:textId="52BAAC80">
      <w:pPr>
        <w:pStyle w:val="Normal"/>
        <w:spacing w:before="0" w:beforeAutospacing="off" w:after="120" w:afterAutospacing="off" w:line="240" w:lineRule="auto"/>
        <w:ind w:firstLine="0"/>
        <w:jc w:val="both"/>
        <w:rPr>
          <w:b w:val="1"/>
          <w:bCs w:val="1"/>
        </w:rPr>
      </w:pPr>
      <w:r w:rsidRPr="46B80AED" w:rsidR="185DE5E9">
        <w:rPr>
          <w:rFonts w:ascii="Times New Roman" w:hAnsi="Times New Roman"/>
          <w:b w:val="1"/>
          <w:bCs w:val="1"/>
          <w:sz w:val="24"/>
        </w:rPr>
        <w:t xml:space="preserve">4.3 Sobrecontratação Pandêmica e Alocação de Recursos </w:t>
      </w:r>
    </w:p>
    <w:p w:rsidR="185DE5E9" w:rsidP="46B80AED" w:rsidRDefault="185DE5E9" w14:paraId="1C720EB2" w14:textId="625FAEB8">
      <w:pPr>
        <w:pStyle w:val="Normal"/>
        <w:spacing w:before="0" w:beforeAutospacing="off" w:after="120" w:afterAutospacing="off" w:line="240" w:lineRule="auto"/>
        <w:ind w:firstLine="0"/>
        <w:jc w:val="both"/>
      </w:pPr>
      <w:r w:rsidR="185DE5E9">
        <w:rPr>
          <w:rFonts w:ascii="Times New Roman" w:hAnsi="Times New Roman"/>
          <w:sz w:val="24"/>
        </w:rPr>
        <w:t xml:space="preserve">A avaliação do fluxo de contratações evidenciou a ocorrência de expansões desproporcionais entre os anos de 2020 e 2022. Nesse contexto, a Tabela 3 sumariza a evolução do quadro de colaboradores, referenciado pelo termo </w:t>
      </w:r>
      <w:r w:rsidR="185DE5E9">
        <w:rPr>
          <w:rFonts w:ascii="Times New Roman" w:hAnsi="Times New Roman"/>
          <w:sz w:val="24"/>
        </w:rPr>
        <w:t>headcount</w:t>
      </w:r>
      <w:r w:rsidR="185DE5E9">
        <w:rPr>
          <w:rFonts w:ascii="Times New Roman" w:hAnsi="Times New Roman"/>
          <w:sz w:val="24"/>
        </w:rPr>
        <w:t>.</w:t>
      </w:r>
    </w:p>
    <w:p w:rsidR="7F2F182A" w:rsidP="46B80AED" w:rsidRDefault="7F2F182A" w14:paraId="04E2FBA0" w14:textId="55FE49D1">
      <w:pPr>
        <w:spacing w:before="0" w:beforeAutospacing="off" w:after="120" w:afterAutospacing="off" w:line="240" w:lineRule="auto"/>
        <w:ind w:firstLine="0"/>
        <w:jc w:val="both"/>
      </w:pPr>
      <w:r w:rsidRPr="46B80AED" w:rsidR="7F2F182A">
        <w:rPr>
          <w:rFonts w:ascii="Times New Roman" w:hAnsi="Times New Roman" w:eastAsia="Times New Roman" w:cs="Times New Roman"/>
          <w:b w:val="1"/>
          <w:bCs w:val="1"/>
          <w:noProof w:val="0"/>
          <w:sz w:val="24"/>
          <w:szCs w:val="24"/>
          <w:lang w:val="pt-BR"/>
        </w:rPr>
        <w:t>Tabela 3</w:t>
      </w:r>
    </w:p>
    <w:p w:rsidR="7F2F182A" w:rsidP="46B80AED" w:rsidRDefault="7F2F182A" w14:paraId="2A9539EB" w14:textId="003B7BD3">
      <w:pPr>
        <w:spacing w:before="0" w:beforeAutospacing="off" w:after="120" w:afterAutospacing="off" w:line="240" w:lineRule="auto"/>
        <w:ind w:firstLine="0"/>
        <w:jc w:val="both"/>
      </w:pPr>
      <w:r w:rsidRPr="46B80AED" w:rsidR="7F2F182A">
        <w:rPr>
          <w:rFonts w:ascii="Times New Roman" w:hAnsi="Times New Roman" w:eastAsia="Times New Roman" w:cs="Times New Roman"/>
          <w:i w:val="1"/>
          <w:iCs w:val="1"/>
          <w:noProof w:val="0"/>
          <w:sz w:val="24"/>
          <w:szCs w:val="24"/>
          <w:lang w:val="pt-BR"/>
        </w:rPr>
        <w:t>Evolução Histórica do Quadro Funcional (2019 a 2025)</w:t>
      </w:r>
    </w:p>
    <w:tbl>
      <w:tblPr>
        <w:tblStyle w:val="PlainTable2"/>
        <w:bidiVisual w:val="0"/>
        <w:tblW w:w="0" w:type="auto"/>
        <w:jc w:val="center"/>
        <w:tblLook w:val="06A0" w:firstRow="1" w:lastRow="0" w:firstColumn="1" w:lastColumn="0" w:noHBand="1" w:noVBand="1"/>
      </w:tblPr>
      <w:tblGrid>
        <w:gridCol w:w="1701"/>
        <w:gridCol w:w="1701"/>
        <w:gridCol w:w="1701"/>
        <w:gridCol w:w="1701"/>
        <w:gridCol w:w="1125"/>
        <w:gridCol w:w="1245"/>
      </w:tblGrid>
      <w:tr w:rsidR="46B80AED" w:rsidTr="46B80AED" w14:paraId="7C66D7B2">
        <w:trPr>
          <w:trHeight w:val="480"/>
        </w:trPr>
        <w:tc>
          <w:tcPr>
            <w:cnfStyle w:val="001000000000" w:firstRow="0" w:lastRow="0" w:firstColumn="1" w:lastColumn="0" w:oddVBand="0" w:evenVBand="0" w:oddHBand="0" w:evenHBand="0" w:firstRowFirstColumn="0" w:firstRowLastColumn="0" w:lastRowFirstColumn="0" w:lastRowLastColumn="0"/>
            <w:tcW w:w="1701" w:type="dxa"/>
            <w:tcMar/>
          </w:tcPr>
          <w:p w:rsidR="46B80AED" w:rsidP="46B80AED" w:rsidRDefault="46B80AED" w14:paraId="10535F33" w14:textId="6A9C3A8D">
            <w:pPr>
              <w:spacing w:before="0" w:beforeAutospacing="off" w:after="0" w:afterAutospacing="off" w:line="240" w:lineRule="auto"/>
              <w:rPr>
                <w:b w:val="1"/>
                <w:bCs w:val="1"/>
                <w:sz w:val="20"/>
                <w:szCs w:val="20"/>
              </w:rPr>
            </w:pPr>
            <w:r w:rsidRPr="46B80AED" w:rsidR="46B80AED">
              <w:rPr>
                <w:b w:val="1"/>
                <w:bCs w:val="1"/>
                <w:sz w:val="20"/>
                <w:szCs w:val="20"/>
              </w:rPr>
              <w:t>Empresa</w:t>
            </w:r>
          </w:p>
        </w:tc>
        <w:tc>
          <w:tcPr>
            <w:cnfStyle w:val="000000000000" w:firstRow="0" w:lastRow="0" w:firstColumn="0" w:lastColumn="0" w:oddVBand="0" w:evenVBand="0" w:oddHBand="0" w:evenHBand="0" w:firstRowFirstColumn="0" w:firstRowLastColumn="0" w:lastRowFirstColumn="0" w:lastRowLastColumn="0"/>
            <w:tcW w:w="1701" w:type="dxa"/>
            <w:tcMar/>
          </w:tcPr>
          <w:p w:rsidR="46B80AED" w:rsidP="46B80AED" w:rsidRDefault="46B80AED" w14:paraId="475E8EE1" w14:textId="2D7D20AF">
            <w:pPr>
              <w:spacing w:before="0" w:beforeAutospacing="off" w:after="0" w:afterAutospacing="off" w:line="240" w:lineRule="auto"/>
              <w:rPr>
                <w:b w:val="1"/>
                <w:bCs w:val="1"/>
                <w:sz w:val="20"/>
                <w:szCs w:val="20"/>
              </w:rPr>
            </w:pPr>
            <w:r w:rsidRPr="46B80AED" w:rsidR="46B80AED">
              <w:rPr>
                <w:b w:val="1"/>
                <w:bCs w:val="1"/>
                <w:sz w:val="20"/>
                <w:szCs w:val="20"/>
              </w:rPr>
              <w:t>Pré</w:t>
            </w:r>
            <w:r w:rsidRPr="46B80AED" w:rsidR="46B80AED">
              <w:rPr>
                <w:b w:val="1"/>
                <w:bCs w:val="1"/>
                <w:sz w:val="20"/>
                <w:szCs w:val="20"/>
              </w:rPr>
              <w:t>-pandemia (2019)</w:t>
            </w:r>
          </w:p>
        </w:tc>
        <w:tc>
          <w:tcPr>
            <w:cnfStyle w:val="000000000000" w:firstRow="0" w:lastRow="0" w:firstColumn="0" w:lastColumn="0" w:oddVBand="0" w:evenVBand="0" w:oddHBand="0" w:evenHBand="0" w:firstRowFirstColumn="0" w:firstRowLastColumn="0" w:lastRowFirstColumn="0" w:lastRowLastColumn="0"/>
            <w:tcW w:w="1701" w:type="dxa"/>
            <w:tcMar/>
          </w:tcPr>
          <w:p w:rsidR="46B80AED" w:rsidP="46B80AED" w:rsidRDefault="46B80AED" w14:paraId="28D09349" w14:textId="528EA372">
            <w:pPr>
              <w:spacing w:before="0" w:beforeAutospacing="off" w:after="0" w:afterAutospacing="off" w:line="240" w:lineRule="auto"/>
              <w:rPr>
                <w:b w:val="1"/>
                <w:bCs w:val="1"/>
                <w:sz w:val="20"/>
                <w:szCs w:val="20"/>
              </w:rPr>
            </w:pPr>
            <w:r w:rsidRPr="46B80AED" w:rsidR="46B80AED">
              <w:rPr>
                <w:b w:val="1"/>
                <w:bCs w:val="1"/>
                <w:sz w:val="20"/>
                <w:szCs w:val="20"/>
              </w:rPr>
              <w:t>Pico Pandêmico</w:t>
            </w:r>
          </w:p>
        </w:tc>
        <w:tc>
          <w:tcPr>
            <w:cnfStyle w:val="000000000000" w:firstRow="0" w:lastRow="0" w:firstColumn="0" w:lastColumn="0" w:oddVBand="0" w:evenVBand="0" w:oddHBand="0" w:evenHBand="0" w:firstRowFirstColumn="0" w:firstRowLastColumn="0" w:lastRowFirstColumn="0" w:lastRowLastColumn="0"/>
            <w:tcW w:w="1701" w:type="dxa"/>
            <w:tcMar/>
          </w:tcPr>
          <w:p w:rsidR="46B80AED" w:rsidP="46B80AED" w:rsidRDefault="46B80AED" w14:paraId="0F34A9D6" w14:textId="6B91579B">
            <w:pPr>
              <w:spacing w:before="0" w:beforeAutospacing="off" w:after="0" w:afterAutospacing="off" w:line="240" w:lineRule="auto"/>
              <w:rPr>
                <w:b w:val="1"/>
                <w:bCs w:val="1"/>
                <w:sz w:val="20"/>
                <w:szCs w:val="20"/>
              </w:rPr>
            </w:pPr>
            <w:r w:rsidRPr="46B80AED" w:rsidR="46B80AED">
              <w:rPr>
                <w:b w:val="1"/>
                <w:bCs w:val="1"/>
                <w:sz w:val="20"/>
                <w:szCs w:val="20"/>
              </w:rPr>
              <w:t>Variação ao Pico</w:t>
            </w:r>
          </w:p>
        </w:tc>
        <w:tc>
          <w:tcPr>
            <w:cnfStyle w:val="000000000000" w:firstRow="0" w:lastRow="0" w:firstColumn="0" w:lastColumn="0" w:oddVBand="0" w:evenVBand="0" w:oddHBand="0" w:evenHBand="0" w:firstRowFirstColumn="0" w:firstRowLastColumn="0" w:lastRowFirstColumn="0" w:lastRowLastColumn="0"/>
            <w:tcW w:w="1125" w:type="dxa"/>
            <w:tcMar/>
          </w:tcPr>
          <w:p w:rsidR="46B80AED" w:rsidP="46B80AED" w:rsidRDefault="46B80AED" w14:paraId="183613FB" w14:textId="6487BFF5">
            <w:pPr>
              <w:spacing w:before="0" w:beforeAutospacing="off" w:after="0" w:afterAutospacing="off" w:line="240" w:lineRule="auto"/>
              <w:rPr>
                <w:b w:val="1"/>
                <w:bCs w:val="1"/>
                <w:sz w:val="20"/>
                <w:szCs w:val="20"/>
              </w:rPr>
            </w:pPr>
            <w:r w:rsidRPr="46B80AED" w:rsidR="46B80AED">
              <w:rPr>
                <w:b w:val="1"/>
                <w:bCs w:val="1"/>
                <w:sz w:val="20"/>
                <w:szCs w:val="20"/>
              </w:rPr>
              <w:t>Pós-demissões</w:t>
            </w:r>
          </w:p>
        </w:tc>
        <w:tc>
          <w:tcPr>
            <w:cnfStyle w:val="000000000000" w:firstRow="0" w:lastRow="0" w:firstColumn="0" w:lastColumn="0" w:oddVBand="0" w:evenVBand="0" w:oddHBand="0" w:evenHBand="0" w:firstRowFirstColumn="0" w:firstRowLastColumn="0" w:lastRowFirstColumn="0" w:lastRowLastColumn="0"/>
            <w:tcW w:w="1245" w:type="dxa"/>
            <w:tcMar/>
          </w:tcPr>
          <w:p w:rsidR="46B80AED" w:rsidP="46B80AED" w:rsidRDefault="46B80AED" w14:paraId="745A2458" w14:textId="5C98CA38">
            <w:pPr>
              <w:spacing w:before="0" w:beforeAutospacing="off" w:after="0" w:afterAutospacing="off" w:line="240" w:lineRule="auto"/>
              <w:rPr>
                <w:b w:val="1"/>
                <w:bCs w:val="1"/>
                <w:sz w:val="20"/>
                <w:szCs w:val="20"/>
              </w:rPr>
            </w:pPr>
            <w:r w:rsidRPr="46B80AED" w:rsidR="46B80AED">
              <w:rPr>
                <w:b w:val="1"/>
                <w:bCs w:val="1"/>
                <w:sz w:val="20"/>
                <w:szCs w:val="20"/>
              </w:rPr>
              <w:t>Saldo Final (vs. 2019)</w:t>
            </w:r>
          </w:p>
        </w:tc>
      </w:tr>
      <w:tr w:rsidR="46B80AED" w:rsidTr="46B80AED" w14:paraId="60B8BE47">
        <w:trPr>
          <w:trHeight w:val="480"/>
        </w:trPr>
        <w:tc>
          <w:tcPr>
            <w:cnfStyle w:val="001000000000" w:firstRow="0" w:lastRow="0" w:firstColumn="1" w:lastColumn="0" w:oddVBand="0" w:evenVBand="0" w:oddHBand="0" w:evenHBand="0" w:firstRowFirstColumn="0" w:firstRowLastColumn="0" w:lastRowFirstColumn="0" w:lastRowLastColumn="0"/>
            <w:tcW w:w="1701" w:type="dxa"/>
            <w:tcMar/>
          </w:tcPr>
          <w:p w:rsidR="46B80AED" w:rsidP="46B80AED" w:rsidRDefault="46B80AED" w14:paraId="0AC14B7B" w14:textId="73DAABCF">
            <w:pPr>
              <w:spacing w:before="0" w:beforeAutospacing="off" w:after="0" w:afterAutospacing="off"/>
              <w:rPr>
                <w:sz w:val="20"/>
                <w:szCs w:val="20"/>
              </w:rPr>
            </w:pPr>
            <w:r w:rsidRPr="46B80AED" w:rsidR="46B80AED">
              <w:rPr>
                <w:sz w:val="20"/>
                <w:szCs w:val="20"/>
              </w:rPr>
              <w:t>Salesforce</w:t>
            </w:r>
          </w:p>
        </w:tc>
        <w:tc>
          <w:tcPr>
            <w:cnfStyle w:val="000000000000" w:firstRow="0" w:lastRow="0" w:firstColumn="0" w:lastColumn="0" w:oddVBand="0" w:evenVBand="0" w:oddHBand="0" w:evenHBand="0" w:firstRowFirstColumn="0" w:firstRowLastColumn="0" w:lastRowFirstColumn="0" w:lastRowLastColumn="0"/>
            <w:tcW w:w="1701" w:type="dxa"/>
            <w:tcMar/>
          </w:tcPr>
          <w:p w:rsidR="46B80AED" w:rsidP="46B80AED" w:rsidRDefault="46B80AED" w14:paraId="53E40E77" w14:textId="53C93DD6">
            <w:pPr>
              <w:spacing w:before="0" w:beforeAutospacing="off" w:after="0" w:afterAutospacing="off"/>
              <w:rPr>
                <w:sz w:val="20"/>
                <w:szCs w:val="20"/>
              </w:rPr>
            </w:pPr>
            <w:r w:rsidRPr="46B80AED" w:rsidR="46B80AED">
              <w:rPr>
                <w:sz w:val="20"/>
                <w:szCs w:val="20"/>
              </w:rPr>
              <w:t>~54.000</w:t>
            </w:r>
          </w:p>
        </w:tc>
        <w:tc>
          <w:tcPr>
            <w:cnfStyle w:val="000000000000" w:firstRow="0" w:lastRow="0" w:firstColumn="0" w:lastColumn="0" w:oddVBand="0" w:evenVBand="0" w:oddHBand="0" w:evenHBand="0" w:firstRowFirstColumn="0" w:firstRowLastColumn="0" w:lastRowFirstColumn="0" w:lastRowLastColumn="0"/>
            <w:tcW w:w="1701" w:type="dxa"/>
            <w:tcMar/>
          </w:tcPr>
          <w:p w:rsidR="46B80AED" w:rsidP="46B80AED" w:rsidRDefault="46B80AED" w14:paraId="70D76772" w14:textId="73D76189">
            <w:pPr>
              <w:spacing w:before="0" w:beforeAutospacing="off" w:after="0" w:afterAutospacing="off"/>
              <w:rPr>
                <w:sz w:val="20"/>
                <w:szCs w:val="20"/>
              </w:rPr>
            </w:pPr>
            <w:r w:rsidRPr="46B80AED" w:rsidR="46B80AED">
              <w:rPr>
                <w:sz w:val="20"/>
                <w:szCs w:val="20"/>
              </w:rPr>
              <w:t>~79.000</w:t>
            </w:r>
          </w:p>
        </w:tc>
        <w:tc>
          <w:tcPr>
            <w:cnfStyle w:val="000000000000" w:firstRow="0" w:lastRow="0" w:firstColumn="0" w:lastColumn="0" w:oddVBand="0" w:evenVBand="0" w:oddHBand="0" w:evenHBand="0" w:firstRowFirstColumn="0" w:firstRowLastColumn="0" w:lastRowFirstColumn="0" w:lastRowLastColumn="0"/>
            <w:tcW w:w="1701" w:type="dxa"/>
            <w:tcMar/>
          </w:tcPr>
          <w:p w:rsidR="46B80AED" w:rsidP="46B80AED" w:rsidRDefault="46B80AED" w14:paraId="5944F574" w14:textId="266AAE38">
            <w:pPr>
              <w:spacing w:before="0" w:beforeAutospacing="off" w:after="0" w:afterAutospacing="off"/>
              <w:rPr>
                <w:sz w:val="20"/>
                <w:szCs w:val="20"/>
              </w:rPr>
            </w:pPr>
            <w:r w:rsidRPr="46B80AED" w:rsidR="46B80AED">
              <w:rPr>
                <w:sz w:val="20"/>
                <w:szCs w:val="20"/>
              </w:rPr>
              <w:t>+ 46%</w:t>
            </w:r>
          </w:p>
        </w:tc>
        <w:tc>
          <w:tcPr>
            <w:cnfStyle w:val="000000000000" w:firstRow="0" w:lastRow="0" w:firstColumn="0" w:lastColumn="0" w:oddVBand="0" w:evenVBand="0" w:oddHBand="0" w:evenHBand="0" w:firstRowFirstColumn="0" w:firstRowLastColumn="0" w:lastRowFirstColumn="0" w:lastRowLastColumn="0"/>
            <w:tcW w:w="1125" w:type="dxa"/>
            <w:tcMar/>
          </w:tcPr>
          <w:p w:rsidR="46B80AED" w:rsidP="46B80AED" w:rsidRDefault="46B80AED" w14:paraId="4ADC52E1" w14:textId="665CA52E">
            <w:pPr>
              <w:spacing w:before="0" w:beforeAutospacing="off" w:after="0" w:afterAutospacing="off"/>
              <w:rPr>
                <w:sz w:val="20"/>
                <w:szCs w:val="20"/>
              </w:rPr>
            </w:pPr>
            <w:r w:rsidRPr="46B80AED" w:rsidR="46B80AED">
              <w:rPr>
                <w:sz w:val="20"/>
                <w:szCs w:val="20"/>
              </w:rPr>
              <w:t>~72.000</w:t>
            </w:r>
          </w:p>
        </w:tc>
        <w:tc>
          <w:tcPr>
            <w:cnfStyle w:val="000000000000" w:firstRow="0" w:lastRow="0" w:firstColumn="0" w:lastColumn="0" w:oddVBand="0" w:evenVBand="0" w:oddHBand="0" w:evenHBand="0" w:firstRowFirstColumn="0" w:firstRowLastColumn="0" w:lastRowFirstColumn="0" w:lastRowLastColumn="0"/>
            <w:tcW w:w="1245" w:type="dxa"/>
            <w:tcMar/>
          </w:tcPr>
          <w:p w:rsidR="46B80AED" w:rsidP="46B80AED" w:rsidRDefault="46B80AED" w14:paraId="3D8B129B" w14:textId="3464C217">
            <w:pPr>
              <w:spacing w:before="0" w:beforeAutospacing="off" w:after="0" w:afterAutospacing="off"/>
              <w:rPr>
                <w:sz w:val="20"/>
                <w:szCs w:val="20"/>
              </w:rPr>
            </w:pPr>
            <w:r w:rsidRPr="46B80AED" w:rsidR="46B80AED">
              <w:rPr>
                <w:sz w:val="20"/>
                <w:szCs w:val="20"/>
              </w:rPr>
              <w:t>+ 18.000</w:t>
            </w:r>
          </w:p>
        </w:tc>
      </w:tr>
      <w:tr w:rsidR="46B80AED" w:rsidTr="46B80AED" w14:paraId="55FB099B">
        <w:trPr>
          <w:trHeight w:val="480"/>
        </w:trPr>
        <w:tc>
          <w:tcPr>
            <w:cnfStyle w:val="001000000000" w:firstRow="0" w:lastRow="0" w:firstColumn="1" w:lastColumn="0" w:oddVBand="0" w:evenVBand="0" w:oddHBand="0" w:evenHBand="0" w:firstRowFirstColumn="0" w:firstRowLastColumn="0" w:lastRowFirstColumn="0" w:lastRowLastColumn="0"/>
            <w:tcW w:w="1701" w:type="dxa"/>
            <w:tcMar/>
          </w:tcPr>
          <w:p w:rsidR="46B80AED" w:rsidP="46B80AED" w:rsidRDefault="46B80AED" w14:paraId="6E382C22" w14:textId="12FE98BD">
            <w:pPr>
              <w:spacing w:before="0" w:beforeAutospacing="off" w:after="0" w:afterAutospacing="off"/>
              <w:rPr>
                <w:sz w:val="20"/>
                <w:szCs w:val="20"/>
              </w:rPr>
            </w:pPr>
            <w:r w:rsidRPr="46B80AED" w:rsidR="46B80AED">
              <w:rPr>
                <w:sz w:val="20"/>
                <w:szCs w:val="20"/>
              </w:rPr>
              <w:t>Cisco</w:t>
            </w:r>
          </w:p>
        </w:tc>
        <w:tc>
          <w:tcPr>
            <w:cnfStyle w:val="000000000000" w:firstRow="0" w:lastRow="0" w:firstColumn="0" w:lastColumn="0" w:oddVBand="0" w:evenVBand="0" w:oddHBand="0" w:evenHBand="0" w:firstRowFirstColumn="0" w:firstRowLastColumn="0" w:lastRowFirstColumn="0" w:lastRowLastColumn="0"/>
            <w:tcW w:w="1701" w:type="dxa"/>
            <w:tcMar/>
          </w:tcPr>
          <w:p w:rsidR="46B80AED" w:rsidP="46B80AED" w:rsidRDefault="46B80AED" w14:paraId="5EACC89A" w14:textId="778B2A6E">
            <w:pPr>
              <w:spacing w:before="0" w:beforeAutospacing="off" w:after="0" w:afterAutospacing="off"/>
              <w:rPr>
                <w:sz w:val="20"/>
                <w:szCs w:val="20"/>
              </w:rPr>
            </w:pPr>
            <w:r w:rsidRPr="46B80AED" w:rsidR="46B80AED">
              <w:rPr>
                <w:sz w:val="20"/>
                <w:szCs w:val="20"/>
              </w:rPr>
              <w:t>~75.000</w:t>
            </w:r>
          </w:p>
        </w:tc>
        <w:tc>
          <w:tcPr>
            <w:cnfStyle w:val="000000000000" w:firstRow="0" w:lastRow="0" w:firstColumn="0" w:lastColumn="0" w:oddVBand="0" w:evenVBand="0" w:oddHBand="0" w:evenHBand="0" w:firstRowFirstColumn="0" w:firstRowLastColumn="0" w:lastRowFirstColumn="0" w:lastRowLastColumn="0"/>
            <w:tcW w:w="1701" w:type="dxa"/>
            <w:tcMar/>
          </w:tcPr>
          <w:p w:rsidR="46B80AED" w:rsidP="46B80AED" w:rsidRDefault="46B80AED" w14:paraId="13018249" w14:textId="1FDDDC96">
            <w:pPr>
              <w:spacing w:before="0" w:beforeAutospacing="off" w:after="0" w:afterAutospacing="off"/>
              <w:rPr>
                <w:sz w:val="20"/>
                <w:szCs w:val="20"/>
              </w:rPr>
            </w:pPr>
            <w:r w:rsidRPr="46B80AED" w:rsidR="46B80AED">
              <w:rPr>
                <w:sz w:val="20"/>
                <w:szCs w:val="20"/>
              </w:rPr>
              <w:t>~90.400</w:t>
            </w:r>
          </w:p>
        </w:tc>
        <w:tc>
          <w:tcPr>
            <w:cnfStyle w:val="000000000000" w:firstRow="0" w:lastRow="0" w:firstColumn="0" w:lastColumn="0" w:oddVBand="0" w:evenVBand="0" w:oddHBand="0" w:evenHBand="0" w:firstRowFirstColumn="0" w:firstRowLastColumn="0" w:lastRowFirstColumn="0" w:lastRowLastColumn="0"/>
            <w:tcW w:w="1701" w:type="dxa"/>
            <w:tcMar/>
          </w:tcPr>
          <w:p w:rsidR="46B80AED" w:rsidP="46B80AED" w:rsidRDefault="46B80AED" w14:paraId="607A6767" w14:textId="3845C777">
            <w:pPr>
              <w:spacing w:before="0" w:beforeAutospacing="off" w:after="0" w:afterAutospacing="off"/>
              <w:rPr>
                <w:sz w:val="20"/>
                <w:szCs w:val="20"/>
              </w:rPr>
            </w:pPr>
            <w:r w:rsidRPr="46B80AED" w:rsidR="46B80AED">
              <w:rPr>
                <w:sz w:val="20"/>
                <w:szCs w:val="20"/>
              </w:rPr>
              <w:t>+ 21%</w:t>
            </w:r>
          </w:p>
        </w:tc>
        <w:tc>
          <w:tcPr>
            <w:cnfStyle w:val="000000000000" w:firstRow="0" w:lastRow="0" w:firstColumn="0" w:lastColumn="0" w:oddVBand="0" w:evenVBand="0" w:oddHBand="0" w:evenHBand="0" w:firstRowFirstColumn="0" w:firstRowLastColumn="0" w:lastRowFirstColumn="0" w:lastRowLastColumn="0"/>
            <w:tcW w:w="1125" w:type="dxa"/>
            <w:tcMar/>
          </w:tcPr>
          <w:p w:rsidR="46B80AED" w:rsidP="46B80AED" w:rsidRDefault="46B80AED" w14:paraId="64C27752" w14:textId="25599E86">
            <w:pPr>
              <w:spacing w:before="0" w:beforeAutospacing="off" w:after="0" w:afterAutospacing="off"/>
              <w:rPr>
                <w:sz w:val="20"/>
                <w:szCs w:val="20"/>
              </w:rPr>
            </w:pPr>
            <w:r w:rsidRPr="46B80AED" w:rsidR="46B80AED">
              <w:rPr>
                <w:sz w:val="20"/>
                <w:szCs w:val="20"/>
              </w:rPr>
              <w:t>~86.200</w:t>
            </w:r>
          </w:p>
        </w:tc>
        <w:tc>
          <w:tcPr>
            <w:cnfStyle w:val="000000000000" w:firstRow="0" w:lastRow="0" w:firstColumn="0" w:lastColumn="0" w:oddVBand="0" w:evenVBand="0" w:oddHBand="0" w:evenHBand="0" w:firstRowFirstColumn="0" w:firstRowLastColumn="0" w:lastRowFirstColumn="0" w:lastRowLastColumn="0"/>
            <w:tcW w:w="1245" w:type="dxa"/>
            <w:tcMar/>
          </w:tcPr>
          <w:p w:rsidR="46B80AED" w:rsidP="46B80AED" w:rsidRDefault="46B80AED" w14:paraId="130C7595" w14:textId="4495C853">
            <w:pPr>
              <w:spacing w:before="0" w:beforeAutospacing="off" w:after="0" w:afterAutospacing="off"/>
              <w:rPr>
                <w:sz w:val="20"/>
                <w:szCs w:val="20"/>
              </w:rPr>
            </w:pPr>
            <w:r w:rsidRPr="46B80AED" w:rsidR="46B80AED">
              <w:rPr>
                <w:sz w:val="20"/>
                <w:szCs w:val="20"/>
              </w:rPr>
              <w:t>+ 11.200</w:t>
            </w:r>
          </w:p>
        </w:tc>
      </w:tr>
      <w:tr w:rsidR="46B80AED" w:rsidTr="46B80AED" w14:paraId="5B8E132C">
        <w:trPr>
          <w:trHeight w:val="480"/>
        </w:trPr>
        <w:tc>
          <w:tcPr>
            <w:cnfStyle w:val="001000000000" w:firstRow="0" w:lastRow="0" w:firstColumn="1" w:lastColumn="0" w:oddVBand="0" w:evenVBand="0" w:oddHBand="0" w:evenHBand="0" w:firstRowFirstColumn="0" w:firstRowLastColumn="0" w:lastRowFirstColumn="0" w:lastRowLastColumn="0"/>
            <w:tcW w:w="1701" w:type="dxa"/>
            <w:tcMar/>
          </w:tcPr>
          <w:p w:rsidR="46B80AED" w:rsidP="46B80AED" w:rsidRDefault="46B80AED" w14:paraId="34A193E6" w14:textId="19743F51">
            <w:pPr>
              <w:spacing w:before="0" w:beforeAutospacing="off" w:after="0" w:afterAutospacing="off"/>
              <w:rPr>
                <w:sz w:val="20"/>
                <w:szCs w:val="20"/>
              </w:rPr>
            </w:pPr>
            <w:r w:rsidRPr="46B80AED" w:rsidR="46B80AED">
              <w:rPr>
                <w:sz w:val="20"/>
                <w:szCs w:val="20"/>
              </w:rPr>
              <w:t>Intuit</w:t>
            </w:r>
          </w:p>
        </w:tc>
        <w:tc>
          <w:tcPr>
            <w:cnfStyle w:val="000000000000" w:firstRow="0" w:lastRow="0" w:firstColumn="0" w:lastColumn="0" w:oddVBand="0" w:evenVBand="0" w:oddHBand="0" w:evenHBand="0" w:firstRowFirstColumn="0" w:firstRowLastColumn="0" w:lastRowFirstColumn="0" w:lastRowLastColumn="0"/>
            <w:tcW w:w="1701" w:type="dxa"/>
            <w:tcMar/>
          </w:tcPr>
          <w:p w:rsidR="46B80AED" w:rsidP="46B80AED" w:rsidRDefault="46B80AED" w14:paraId="1A79A7E4" w14:textId="3C43767F">
            <w:pPr>
              <w:spacing w:before="0" w:beforeAutospacing="off" w:after="0" w:afterAutospacing="off"/>
              <w:rPr>
                <w:sz w:val="20"/>
                <w:szCs w:val="20"/>
              </w:rPr>
            </w:pPr>
            <w:r w:rsidRPr="46B80AED" w:rsidR="46B80AED">
              <w:rPr>
                <w:sz w:val="20"/>
                <w:szCs w:val="20"/>
              </w:rPr>
              <w:t>~17.000</w:t>
            </w:r>
          </w:p>
        </w:tc>
        <w:tc>
          <w:tcPr>
            <w:cnfStyle w:val="000000000000" w:firstRow="0" w:lastRow="0" w:firstColumn="0" w:lastColumn="0" w:oddVBand="0" w:evenVBand="0" w:oddHBand="0" w:evenHBand="0" w:firstRowFirstColumn="0" w:firstRowLastColumn="0" w:lastRowFirstColumn="0" w:lastRowLastColumn="0"/>
            <w:tcW w:w="1701" w:type="dxa"/>
            <w:tcMar/>
          </w:tcPr>
          <w:p w:rsidR="46B80AED" w:rsidP="46B80AED" w:rsidRDefault="46B80AED" w14:paraId="7E0F8360" w14:textId="41DD0A55">
            <w:pPr>
              <w:spacing w:before="0" w:beforeAutospacing="off" w:after="0" w:afterAutospacing="off"/>
              <w:rPr>
                <w:sz w:val="20"/>
                <w:szCs w:val="20"/>
              </w:rPr>
            </w:pPr>
            <w:r w:rsidRPr="46B80AED" w:rsidR="46B80AED">
              <w:rPr>
                <w:sz w:val="20"/>
                <w:szCs w:val="20"/>
              </w:rPr>
              <w:t>~18.800</w:t>
            </w:r>
          </w:p>
        </w:tc>
        <w:tc>
          <w:tcPr>
            <w:cnfStyle w:val="000000000000" w:firstRow="0" w:lastRow="0" w:firstColumn="0" w:lastColumn="0" w:oddVBand="0" w:evenVBand="0" w:oddHBand="0" w:evenHBand="0" w:firstRowFirstColumn="0" w:firstRowLastColumn="0" w:lastRowFirstColumn="0" w:lastRowLastColumn="0"/>
            <w:tcW w:w="1701" w:type="dxa"/>
            <w:tcMar/>
          </w:tcPr>
          <w:p w:rsidR="46B80AED" w:rsidP="46B80AED" w:rsidRDefault="46B80AED" w14:paraId="0C342CA7" w14:textId="47C0C699">
            <w:pPr>
              <w:spacing w:before="0" w:beforeAutospacing="off" w:after="0" w:afterAutospacing="off"/>
              <w:rPr>
                <w:sz w:val="20"/>
                <w:szCs w:val="20"/>
              </w:rPr>
            </w:pPr>
            <w:r w:rsidRPr="46B80AED" w:rsidR="46B80AED">
              <w:rPr>
                <w:sz w:val="20"/>
                <w:szCs w:val="20"/>
              </w:rPr>
              <w:t>+ 11%</w:t>
            </w:r>
          </w:p>
        </w:tc>
        <w:tc>
          <w:tcPr>
            <w:cnfStyle w:val="000000000000" w:firstRow="0" w:lastRow="0" w:firstColumn="0" w:lastColumn="0" w:oddVBand="0" w:evenVBand="0" w:oddHBand="0" w:evenHBand="0" w:firstRowFirstColumn="0" w:firstRowLastColumn="0" w:lastRowFirstColumn="0" w:lastRowLastColumn="0"/>
            <w:tcW w:w="1125" w:type="dxa"/>
            <w:tcMar/>
          </w:tcPr>
          <w:p w:rsidR="46B80AED" w:rsidP="46B80AED" w:rsidRDefault="46B80AED" w14:paraId="2618334B" w14:textId="7BEB86C4">
            <w:pPr>
              <w:spacing w:before="0" w:beforeAutospacing="off" w:after="0" w:afterAutospacing="off"/>
              <w:rPr>
                <w:sz w:val="20"/>
                <w:szCs w:val="20"/>
              </w:rPr>
            </w:pPr>
            <w:r w:rsidRPr="46B80AED" w:rsidR="46B80AED">
              <w:rPr>
                <w:sz w:val="20"/>
                <w:szCs w:val="20"/>
              </w:rPr>
              <w:t>~18.200</w:t>
            </w:r>
          </w:p>
        </w:tc>
        <w:tc>
          <w:tcPr>
            <w:cnfStyle w:val="000000000000" w:firstRow="0" w:lastRow="0" w:firstColumn="0" w:lastColumn="0" w:oddVBand="0" w:evenVBand="0" w:oddHBand="0" w:evenHBand="0" w:firstRowFirstColumn="0" w:firstRowLastColumn="0" w:lastRowFirstColumn="0" w:lastRowLastColumn="0"/>
            <w:tcW w:w="1245" w:type="dxa"/>
            <w:tcMar/>
          </w:tcPr>
          <w:p w:rsidR="46B80AED" w:rsidP="46B80AED" w:rsidRDefault="46B80AED" w14:paraId="1B115897" w14:textId="3C7943C1">
            <w:pPr>
              <w:spacing w:before="0" w:beforeAutospacing="off" w:after="0" w:afterAutospacing="off"/>
              <w:rPr>
                <w:sz w:val="20"/>
                <w:szCs w:val="20"/>
              </w:rPr>
            </w:pPr>
            <w:r w:rsidRPr="46B80AED" w:rsidR="46B80AED">
              <w:rPr>
                <w:sz w:val="20"/>
                <w:szCs w:val="20"/>
              </w:rPr>
              <w:t>+ 1.200</w:t>
            </w:r>
          </w:p>
        </w:tc>
      </w:tr>
      <w:tr w:rsidR="46B80AED" w:rsidTr="46B80AED" w14:paraId="0A36AA09">
        <w:trPr>
          <w:trHeight w:val="480"/>
        </w:trPr>
        <w:tc>
          <w:tcPr>
            <w:cnfStyle w:val="001000000000" w:firstRow="0" w:lastRow="0" w:firstColumn="1" w:lastColumn="0" w:oddVBand="0" w:evenVBand="0" w:oddHBand="0" w:evenHBand="0" w:firstRowFirstColumn="0" w:firstRowLastColumn="0" w:lastRowFirstColumn="0" w:lastRowLastColumn="0"/>
            <w:tcW w:w="1701" w:type="dxa"/>
            <w:tcMar/>
          </w:tcPr>
          <w:p w:rsidR="46B80AED" w:rsidP="46B80AED" w:rsidRDefault="46B80AED" w14:paraId="06FBC197" w14:textId="3A2ECDA4">
            <w:pPr>
              <w:spacing w:before="0" w:beforeAutospacing="off" w:after="0" w:afterAutospacing="off"/>
              <w:rPr>
                <w:sz w:val="20"/>
                <w:szCs w:val="20"/>
              </w:rPr>
            </w:pPr>
            <w:r w:rsidRPr="46B80AED" w:rsidR="46B80AED">
              <w:rPr>
                <w:sz w:val="20"/>
                <w:szCs w:val="20"/>
              </w:rPr>
              <w:t>Block</w:t>
            </w:r>
          </w:p>
        </w:tc>
        <w:tc>
          <w:tcPr>
            <w:cnfStyle w:val="000000000000" w:firstRow="0" w:lastRow="0" w:firstColumn="0" w:lastColumn="0" w:oddVBand="0" w:evenVBand="0" w:oddHBand="0" w:evenHBand="0" w:firstRowFirstColumn="0" w:firstRowLastColumn="0" w:lastRowFirstColumn="0" w:lastRowLastColumn="0"/>
            <w:tcW w:w="1701" w:type="dxa"/>
            <w:tcMar/>
          </w:tcPr>
          <w:p w:rsidR="46B80AED" w:rsidP="46B80AED" w:rsidRDefault="46B80AED" w14:paraId="6C2BC79E" w14:textId="2C8CCB41">
            <w:pPr>
              <w:spacing w:before="0" w:beforeAutospacing="off" w:after="0" w:afterAutospacing="off"/>
              <w:rPr>
                <w:sz w:val="20"/>
                <w:szCs w:val="20"/>
              </w:rPr>
            </w:pPr>
            <w:r w:rsidRPr="46B80AED" w:rsidR="46B80AED">
              <w:rPr>
                <w:sz w:val="20"/>
                <w:szCs w:val="20"/>
              </w:rPr>
              <w:t>~8.000</w:t>
            </w:r>
          </w:p>
        </w:tc>
        <w:tc>
          <w:tcPr>
            <w:cnfStyle w:val="000000000000" w:firstRow="0" w:lastRow="0" w:firstColumn="0" w:lastColumn="0" w:oddVBand="0" w:evenVBand="0" w:oddHBand="0" w:evenHBand="0" w:firstRowFirstColumn="0" w:firstRowLastColumn="0" w:lastRowFirstColumn="0" w:lastRowLastColumn="0"/>
            <w:tcW w:w="1701" w:type="dxa"/>
            <w:tcMar/>
          </w:tcPr>
          <w:p w:rsidR="46B80AED" w:rsidP="46B80AED" w:rsidRDefault="46B80AED" w14:paraId="1B51CAFD" w14:textId="09B5C507">
            <w:pPr>
              <w:spacing w:before="0" w:beforeAutospacing="off" w:after="0" w:afterAutospacing="off"/>
              <w:rPr>
                <w:sz w:val="20"/>
                <w:szCs w:val="20"/>
              </w:rPr>
            </w:pPr>
            <w:r w:rsidRPr="46B80AED" w:rsidR="46B80AED">
              <w:rPr>
                <w:sz w:val="20"/>
                <w:szCs w:val="20"/>
              </w:rPr>
              <w:t>~13.000</w:t>
            </w:r>
          </w:p>
        </w:tc>
        <w:tc>
          <w:tcPr>
            <w:cnfStyle w:val="000000000000" w:firstRow="0" w:lastRow="0" w:firstColumn="0" w:lastColumn="0" w:oddVBand="0" w:evenVBand="0" w:oddHBand="0" w:evenHBand="0" w:firstRowFirstColumn="0" w:firstRowLastColumn="0" w:lastRowFirstColumn="0" w:lastRowLastColumn="0"/>
            <w:tcW w:w="1701" w:type="dxa"/>
            <w:tcMar/>
          </w:tcPr>
          <w:p w:rsidR="46B80AED" w:rsidP="46B80AED" w:rsidRDefault="46B80AED" w14:paraId="5B2EC7E3" w14:textId="1B1779F7">
            <w:pPr>
              <w:spacing w:before="0" w:beforeAutospacing="off" w:after="0" w:afterAutospacing="off"/>
              <w:rPr>
                <w:sz w:val="20"/>
                <w:szCs w:val="20"/>
              </w:rPr>
            </w:pPr>
            <w:r w:rsidRPr="46B80AED" w:rsidR="46B80AED">
              <w:rPr>
                <w:sz w:val="20"/>
                <w:szCs w:val="20"/>
              </w:rPr>
              <w:t>+ 63%</w:t>
            </w:r>
          </w:p>
        </w:tc>
        <w:tc>
          <w:tcPr>
            <w:cnfStyle w:val="000000000000" w:firstRow="0" w:lastRow="0" w:firstColumn="0" w:lastColumn="0" w:oddVBand="0" w:evenVBand="0" w:oddHBand="0" w:evenHBand="0" w:firstRowFirstColumn="0" w:firstRowLastColumn="0" w:lastRowFirstColumn="0" w:lastRowLastColumn="0"/>
            <w:tcW w:w="1125" w:type="dxa"/>
            <w:tcMar/>
          </w:tcPr>
          <w:p w:rsidR="46B80AED" w:rsidP="46B80AED" w:rsidRDefault="46B80AED" w14:paraId="62D9441E" w14:textId="6845495D">
            <w:pPr>
              <w:spacing w:before="0" w:beforeAutospacing="off" w:after="0" w:afterAutospacing="off"/>
              <w:rPr>
                <w:sz w:val="20"/>
                <w:szCs w:val="20"/>
              </w:rPr>
            </w:pPr>
            <w:r w:rsidRPr="46B80AED" w:rsidR="46B80AED">
              <w:rPr>
                <w:sz w:val="20"/>
                <w:szCs w:val="20"/>
              </w:rPr>
              <w:t>~10.200</w:t>
            </w:r>
          </w:p>
        </w:tc>
        <w:tc>
          <w:tcPr>
            <w:cnfStyle w:val="000000000000" w:firstRow="0" w:lastRow="0" w:firstColumn="0" w:lastColumn="0" w:oddVBand="0" w:evenVBand="0" w:oddHBand="0" w:evenHBand="0" w:firstRowFirstColumn="0" w:firstRowLastColumn="0" w:lastRowFirstColumn="0" w:lastRowLastColumn="0"/>
            <w:tcW w:w="1245" w:type="dxa"/>
            <w:tcMar/>
          </w:tcPr>
          <w:p w:rsidR="46B80AED" w:rsidP="46B80AED" w:rsidRDefault="46B80AED" w14:paraId="7C9CCCDC" w14:textId="0FD89A03">
            <w:pPr>
              <w:spacing w:before="0" w:beforeAutospacing="off" w:after="0" w:afterAutospacing="off"/>
              <w:rPr>
                <w:sz w:val="20"/>
                <w:szCs w:val="20"/>
              </w:rPr>
            </w:pPr>
            <w:r w:rsidRPr="46B80AED" w:rsidR="46B80AED">
              <w:rPr>
                <w:sz w:val="20"/>
                <w:szCs w:val="20"/>
              </w:rPr>
              <w:t>+ 2.200</w:t>
            </w:r>
          </w:p>
        </w:tc>
      </w:tr>
      <w:tr w:rsidR="46B80AED" w:rsidTr="46B80AED" w14:paraId="061A1C71">
        <w:trPr>
          <w:trHeight w:val="480"/>
        </w:trPr>
        <w:tc>
          <w:tcPr>
            <w:cnfStyle w:val="001000000000" w:firstRow="0" w:lastRow="0" w:firstColumn="1" w:lastColumn="0" w:oddVBand="0" w:evenVBand="0" w:oddHBand="0" w:evenHBand="0" w:firstRowFirstColumn="0" w:firstRowLastColumn="0" w:lastRowFirstColumn="0" w:lastRowLastColumn="0"/>
            <w:tcW w:w="1701" w:type="dxa"/>
            <w:tcMar/>
          </w:tcPr>
          <w:p w:rsidR="46B80AED" w:rsidP="46B80AED" w:rsidRDefault="46B80AED" w14:paraId="29F2B284" w14:textId="18C3F50E">
            <w:pPr>
              <w:spacing w:before="0" w:beforeAutospacing="off" w:after="0" w:afterAutospacing="off"/>
              <w:rPr>
                <w:sz w:val="20"/>
                <w:szCs w:val="20"/>
              </w:rPr>
            </w:pPr>
            <w:r w:rsidRPr="46B80AED" w:rsidR="46B80AED">
              <w:rPr>
                <w:sz w:val="20"/>
                <w:szCs w:val="20"/>
              </w:rPr>
              <w:t>Dropbox</w:t>
            </w:r>
          </w:p>
        </w:tc>
        <w:tc>
          <w:tcPr>
            <w:cnfStyle w:val="000000000000" w:firstRow="0" w:lastRow="0" w:firstColumn="0" w:lastColumn="0" w:oddVBand="0" w:evenVBand="0" w:oddHBand="0" w:evenHBand="0" w:firstRowFirstColumn="0" w:firstRowLastColumn="0" w:lastRowFirstColumn="0" w:lastRowLastColumn="0"/>
            <w:tcW w:w="1701" w:type="dxa"/>
            <w:tcMar/>
          </w:tcPr>
          <w:p w:rsidR="46B80AED" w:rsidP="46B80AED" w:rsidRDefault="46B80AED" w14:paraId="3728941E" w14:textId="74F12E81">
            <w:pPr>
              <w:spacing w:before="0" w:beforeAutospacing="off" w:after="0" w:afterAutospacing="off"/>
              <w:rPr>
                <w:sz w:val="20"/>
                <w:szCs w:val="20"/>
              </w:rPr>
            </w:pPr>
            <w:r w:rsidRPr="46B80AED" w:rsidR="46B80AED">
              <w:rPr>
                <w:sz w:val="20"/>
                <w:szCs w:val="20"/>
              </w:rPr>
              <w:t>~2.800</w:t>
            </w:r>
          </w:p>
        </w:tc>
        <w:tc>
          <w:tcPr>
            <w:cnfStyle w:val="000000000000" w:firstRow="0" w:lastRow="0" w:firstColumn="0" w:lastColumn="0" w:oddVBand="0" w:evenVBand="0" w:oddHBand="0" w:evenHBand="0" w:firstRowFirstColumn="0" w:firstRowLastColumn="0" w:lastRowFirstColumn="0" w:lastRowLastColumn="0"/>
            <w:tcW w:w="1701" w:type="dxa"/>
            <w:tcMar/>
          </w:tcPr>
          <w:p w:rsidR="46B80AED" w:rsidP="46B80AED" w:rsidRDefault="46B80AED" w14:paraId="77FFF783" w14:textId="37C7AD32">
            <w:pPr>
              <w:spacing w:before="0" w:beforeAutospacing="off" w:after="0" w:afterAutospacing="off"/>
              <w:rPr>
                <w:sz w:val="20"/>
                <w:szCs w:val="20"/>
              </w:rPr>
            </w:pPr>
            <w:r w:rsidRPr="46B80AED" w:rsidR="46B80AED">
              <w:rPr>
                <w:sz w:val="20"/>
                <w:szCs w:val="20"/>
              </w:rPr>
              <w:t>~3.100</w:t>
            </w:r>
          </w:p>
        </w:tc>
        <w:tc>
          <w:tcPr>
            <w:cnfStyle w:val="000000000000" w:firstRow="0" w:lastRow="0" w:firstColumn="0" w:lastColumn="0" w:oddVBand="0" w:evenVBand="0" w:oddHBand="0" w:evenHBand="0" w:firstRowFirstColumn="0" w:firstRowLastColumn="0" w:lastRowFirstColumn="0" w:lastRowLastColumn="0"/>
            <w:tcW w:w="1701" w:type="dxa"/>
            <w:tcMar/>
          </w:tcPr>
          <w:p w:rsidR="46B80AED" w:rsidP="46B80AED" w:rsidRDefault="46B80AED" w14:paraId="1610ECBD" w14:textId="5986BFCA">
            <w:pPr>
              <w:spacing w:before="0" w:beforeAutospacing="off" w:after="0" w:afterAutospacing="off"/>
              <w:rPr>
                <w:sz w:val="20"/>
                <w:szCs w:val="20"/>
              </w:rPr>
            </w:pPr>
            <w:r w:rsidRPr="46B80AED" w:rsidR="46B80AED">
              <w:rPr>
                <w:sz w:val="20"/>
                <w:szCs w:val="20"/>
              </w:rPr>
              <w:t>+ 11%</w:t>
            </w:r>
          </w:p>
        </w:tc>
        <w:tc>
          <w:tcPr>
            <w:cnfStyle w:val="000000000000" w:firstRow="0" w:lastRow="0" w:firstColumn="0" w:lastColumn="0" w:oddVBand="0" w:evenVBand="0" w:oddHBand="0" w:evenHBand="0" w:firstRowFirstColumn="0" w:firstRowLastColumn="0" w:lastRowFirstColumn="0" w:lastRowLastColumn="0"/>
            <w:tcW w:w="1125" w:type="dxa"/>
            <w:tcMar/>
          </w:tcPr>
          <w:p w:rsidR="46B80AED" w:rsidP="46B80AED" w:rsidRDefault="46B80AED" w14:paraId="61228930" w14:textId="0E5413B2">
            <w:pPr>
              <w:spacing w:before="0" w:beforeAutospacing="off" w:after="0" w:afterAutospacing="off"/>
              <w:rPr>
                <w:sz w:val="20"/>
                <w:szCs w:val="20"/>
              </w:rPr>
            </w:pPr>
            <w:r w:rsidRPr="46B80AED" w:rsidR="46B80AED">
              <w:rPr>
                <w:sz w:val="20"/>
                <w:szCs w:val="20"/>
              </w:rPr>
              <w:t>~2.100</w:t>
            </w:r>
          </w:p>
        </w:tc>
        <w:tc>
          <w:tcPr>
            <w:cnfStyle w:val="000000000000" w:firstRow="0" w:lastRow="0" w:firstColumn="0" w:lastColumn="0" w:oddVBand="0" w:evenVBand="0" w:oddHBand="0" w:evenHBand="0" w:firstRowFirstColumn="0" w:firstRowLastColumn="0" w:lastRowFirstColumn="0" w:lastRowLastColumn="0"/>
            <w:tcW w:w="1245" w:type="dxa"/>
            <w:tcMar/>
          </w:tcPr>
          <w:p w:rsidR="46B80AED" w:rsidP="46B80AED" w:rsidRDefault="46B80AED" w14:paraId="5E633DD6" w14:textId="4E4E6CD1">
            <w:pPr>
              <w:spacing w:before="0" w:beforeAutospacing="off" w:after="0" w:afterAutospacing="off"/>
              <w:rPr>
                <w:sz w:val="20"/>
                <w:szCs w:val="20"/>
              </w:rPr>
            </w:pPr>
            <w:r w:rsidRPr="46B80AED" w:rsidR="46B80AED">
              <w:rPr>
                <w:sz w:val="20"/>
                <w:szCs w:val="20"/>
              </w:rPr>
              <w:t>- 700</w:t>
            </w:r>
          </w:p>
        </w:tc>
      </w:tr>
      <w:tr w:rsidR="46B80AED" w:rsidTr="46B80AED" w14:paraId="563CFE62">
        <w:trPr>
          <w:trHeight w:val="480"/>
        </w:trPr>
        <w:tc>
          <w:tcPr>
            <w:cnfStyle w:val="001000000000" w:firstRow="0" w:lastRow="0" w:firstColumn="1" w:lastColumn="0" w:oddVBand="0" w:evenVBand="0" w:oddHBand="0" w:evenHBand="0" w:firstRowFirstColumn="0" w:firstRowLastColumn="0" w:lastRowFirstColumn="0" w:lastRowLastColumn="0"/>
            <w:tcW w:w="1701" w:type="dxa"/>
            <w:tcMar/>
          </w:tcPr>
          <w:p w:rsidR="46B80AED" w:rsidP="46B80AED" w:rsidRDefault="46B80AED" w14:paraId="0B255A2E" w14:textId="3AA04A25">
            <w:pPr>
              <w:spacing w:before="0" w:beforeAutospacing="off" w:after="0" w:afterAutospacing="off"/>
              <w:rPr>
                <w:sz w:val="18"/>
                <w:szCs w:val="18"/>
              </w:rPr>
            </w:pPr>
            <w:r w:rsidRPr="46B80AED" w:rsidR="46B80AED">
              <w:rPr>
                <w:sz w:val="20"/>
                <w:szCs w:val="20"/>
              </w:rPr>
              <w:t>IBM</w:t>
            </w:r>
          </w:p>
        </w:tc>
        <w:tc>
          <w:tcPr>
            <w:cnfStyle w:val="000000000000" w:firstRow="0" w:lastRow="0" w:firstColumn="0" w:lastColumn="0" w:oddVBand="0" w:evenVBand="0" w:oddHBand="0" w:evenHBand="0" w:firstRowFirstColumn="0" w:firstRowLastColumn="0" w:lastRowFirstColumn="0" w:lastRowLastColumn="0"/>
            <w:tcW w:w="1701" w:type="dxa"/>
            <w:tcMar/>
          </w:tcPr>
          <w:p w:rsidR="46B80AED" w:rsidP="46B80AED" w:rsidRDefault="46B80AED" w14:paraId="76C3E550" w14:textId="0B88ECF6">
            <w:pPr>
              <w:spacing w:before="0" w:beforeAutospacing="off" w:after="0" w:afterAutospacing="off"/>
              <w:rPr>
                <w:sz w:val="18"/>
                <w:szCs w:val="18"/>
              </w:rPr>
            </w:pPr>
            <w:r w:rsidRPr="46B80AED" w:rsidR="46B80AED">
              <w:rPr>
                <w:sz w:val="20"/>
                <w:szCs w:val="20"/>
              </w:rPr>
              <w:t>~350.000</w:t>
            </w:r>
          </w:p>
        </w:tc>
        <w:tc>
          <w:tcPr>
            <w:cnfStyle w:val="000000000000" w:firstRow="0" w:lastRow="0" w:firstColumn="0" w:lastColumn="0" w:oddVBand="0" w:evenVBand="0" w:oddHBand="0" w:evenHBand="0" w:firstRowFirstColumn="0" w:firstRowLastColumn="0" w:lastRowFirstColumn="0" w:lastRowLastColumn="0"/>
            <w:tcW w:w="1701" w:type="dxa"/>
            <w:tcMar/>
          </w:tcPr>
          <w:p w:rsidR="46B80AED" w:rsidP="46B80AED" w:rsidRDefault="46B80AED" w14:paraId="08809087" w14:textId="1046FC44">
            <w:pPr>
              <w:spacing w:before="0" w:beforeAutospacing="off" w:after="0" w:afterAutospacing="off"/>
              <w:rPr>
                <w:sz w:val="18"/>
                <w:szCs w:val="18"/>
              </w:rPr>
            </w:pPr>
            <w:r w:rsidRPr="46B80AED" w:rsidR="46B80AED">
              <w:rPr>
                <w:sz w:val="20"/>
                <w:szCs w:val="20"/>
              </w:rPr>
              <w:t>~345.000</w:t>
            </w:r>
          </w:p>
        </w:tc>
        <w:tc>
          <w:tcPr>
            <w:cnfStyle w:val="000000000000" w:firstRow="0" w:lastRow="0" w:firstColumn="0" w:lastColumn="0" w:oddVBand="0" w:evenVBand="0" w:oddHBand="0" w:evenHBand="0" w:firstRowFirstColumn="0" w:firstRowLastColumn="0" w:lastRowFirstColumn="0" w:lastRowLastColumn="0"/>
            <w:tcW w:w="1701" w:type="dxa"/>
            <w:tcMar/>
          </w:tcPr>
          <w:p w:rsidR="46B80AED" w:rsidP="46B80AED" w:rsidRDefault="46B80AED" w14:paraId="229A6CA0" w14:textId="5FD65754">
            <w:pPr>
              <w:spacing w:before="0" w:beforeAutospacing="off" w:after="0" w:afterAutospacing="off"/>
              <w:rPr>
                <w:sz w:val="18"/>
                <w:szCs w:val="18"/>
              </w:rPr>
            </w:pPr>
            <w:r w:rsidRPr="46B80AED" w:rsidR="46B80AED">
              <w:rPr>
                <w:sz w:val="20"/>
                <w:szCs w:val="20"/>
              </w:rPr>
              <w:t>- 1%</w:t>
            </w:r>
          </w:p>
        </w:tc>
        <w:tc>
          <w:tcPr>
            <w:cnfStyle w:val="000000000000" w:firstRow="0" w:lastRow="0" w:firstColumn="0" w:lastColumn="0" w:oddVBand="0" w:evenVBand="0" w:oddHBand="0" w:evenHBand="0" w:firstRowFirstColumn="0" w:firstRowLastColumn="0" w:lastRowFirstColumn="0" w:lastRowLastColumn="0"/>
            <w:tcW w:w="1125" w:type="dxa"/>
            <w:tcMar/>
          </w:tcPr>
          <w:p w:rsidR="46B80AED" w:rsidP="46B80AED" w:rsidRDefault="46B80AED" w14:paraId="397F9040" w14:textId="09DD88DC">
            <w:pPr>
              <w:spacing w:before="0" w:beforeAutospacing="off" w:after="0" w:afterAutospacing="off"/>
              <w:rPr>
                <w:sz w:val="18"/>
                <w:szCs w:val="18"/>
              </w:rPr>
            </w:pPr>
            <w:r w:rsidRPr="46B80AED" w:rsidR="46B80AED">
              <w:rPr>
                <w:sz w:val="20"/>
                <w:szCs w:val="20"/>
              </w:rPr>
              <w:t>~293.400</w:t>
            </w:r>
          </w:p>
        </w:tc>
        <w:tc>
          <w:tcPr>
            <w:cnfStyle w:val="000000000000" w:firstRow="0" w:lastRow="0" w:firstColumn="0" w:lastColumn="0" w:oddVBand="0" w:evenVBand="0" w:oddHBand="0" w:evenHBand="0" w:firstRowFirstColumn="0" w:firstRowLastColumn="0" w:lastRowFirstColumn="0" w:lastRowLastColumn="0"/>
            <w:tcW w:w="1245" w:type="dxa"/>
            <w:tcMar/>
          </w:tcPr>
          <w:p w:rsidR="46B80AED" w:rsidP="46B80AED" w:rsidRDefault="46B80AED" w14:paraId="6543B250" w14:textId="57A5A8C3">
            <w:pPr>
              <w:spacing w:before="0" w:beforeAutospacing="off" w:after="0" w:afterAutospacing="off"/>
              <w:rPr>
                <w:sz w:val="18"/>
                <w:szCs w:val="18"/>
              </w:rPr>
            </w:pPr>
            <w:r w:rsidRPr="46B80AED" w:rsidR="46B80AED">
              <w:rPr>
                <w:sz w:val="20"/>
                <w:szCs w:val="20"/>
              </w:rPr>
              <w:t>- 56.600</w:t>
            </w:r>
          </w:p>
        </w:tc>
      </w:tr>
    </w:tbl>
    <w:p w:rsidR="3134EF7E" w:rsidP="46B80AED" w:rsidRDefault="3134EF7E" w14:paraId="7DEEB5EC" w14:textId="0D052F36">
      <w:pPr>
        <w:pStyle w:val="Normal"/>
        <w:spacing w:before="0" w:beforeAutospacing="off" w:after="120" w:afterAutospacing="off" w:line="240" w:lineRule="auto"/>
        <w:ind w:firstLine="0"/>
        <w:jc w:val="both"/>
        <w:rPr>
          <w:sz w:val="18"/>
          <w:szCs w:val="18"/>
        </w:rPr>
      </w:pPr>
      <w:r w:rsidRPr="46B80AED" w:rsidR="3134EF7E">
        <w:rPr>
          <w:rFonts w:ascii="Times New Roman" w:hAnsi="Times New Roman"/>
          <w:sz w:val="24"/>
          <w:szCs w:val="20"/>
        </w:rPr>
        <w:t>Nota. O saldo final reflete a comparação direta entre o encerramento do exercício fiscal de 2019 e a composição funcional reportada após a conclusão dos layoffs. Fonte: Elaborada pelo autor (2026).</w:t>
      </w:r>
    </w:p>
    <w:p w:rsidR="185DE5E9" w:rsidP="46B80AED" w:rsidRDefault="185DE5E9" w14:paraId="4B26EB3F" w14:textId="5EDF8366">
      <w:pPr>
        <w:pStyle w:val="Normal"/>
        <w:spacing w:before="0" w:beforeAutospacing="off" w:after="120" w:afterAutospacing="off" w:line="240" w:lineRule="auto"/>
        <w:ind w:firstLine="0"/>
        <w:jc w:val="both"/>
        <w:rPr>
          <w:b w:val="1"/>
          <w:bCs w:val="1"/>
          <w:sz w:val="20"/>
          <w:szCs w:val="20"/>
        </w:rPr>
      </w:pPr>
      <w:r w:rsidRPr="46B80AED" w:rsidR="185DE5E9">
        <w:rPr>
          <w:rFonts w:ascii="Times New Roman" w:hAnsi="Times New Roman"/>
          <w:b w:val="1"/>
          <w:bCs w:val="1"/>
          <w:sz w:val="24"/>
          <w:szCs w:val="20"/>
        </w:rPr>
        <w:t xml:space="preserve">Figura 2 </w:t>
      </w:r>
    </w:p>
    <w:p w:rsidR="185DE5E9" w:rsidP="46B80AED" w:rsidRDefault="185DE5E9" w14:paraId="2F9B5486" w14:textId="1960F50E">
      <w:pPr>
        <w:pStyle w:val="Normal"/>
        <w:spacing w:before="0" w:beforeAutospacing="off" w:after="120" w:afterAutospacing="off" w:line="240" w:lineRule="auto"/>
        <w:ind w:firstLine="0"/>
        <w:jc w:val="both"/>
        <w:rPr>
          <w:i w:val="1"/>
          <w:iCs w:val="1"/>
          <w:sz w:val="20"/>
          <w:szCs w:val="20"/>
        </w:rPr>
      </w:pPr>
      <w:r w:rsidRPr="46B80AED" w:rsidR="185DE5E9">
        <w:rPr>
          <w:rFonts w:ascii="Times New Roman" w:hAnsi="Times New Roman"/>
          <w:i w:val="1"/>
          <w:iCs w:val="1"/>
          <w:sz w:val="24"/>
          <w:szCs w:val="20"/>
        </w:rPr>
        <w:t xml:space="preserve">Evolução do Quadro de Colaboradores: </w:t>
      </w:r>
      <w:r w:rsidRPr="46B80AED" w:rsidR="185DE5E9">
        <w:rPr>
          <w:rFonts w:ascii="Times New Roman" w:hAnsi="Times New Roman"/>
          <w:i w:val="1"/>
          <w:iCs w:val="1"/>
          <w:sz w:val="24"/>
          <w:szCs w:val="20"/>
        </w:rPr>
        <w:t>Pré</w:t>
      </w:r>
      <w:r w:rsidRPr="46B80AED" w:rsidR="185DE5E9">
        <w:rPr>
          <w:rFonts w:ascii="Times New Roman" w:hAnsi="Times New Roman"/>
          <w:i w:val="1"/>
          <w:iCs w:val="1"/>
          <w:sz w:val="24"/>
          <w:szCs w:val="20"/>
        </w:rPr>
        <w:t>-pandemia, Pico e Pós-demissão</w:t>
      </w:r>
    </w:p>
    <w:p w:rsidR="185DE5E9" w:rsidP="46B80AED" w:rsidRDefault="185DE5E9" w14:paraId="1C2D7914" w14:textId="349C37FD">
      <w:pPr>
        <w:pStyle w:val="Normal"/>
        <w:spacing w:before="0" w:beforeAutospacing="off" w:after="120" w:afterAutospacing="off" w:line="240" w:lineRule="auto"/>
        <w:ind w:firstLine="0"/>
        <w:jc w:val="both"/>
        <w:rPr>
          <w:sz w:val="20"/>
          <w:szCs w:val="20"/>
        </w:rPr>
      </w:pPr>
      <w:r w:rsidRPr="46B80AED" w:rsidR="185DE5E9">
        <w:rPr>
          <w:rFonts w:ascii="Times New Roman" w:hAnsi="Times New Roman"/>
          <w:sz w:val="24"/>
          <w:szCs w:val="20"/>
        </w:rPr>
        <w:t>Fonte: Elaborada pelo autor (2026).</w:t>
      </w:r>
    </w:p>
    <w:p w:rsidR="185DE5E9" w:rsidP="46B80AED" w:rsidRDefault="185DE5E9" w14:paraId="5EB2C2A6" w14:textId="5D1D53F9">
      <w:pPr>
        <w:pStyle w:val="Normal"/>
        <w:spacing w:before="0" w:beforeAutospacing="off" w:after="120" w:afterAutospacing="off" w:line="240" w:lineRule="auto"/>
        <w:ind w:firstLine="0"/>
        <w:jc w:val="both"/>
      </w:pPr>
      <w:r w:rsidR="185DE5E9">
        <w:rPr>
          <w:rFonts w:ascii="Times New Roman" w:hAnsi="Times New Roman"/>
          <w:sz w:val="24"/>
        </w:rPr>
        <w:t xml:space="preserve">Os registros indicam que a maioria das corporações encerrou o ciclo de desligamentos mantendo contingentes superiores aos reportados em 2019. Como evidência disso, a </w:t>
      </w:r>
      <w:r w:rsidR="185DE5E9">
        <w:rPr>
          <w:rFonts w:ascii="Times New Roman" w:hAnsi="Times New Roman"/>
          <w:sz w:val="24"/>
        </w:rPr>
        <w:t>Salesforce</w:t>
      </w:r>
      <w:r w:rsidR="185DE5E9">
        <w:rPr>
          <w:rFonts w:ascii="Times New Roman" w:hAnsi="Times New Roman"/>
          <w:sz w:val="24"/>
        </w:rPr>
        <w:t xml:space="preserve"> e a Block preservaram saldos positivos de dezoito mil e dois mil postos de trabalho, respectivamente. Desse modo, o conceito de destruição criadora não explica isoladamente a supressão dessas vagas (Schumpeter, 1942). Em contrapartida, os dados sugerem a correção de falhas de dimensionamento organizacional geradas pela expectativa equivocada de manutenção da demanda digital pandêmica. Sob o prisma da Visão Baseada em Recursos (RBV), a eliminação de profissionais experientes para correção de margens compromete o acúmulo de conhecimento tácito, configurando perda de ativos inimitáveis (Barney, 1991).</w:t>
      </w:r>
    </w:p>
    <w:p w:rsidR="185DE5E9" w:rsidP="46B80AED" w:rsidRDefault="185DE5E9" w14:paraId="0D9E8F34" w14:textId="064F0D16">
      <w:pPr>
        <w:pStyle w:val="Normal"/>
        <w:spacing w:before="0" w:beforeAutospacing="off" w:after="120" w:afterAutospacing="off" w:line="240" w:lineRule="auto"/>
        <w:ind w:firstLine="0"/>
        <w:jc w:val="both"/>
      </w:pPr>
      <w:r w:rsidR="185DE5E9">
        <w:rPr>
          <w:rFonts w:ascii="Times New Roman" w:hAnsi="Times New Roman"/>
          <w:sz w:val="24"/>
        </w:rPr>
        <w:t>De forma simultânea à redução de pessoal, as companhias declararam aportes financeiros ostensivos em infraestrutura algorítmica. A Tabela 4 detalha as destinações públicas de capital para o setor de inteligência artificial.</w:t>
      </w:r>
    </w:p>
    <w:p w:rsidR="60DF2635" w:rsidP="46B80AED" w:rsidRDefault="60DF2635" w14:paraId="70A73F8E" w14:textId="08C4EEE8">
      <w:pPr>
        <w:spacing w:before="0" w:beforeAutospacing="off" w:after="120" w:afterAutospacing="off" w:line="240" w:lineRule="auto"/>
        <w:ind w:firstLine="0"/>
        <w:jc w:val="both"/>
        <w:rPr>
          <w:rFonts w:ascii="Times New Roman" w:hAnsi="Times New Roman" w:eastAsia="Times New Roman" w:cs="Times New Roman"/>
          <w:b w:val="1"/>
          <w:bCs w:val="1"/>
          <w:noProof w:val="0"/>
          <w:sz w:val="20"/>
          <w:szCs w:val="20"/>
          <w:lang w:val="pt-BR"/>
        </w:rPr>
      </w:pPr>
      <w:r w:rsidRPr="46B80AED" w:rsidR="60DF2635">
        <w:rPr>
          <w:rFonts w:ascii="Times New Roman" w:hAnsi="Times New Roman" w:eastAsia="Times New Roman" w:cs="Times New Roman"/>
          <w:b w:val="1"/>
          <w:bCs w:val="1"/>
          <w:noProof w:val="0"/>
          <w:sz w:val="24"/>
          <w:szCs w:val="20"/>
          <w:lang w:val="pt-BR"/>
        </w:rPr>
        <w:t>Tabela 4</w:t>
      </w:r>
    </w:p>
    <w:p w:rsidR="60DF2635" w:rsidP="46B80AED" w:rsidRDefault="60DF2635" w14:paraId="04F9FCE3" w14:textId="333A31EB">
      <w:pPr>
        <w:spacing w:before="0" w:beforeAutospacing="off" w:after="120" w:afterAutospacing="off" w:line="240" w:lineRule="auto"/>
        <w:ind w:firstLine="0"/>
        <w:jc w:val="both"/>
        <w:rPr>
          <w:rFonts w:ascii="Times New Roman" w:hAnsi="Times New Roman" w:eastAsia="Times New Roman" w:cs="Times New Roman"/>
          <w:i w:val="1"/>
          <w:iCs w:val="1"/>
          <w:noProof w:val="0"/>
          <w:sz w:val="20"/>
          <w:szCs w:val="20"/>
          <w:lang w:val="pt-BR"/>
        </w:rPr>
      </w:pPr>
      <w:r w:rsidRPr="46B80AED" w:rsidR="60DF2635">
        <w:rPr>
          <w:rFonts w:ascii="Times New Roman" w:hAnsi="Times New Roman" w:eastAsia="Times New Roman" w:cs="Times New Roman"/>
          <w:i w:val="1"/>
          <w:iCs w:val="1"/>
          <w:noProof w:val="0"/>
          <w:sz w:val="24"/>
          <w:szCs w:val="20"/>
          <w:lang w:val="pt-BR"/>
        </w:rPr>
        <w:t>Ações de Investimento Simultâneo em Tecnologia de IA</w:t>
      </w:r>
    </w:p>
    <w:tbl>
      <w:tblPr>
        <w:tblStyle w:val="PlainTable2"/>
        <w:bidiVisual w:val="0"/>
        <w:tblW w:w="0" w:type="auto"/>
        <w:jc w:val="center"/>
        <w:tblLook w:val="06A0" w:firstRow="1" w:lastRow="0" w:firstColumn="1" w:lastColumn="0" w:noHBand="1" w:noVBand="1"/>
      </w:tblPr>
      <w:tblGrid>
        <w:gridCol w:w="2400"/>
        <w:gridCol w:w="4365"/>
        <w:gridCol w:w="2295"/>
      </w:tblGrid>
      <w:tr w:rsidR="46B80AED" w:rsidTr="46B80AED" w14:paraId="2F232249">
        <w:trPr>
          <w:trHeight w:val="300"/>
        </w:trPr>
        <w:tc>
          <w:tcPr>
            <w:cnfStyle w:val="001000000000" w:firstRow="0" w:lastRow="0" w:firstColumn="1" w:lastColumn="0" w:oddVBand="0" w:evenVBand="0" w:oddHBand="0" w:evenHBand="0" w:firstRowFirstColumn="0" w:firstRowLastColumn="0" w:lastRowFirstColumn="0" w:lastRowLastColumn="0"/>
            <w:tcW w:w="2400" w:type="dxa"/>
            <w:tcMar/>
            <w:vAlign w:val="center"/>
          </w:tcPr>
          <w:p w:rsidR="46B80AED" w:rsidP="46B80AED" w:rsidRDefault="46B80AED" w14:paraId="53070E8B" w14:textId="0FA3B15A">
            <w:pPr>
              <w:spacing w:before="0" w:beforeAutospacing="off" w:after="0" w:afterAutospacing="off"/>
              <w:jc w:val="left"/>
              <w:rPr>
                <w:b w:val="1"/>
                <w:bCs w:val="1"/>
                <w:sz w:val="20"/>
                <w:szCs w:val="20"/>
              </w:rPr>
            </w:pPr>
            <w:r w:rsidRPr="46B80AED" w:rsidR="46B80AED">
              <w:rPr>
                <w:b w:val="1"/>
                <w:bCs w:val="1"/>
                <w:sz w:val="20"/>
                <w:szCs w:val="20"/>
              </w:rPr>
              <w:t>Empresa</w:t>
            </w:r>
          </w:p>
        </w:tc>
        <w:tc>
          <w:tcPr>
            <w:cnfStyle w:val="000000000000" w:firstRow="0" w:lastRow="0" w:firstColumn="0" w:lastColumn="0" w:oddVBand="0" w:evenVBand="0" w:oddHBand="0" w:evenHBand="0" w:firstRowFirstColumn="0" w:firstRowLastColumn="0" w:lastRowFirstColumn="0" w:lastRowLastColumn="0"/>
            <w:tcW w:w="4365" w:type="dxa"/>
            <w:tcMar/>
            <w:vAlign w:val="center"/>
          </w:tcPr>
          <w:p w:rsidR="46B80AED" w:rsidP="46B80AED" w:rsidRDefault="46B80AED" w14:paraId="4A2F674B" w14:textId="5C8BB3CE">
            <w:pPr>
              <w:spacing w:before="0" w:beforeAutospacing="off" w:after="0" w:afterAutospacing="off"/>
              <w:jc w:val="left"/>
              <w:rPr>
                <w:b w:val="1"/>
                <w:bCs w:val="1"/>
                <w:sz w:val="20"/>
                <w:szCs w:val="20"/>
              </w:rPr>
            </w:pPr>
            <w:r w:rsidRPr="46B80AED" w:rsidR="46B80AED">
              <w:rPr>
                <w:b w:val="1"/>
                <w:bCs w:val="1"/>
                <w:sz w:val="20"/>
                <w:szCs w:val="20"/>
              </w:rPr>
              <w:t>Instrumentos de Investimento Verificáveis</w:t>
            </w:r>
          </w:p>
        </w:tc>
        <w:tc>
          <w:tcPr>
            <w:cnfStyle w:val="000000000000" w:firstRow="0" w:lastRow="0" w:firstColumn="0" w:lastColumn="0" w:oddVBand="0" w:evenVBand="0" w:oddHBand="0" w:evenHBand="0" w:firstRowFirstColumn="0" w:firstRowLastColumn="0" w:lastRowFirstColumn="0" w:lastRowLastColumn="0"/>
            <w:tcW w:w="2295" w:type="dxa"/>
            <w:tcMar/>
            <w:vAlign w:val="center"/>
          </w:tcPr>
          <w:p w:rsidR="46B80AED" w:rsidP="46B80AED" w:rsidRDefault="46B80AED" w14:paraId="46BDEA75" w14:textId="074F7F62">
            <w:pPr>
              <w:spacing w:before="0" w:beforeAutospacing="off" w:after="0" w:afterAutospacing="off"/>
              <w:jc w:val="left"/>
              <w:rPr>
                <w:b w:val="1"/>
                <w:bCs w:val="1"/>
                <w:sz w:val="20"/>
                <w:szCs w:val="20"/>
              </w:rPr>
            </w:pPr>
            <w:r w:rsidRPr="46B80AED" w:rsidR="46B80AED">
              <w:rPr>
                <w:b w:val="1"/>
                <w:bCs w:val="1"/>
                <w:sz w:val="20"/>
                <w:szCs w:val="20"/>
              </w:rPr>
              <w:t>Direcionamento Estratégico</w:t>
            </w:r>
          </w:p>
        </w:tc>
      </w:tr>
      <w:tr w:rsidR="46B80AED" w:rsidTr="46B80AED" w14:paraId="448298AA">
        <w:trPr>
          <w:trHeight w:val="300"/>
        </w:trPr>
        <w:tc>
          <w:tcPr>
            <w:cnfStyle w:val="001000000000" w:firstRow="0" w:lastRow="0" w:firstColumn="1" w:lastColumn="0" w:oddVBand="0" w:evenVBand="0" w:oddHBand="0" w:evenHBand="0" w:firstRowFirstColumn="0" w:firstRowLastColumn="0" w:lastRowFirstColumn="0" w:lastRowLastColumn="0"/>
            <w:tcW w:w="2400" w:type="dxa"/>
            <w:tcMar/>
            <w:vAlign w:val="center"/>
          </w:tcPr>
          <w:p w:rsidR="46B80AED" w:rsidP="46B80AED" w:rsidRDefault="46B80AED" w14:paraId="5CDEEF24" w14:textId="4500E9E5">
            <w:pPr>
              <w:spacing w:before="0" w:beforeAutospacing="off" w:after="0" w:afterAutospacing="off"/>
              <w:jc w:val="left"/>
              <w:rPr>
                <w:sz w:val="20"/>
                <w:szCs w:val="20"/>
              </w:rPr>
            </w:pPr>
            <w:r w:rsidRPr="46B80AED" w:rsidR="46B80AED">
              <w:rPr>
                <w:sz w:val="20"/>
                <w:szCs w:val="20"/>
              </w:rPr>
              <w:t>Salesforce</w:t>
            </w:r>
          </w:p>
        </w:tc>
        <w:tc>
          <w:tcPr>
            <w:cnfStyle w:val="000000000000" w:firstRow="0" w:lastRow="0" w:firstColumn="0" w:lastColumn="0" w:oddVBand="0" w:evenVBand="0" w:oddHBand="0" w:evenHBand="0" w:firstRowFirstColumn="0" w:firstRowLastColumn="0" w:lastRowFirstColumn="0" w:lastRowLastColumn="0"/>
            <w:tcW w:w="4365" w:type="dxa"/>
            <w:tcMar/>
            <w:vAlign w:val="center"/>
          </w:tcPr>
          <w:p w:rsidR="46B80AED" w:rsidP="46B80AED" w:rsidRDefault="46B80AED" w14:paraId="706EA83E" w14:textId="325A9ACE">
            <w:pPr>
              <w:spacing w:before="0" w:beforeAutospacing="off" w:after="0" w:afterAutospacing="off"/>
              <w:jc w:val="left"/>
              <w:rPr>
                <w:sz w:val="20"/>
                <w:szCs w:val="20"/>
              </w:rPr>
            </w:pPr>
            <w:r w:rsidRPr="46B80AED" w:rsidR="46B80AED">
              <w:rPr>
                <w:sz w:val="20"/>
                <w:szCs w:val="20"/>
              </w:rPr>
              <w:t>Fundo específico de IA (US$ 500 milhões)</w:t>
            </w:r>
          </w:p>
        </w:tc>
        <w:tc>
          <w:tcPr>
            <w:cnfStyle w:val="000000000000" w:firstRow="0" w:lastRow="0" w:firstColumn="0" w:lastColumn="0" w:oddVBand="0" w:evenVBand="0" w:oddHBand="0" w:evenHBand="0" w:firstRowFirstColumn="0" w:firstRowLastColumn="0" w:lastRowFirstColumn="0" w:lastRowLastColumn="0"/>
            <w:tcW w:w="2295" w:type="dxa"/>
            <w:tcMar/>
            <w:vAlign w:val="center"/>
          </w:tcPr>
          <w:p w:rsidR="46B80AED" w:rsidP="46B80AED" w:rsidRDefault="46B80AED" w14:paraId="4B75C895" w14:textId="6D305295">
            <w:pPr>
              <w:spacing w:before="0" w:beforeAutospacing="off" w:after="0" w:afterAutospacing="off"/>
              <w:jc w:val="left"/>
              <w:rPr>
                <w:i w:val="1"/>
                <w:iCs w:val="1"/>
                <w:sz w:val="20"/>
                <w:szCs w:val="20"/>
              </w:rPr>
            </w:pPr>
            <w:r w:rsidRPr="46B80AED" w:rsidR="46B80AED">
              <w:rPr>
                <w:sz w:val="20"/>
                <w:szCs w:val="20"/>
              </w:rPr>
              <w:t xml:space="preserve">Lançamento da plataforma </w:t>
            </w:r>
            <w:r w:rsidRPr="46B80AED" w:rsidR="46B80AED">
              <w:rPr>
                <w:i w:val="1"/>
                <w:iCs w:val="1"/>
                <w:sz w:val="20"/>
                <w:szCs w:val="20"/>
              </w:rPr>
              <w:t>Agentforce</w:t>
            </w:r>
          </w:p>
        </w:tc>
      </w:tr>
      <w:tr w:rsidR="46B80AED" w:rsidTr="46B80AED" w14:paraId="2FCB94B5">
        <w:trPr>
          <w:trHeight w:val="300"/>
        </w:trPr>
        <w:tc>
          <w:tcPr>
            <w:cnfStyle w:val="001000000000" w:firstRow="0" w:lastRow="0" w:firstColumn="1" w:lastColumn="0" w:oddVBand="0" w:evenVBand="0" w:oddHBand="0" w:evenHBand="0" w:firstRowFirstColumn="0" w:firstRowLastColumn="0" w:lastRowFirstColumn="0" w:lastRowLastColumn="0"/>
            <w:tcW w:w="2400" w:type="dxa"/>
            <w:tcMar/>
            <w:vAlign w:val="center"/>
          </w:tcPr>
          <w:p w:rsidR="46B80AED" w:rsidP="46B80AED" w:rsidRDefault="46B80AED" w14:paraId="0721B1AA" w14:textId="21D2CBB4">
            <w:pPr>
              <w:spacing w:before="0" w:beforeAutospacing="off" w:after="0" w:afterAutospacing="off"/>
              <w:jc w:val="left"/>
              <w:rPr>
                <w:sz w:val="20"/>
                <w:szCs w:val="20"/>
              </w:rPr>
            </w:pPr>
            <w:r w:rsidRPr="46B80AED" w:rsidR="46B80AED">
              <w:rPr>
                <w:sz w:val="20"/>
                <w:szCs w:val="20"/>
              </w:rPr>
              <w:t>Cisco</w:t>
            </w:r>
          </w:p>
        </w:tc>
        <w:tc>
          <w:tcPr>
            <w:cnfStyle w:val="000000000000" w:firstRow="0" w:lastRow="0" w:firstColumn="0" w:lastColumn="0" w:oddVBand="0" w:evenVBand="0" w:oddHBand="0" w:evenHBand="0" w:firstRowFirstColumn="0" w:firstRowLastColumn="0" w:lastRowFirstColumn="0" w:lastRowLastColumn="0"/>
            <w:tcW w:w="4365" w:type="dxa"/>
            <w:tcMar/>
            <w:vAlign w:val="center"/>
          </w:tcPr>
          <w:p w:rsidR="46B80AED" w:rsidP="46B80AED" w:rsidRDefault="46B80AED" w14:paraId="2B046BEA" w14:textId="448191F2">
            <w:pPr>
              <w:spacing w:before="0" w:beforeAutospacing="off" w:after="0" w:afterAutospacing="off"/>
              <w:jc w:val="left"/>
              <w:rPr>
                <w:sz w:val="20"/>
                <w:szCs w:val="20"/>
              </w:rPr>
            </w:pPr>
            <w:r w:rsidRPr="46B80AED" w:rsidR="46B80AED">
              <w:rPr>
                <w:sz w:val="20"/>
                <w:szCs w:val="20"/>
              </w:rPr>
              <w:t>Aquisição corporativa (US$ 28 bilhões)</w:t>
            </w:r>
          </w:p>
        </w:tc>
        <w:tc>
          <w:tcPr>
            <w:cnfStyle w:val="000000000000" w:firstRow="0" w:lastRow="0" w:firstColumn="0" w:lastColumn="0" w:oddVBand="0" w:evenVBand="0" w:oddHBand="0" w:evenHBand="0" w:firstRowFirstColumn="0" w:firstRowLastColumn="0" w:lastRowFirstColumn="0" w:lastRowLastColumn="0"/>
            <w:tcW w:w="2295" w:type="dxa"/>
            <w:tcMar/>
            <w:vAlign w:val="center"/>
          </w:tcPr>
          <w:p w:rsidR="46B80AED" w:rsidP="46B80AED" w:rsidRDefault="46B80AED" w14:paraId="7A2748AC" w14:textId="051F2126">
            <w:pPr>
              <w:spacing w:before="0" w:beforeAutospacing="off" w:after="0" w:afterAutospacing="off"/>
              <w:jc w:val="left"/>
              <w:rPr>
                <w:sz w:val="20"/>
                <w:szCs w:val="20"/>
              </w:rPr>
            </w:pPr>
            <w:r w:rsidRPr="46B80AED" w:rsidR="46B80AED">
              <w:rPr>
                <w:sz w:val="20"/>
                <w:szCs w:val="20"/>
              </w:rPr>
              <w:t xml:space="preserve">Integração da </w:t>
            </w:r>
            <w:r w:rsidRPr="46B80AED" w:rsidR="46B80AED">
              <w:rPr>
                <w:i w:val="1"/>
                <w:iCs w:val="1"/>
                <w:sz w:val="20"/>
                <w:szCs w:val="20"/>
              </w:rPr>
              <w:t>Splunk</w:t>
            </w:r>
            <w:r w:rsidRPr="46B80AED" w:rsidR="46B80AED">
              <w:rPr>
                <w:sz w:val="20"/>
                <w:szCs w:val="20"/>
              </w:rPr>
              <w:t xml:space="preserve"> em cibersegurança e IA</w:t>
            </w:r>
          </w:p>
        </w:tc>
      </w:tr>
      <w:tr w:rsidR="46B80AED" w:rsidTr="46B80AED" w14:paraId="56E90429">
        <w:trPr>
          <w:trHeight w:val="300"/>
        </w:trPr>
        <w:tc>
          <w:tcPr>
            <w:cnfStyle w:val="001000000000" w:firstRow="0" w:lastRow="0" w:firstColumn="1" w:lastColumn="0" w:oddVBand="0" w:evenVBand="0" w:oddHBand="0" w:evenHBand="0" w:firstRowFirstColumn="0" w:firstRowLastColumn="0" w:lastRowFirstColumn="0" w:lastRowLastColumn="0"/>
            <w:tcW w:w="2400" w:type="dxa"/>
            <w:tcMar/>
            <w:vAlign w:val="center"/>
          </w:tcPr>
          <w:p w:rsidR="46B80AED" w:rsidP="46B80AED" w:rsidRDefault="46B80AED" w14:paraId="09D793EB" w14:textId="1DBB3D71">
            <w:pPr>
              <w:spacing w:before="0" w:beforeAutospacing="off" w:after="0" w:afterAutospacing="off"/>
              <w:jc w:val="left"/>
              <w:rPr>
                <w:sz w:val="20"/>
                <w:szCs w:val="20"/>
              </w:rPr>
            </w:pPr>
            <w:r w:rsidRPr="46B80AED" w:rsidR="46B80AED">
              <w:rPr>
                <w:sz w:val="20"/>
                <w:szCs w:val="20"/>
              </w:rPr>
              <w:t>Intuit</w:t>
            </w:r>
          </w:p>
        </w:tc>
        <w:tc>
          <w:tcPr>
            <w:cnfStyle w:val="000000000000" w:firstRow="0" w:lastRow="0" w:firstColumn="0" w:lastColumn="0" w:oddVBand="0" w:evenVBand="0" w:oddHBand="0" w:evenHBand="0" w:firstRowFirstColumn="0" w:firstRowLastColumn="0" w:lastRowFirstColumn="0" w:lastRowLastColumn="0"/>
            <w:tcW w:w="4365" w:type="dxa"/>
            <w:tcMar/>
            <w:vAlign w:val="center"/>
          </w:tcPr>
          <w:p w:rsidR="46B80AED" w:rsidP="46B80AED" w:rsidRDefault="46B80AED" w14:paraId="44927C82" w14:textId="0F51CCD7">
            <w:pPr>
              <w:spacing w:before="0" w:beforeAutospacing="off" w:after="0" w:afterAutospacing="off"/>
              <w:jc w:val="left"/>
              <w:rPr>
                <w:sz w:val="20"/>
                <w:szCs w:val="20"/>
              </w:rPr>
            </w:pPr>
            <w:r w:rsidRPr="46B80AED" w:rsidR="46B80AED">
              <w:rPr>
                <w:sz w:val="20"/>
                <w:szCs w:val="20"/>
              </w:rPr>
              <w:t>Alocação interna em pesquisa</w:t>
            </w:r>
          </w:p>
        </w:tc>
        <w:tc>
          <w:tcPr>
            <w:cnfStyle w:val="000000000000" w:firstRow="0" w:lastRow="0" w:firstColumn="0" w:lastColumn="0" w:oddVBand="0" w:evenVBand="0" w:oddHBand="0" w:evenHBand="0" w:firstRowFirstColumn="0" w:firstRowLastColumn="0" w:lastRowFirstColumn="0" w:lastRowLastColumn="0"/>
            <w:tcW w:w="2295" w:type="dxa"/>
            <w:tcMar/>
            <w:vAlign w:val="center"/>
          </w:tcPr>
          <w:p w:rsidR="46B80AED" w:rsidP="46B80AED" w:rsidRDefault="46B80AED" w14:paraId="658715FB" w14:textId="5F6F5B6A">
            <w:pPr>
              <w:spacing w:before="0" w:beforeAutospacing="off" w:after="0" w:afterAutospacing="off"/>
              <w:jc w:val="left"/>
              <w:rPr>
                <w:i w:val="1"/>
                <w:iCs w:val="1"/>
                <w:sz w:val="20"/>
                <w:szCs w:val="20"/>
              </w:rPr>
            </w:pPr>
            <w:r w:rsidRPr="46B80AED" w:rsidR="46B80AED">
              <w:rPr>
                <w:sz w:val="20"/>
                <w:szCs w:val="20"/>
              </w:rPr>
              <w:t xml:space="preserve">Desenvolvimento do assistente </w:t>
            </w:r>
            <w:r w:rsidRPr="46B80AED" w:rsidR="46B80AED">
              <w:rPr>
                <w:i w:val="1"/>
                <w:iCs w:val="1"/>
                <w:sz w:val="20"/>
                <w:szCs w:val="20"/>
              </w:rPr>
              <w:t>Intuit</w:t>
            </w:r>
            <w:r w:rsidRPr="46B80AED" w:rsidR="46B80AED">
              <w:rPr>
                <w:i w:val="1"/>
                <w:iCs w:val="1"/>
                <w:sz w:val="20"/>
                <w:szCs w:val="20"/>
              </w:rPr>
              <w:t xml:space="preserve"> </w:t>
            </w:r>
            <w:r w:rsidRPr="46B80AED" w:rsidR="46B80AED">
              <w:rPr>
                <w:i w:val="1"/>
                <w:iCs w:val="1"/>
                <w:sz w:val="20"/>
                <w:szCs w:val="20"/>
              </w:rPr>
              <w:t>Assist</w:t>
            </w:r>
          </w:p>
        </w:tc>
      </w:tr>
      <w:tr w:rsidR="46B80AED" w:rsidTr="46B80AED" w14:paraId="677A9E83">
        <w:trPr>
          <w:trHeight w:val="300"/>
        </w:trPr>
        <w:tc>
          <w:tcPr>
            <w:cnfStyle w:val="001000000000" w:firstRow="0" w:lastRow="0" w:firstColumn="1" w:lastColumn="0" w:oddVBand="0" w:evenVBand="0" w:oddHBand="0" w:evenHBand="0" w:firstRowFirstColumn="0" w:firstRowLastColumn="0" w:lastRowFirstColumn="0" w:lastRowLastColumn="0"/>
            <w:tcW w:w="2400" w:type="dxa"/>
            <w:tcMar/>
            <w:vAlign w:val="center"/>
          </w:tcPr>
          <w:p w:rsidR="46B80AED" w:rsidP="46B80AED" w:rsidRDefault="46B80AED" w14:paraId="38044EA2" w14:textId="4CC685F6">
            <w:pPr>
              <w:spacing w:before="0" w:beforeAutospacing="off" w:after="0" w:afterAutospacing="off"/>
              <w:jc w:val="left"/>
              <w:rPr>
                <w:sz w:val="20"/>
                <w:szCs w:val="20"/>
              </w:rPr>
            </w:pPr>
            <w:r w:rsidRPr="46B80AED" w:rsidR="46B80AED">
              <w:rPr>
                <w:sz w:val="20"/>
                <w:szCs w:val="20"/>
              </w:rPr>
              <w:t>Block</w:t>
            </w:r>
          </w:p>
        </w:tc>
        <w:tc>
          <w:tcPr>
            <w:cnfStyle w:val="000000000000" w:firstRow="0" w:lastRow="0" w:firstColumn="0" w:lastColumn="0" w:oddVBand="0" w:evenVBand="0" w:oddHBand="0" w:evenHBand="0" w:firstRowFirstColumn="0" w:firstRowLastColumn="0" w:lastRowFirstColumn="0" w:lastRowLastColumn="0"/>
            <w:tcW w:w="4365" w:type="dxa"/>
            <w:tcMar/>
            <w:vAlign w:val="center"/>
          </w:tcPr>
          <w:p w:rsidR="46B80AED" w:rsidP="46B80AED" w:rsidRDefault="46B80AED" w14:paraId="30377F35" w14:textId="74B53E5E">
            <w:pPr>
              <w:spacing w:before="0" w:beforeAutospacing="off" w:after="0" w:afterAutospacing="off"/>
              <w:jc w:val="left"/>
              <w:rPr>
                <w:sz w:val="20"/>
                <w:szCs w:val="20"/>
              </w:rPr>
            </w:pPr>
            <w:r w:rsidRPr="46B80AED" w:rsidR="46B80AED">
              <w:rPr>
                <w:sz w:val="20"/>
                <w:szCs w:val="20"/>
              </w:rPr>
              <w:t>Expansão de equipas de mineração</w:t>
            </w:r>
          </w:p>
        </w:tc>
        <w:tc>
          <w:tcPr>
            <w:cnfStyle w:val="000000000000" w:firstRow="0" w:lastRow="0" w:firstColumn="0" w:lastColumn="0" w:oddVBand="0" w:evenVBand="0" w:oddHBand="0" w:evenHBand="0" w:firstRowFirstColumn="0" w:firstRowLastColumn="0" w:lastRowFirstColumn="0" w:lastRowLastColumn="0"/>
            <w:tcW w:w="2295" w:type="dxa"/>
            <w:tcMar/>
            <w:vAlign w:val="center"/>
          </w:tcPr>
          <w:p w:rsidR="46B80AED" w:rsidP="46B80AED" w:rsidRDefault="46B80AED" w14:paraId="21509EA5" w14:textId="2F3625BB">
            <w:pPr>
              <w:spacing w:before="0" w:beforeAutospacing="off" w:after="0" w:afterAutospacing="off"/>
              <w:jc w:val="left"/>
              <w:rPr>
                <w:sz w:val="20"/>
                <w:szCs w:val="20"/>
              </w:rPr>
            </w:pPr>
            <w:r w:rsidRPr="46B80AED" w:rsidR="46B80AED">
              <w:rPr>
                <w:i w:val="1"/>
                <w:iCs w:val="1"/>
                <w:sz w:val="20"/>
                <w:szCs w:val="20"/>
              </w:rPr>
              <w:t>Hardware</w:t>
            </w:r>
            <w:r w:rsidRPr="46B80AED" w:rsidR="46B80AED">
              <w:rPr>
                <w:sz w:val="20"/>
                <w:szCs w:val="20"/>
              </w:rPr>
              <w:t xml:space="preserve"> focado em inteligência e criptografia</w:t>
            </w:r>
          </w:p>
        </w:tc>
      </w:tr>
      <w:tr w:rsidR="46B80AED" w:rsidTr="46B80AED" w14:paraId="465550B4">
        <w:trPr>
          <w:trHeight w:val="300"/>
        </w:trPr>
        <w:tc>
          <w:tcPr>
            <w:cnfStyle w:val="001000000000" w:firstRow="0" w:lastRow="0" w:firstColumn="1" w:lastColumn="0" w:oddVBand="0" w:evenVBand="0" w:oddHBand="0" w:evenHBand="0" w:firstRowFirstColumn="0" w:firstRowLastColumn="0" w:lastRowFirstColumn="0" w:lastRowLastColumn="0"/>
            <w:tcW w:w="2400" w:type="dxa"/>
            <w:tcMar/>
            <w:vAlign w:val="center"/>
          </w:tcPr>
          <w:p w:rsidR="46B80AED" w:rsidP="46B80AED" w:rsidRDefault="46B80AED" w14:paraId="28079B4F" w14:textId="7C2D6630">
            <w:pPr>
              <w:spacing w:before="0" w:beforeAutospacing="off" w:after="0" w:afterAutospacing="off"/>
              <w:jc w:val="left"/>
              <w:rPr>
                <w:sz w:val="20"/>
                <w:szCs w:val="20"/>
              </w:rPr>
            </w:pPr>
            <w:r w:rsidRPr="46B80AED" w:rsidR="46B80AED">
              <w:rPr>
                <w:sz w:val="20"/>
                <w:szCs w:val="20"/>
              </w:rPr>
              <w:t>Dropbox</w:t>
            </w:r>
          </w:p>
        </w:tc>
        <w:tc>
          <w:tcPr>
            <w:cnfStyle w:val="000000000000" w:firstRow="0" w:lastRow="0" w:firstColumn="0" w:lastColumn="0" w:oddVBand="0" w:evenVBand="0" w:oddHBand="0" w:evenHBand="0" w:firstRowFirstColumn="0" w:firstRowLastColumn="0" w:lastRowFirstColumn="0" w:lastRowLastColumn="0"/>
            <w:tcW w:w="4365" w:type="dxa"/>
            <w:tcMar/>
            <w:vAlign w:val="center"/>
          </w:tcPr>
          <w:p w:rsidR="46B80AED" w:rsidP="46B80AED" w:rsidRDefault="46B80AED" w14:paraId="561437E8" w14:textId="6147C930">
            <w:pPr>
              <w:spacing w:before="0" w:beforeAutospacing="off" w:after="0" w:afterAutospacing="off"/>
              <w:jc w:val="left"/>
              <w:rPr>
                <w:sz w:val="20"/>
                <w:szCs w:val="20"/>
              </w:rPr>
            </w:pPr>
            <w:r w:rsidRPr="46B80AED" w:rsidR="46B80AED">
              <w:rPr>
                <w:sz w:val="20"/>
                <w:szCs w:val="20"/>
              </w:rPr>
              <w:t>Alocação interna em pesquisa</w:t>
            </w:r>
          </w:p>
        </w:tc>
        <w:tc>
          <w:tcPr>
            <w:cnfStyle w:val="000000000000" w:firstRow="0" w:lastRow="0" w:firstColumn="0" w:lastColumn="0" w:oddVBand="0" w:evenVBand="0" w:oddHBand="0" w:evenHBand="0" w:firstRowFirstColumn="0" w:firstRowLastColumn="0" w:lastRowFirstColumn="0" w:lastRowLastColumn="0"/>
            <w:tcW w:w="2295" w:type="dxa"/>
            <w:tcMar/>
            <w:vAlign w:val="center"/>
          </w:tcPr>
          <w:p w:rsidR="46B80AED" w:rsidP="46B80AED" w:rsidRDefault="46B80AED" w14:paraId="6C66EFFB" w14:textId="25AFA4E1">
            <w:pPr>
              <w:spacing w:before="0" w:beforeAutospacing="off" w:after="0" w:afterAutospacing="off"/>
              <w:jc w:val="left"/>
              <w:rPr>
                <w:i w:val="1"/>
                <w:iCs w:val="1"/>
                <w:sz w:val="20"/>
                <w:szCs w:val="20"/>
              </w:rPr>
            </w:pPr>
            <w:r w:rsidRPr="46B80AED" w:rsidR="46B80AED">
              <w:rPr>
                <w:sz w:val="20"/>
                <w:szCs w:val="20"/>
              </w:rPr>
              <w:t xml:space="preserve">Integração da ferramenta de busca </w:t>
            </w:r>
            <w:r w:rsidRPr="46B80AED" w:rsidR="46B80AED">
              <w:rPr>
                <w:i w:val="1"/>
                <w:iCs w:val="1"/>
                <w:sz w:val="20"/>
                <w:szCs w:val="20"/>
              </w:rPr>
              <w:t>Dash AI</w:t>
            </w:r>
          </w:p>
        </w:tc>
      </w:tr>
      <w:tr w:rsidR="46B80AED" w:rsidTr="46B80AED" w14:paraId="1E0F7E80">
        <w:trPr>
          <w:trHeight w:val="300"/>
        </w:trPr>
        <w:tc>
          <w:tcPr>
            <w:cnfStyle w:val="001000000000" w:firstRow="0" w:lastRow="0" w:firstColumn="1" w:lastColumn="0" w:oddVBand="0" w:evenVBand="0" w:oddHBand="0" w:evenHBand="0" w:firstRowFirstColumn="0" w:firstRowLastColumn="0" w:lastRowFirstColumn="0" w:lastRowLastColumn="0"/>
            <w:tcW w:w="2400" w:type="dxa"/>
            <w:tcMar/>
            <w:vAlign w:val="center"/>
          </w:tcPr>
          <w:p w:rsidR="46B80AED" w:rsidP="46B80AED" w:rsidRDefault="46B80AED" w14:paraId="27207727" w14:textId="6A7FEE4B">
            <w:pPr>
              <w:spacing w:before="0" w:beforeAutospacing="off" w:after="0" w:afterAutospacing="off"/>
              <w:jc w:val="left"/>
              <w:rPr>
                <w:sz w:val="20"/>
                <w:szCs w:val="20"/>
              </w:rPr>
            </w:pPr>
            <w:r w:rsidRPr="46B80AED" w:rsidR="46B80AED">
              <w:rPr>
                <w:sz w:val="20"/>
                <w:szCs w:val="20"/>
              </w:rPr>
              <w:t>IBM</w:t>
            </w:r>
          </w:p>
        </w:tc>
        <w:tc>
          <w:tcPr>
            <w:cnfStyle w:val="000000000000" w:firstRow="0" w:lastRow="0" w:firstColumn="0" w:lastColumn="0" w:oddVBand="0" w:evenVBand="0" w:oddHBand="0" w:evenHBand="0" w:firstRowFirstColumn="0" w:firstRowLastColumn="0" w:lastRowFirstColumn="0" w:lastRowLastColumn="0"/>
            <w:tcW w:w="4365" w:type="dxa"/>
            <w:tcMar/>
            <w:vAlign w:val="center"/>
          </w:tcPr>
          <w:p w:rsidR="46B80AED" w:rsidP="46B80AED" w:rsidRDefault="46B80AED" w14:paraId="7C248001" w14:textId="21DF86F8">
            <w:pPr>
              <w:spacing w:before="0" w:beforeAutospacing="off" w:after="0" w:afterAutospacing="off"/>
              <w:jc w:val="left"/>
              <w:rPr>
                <w:sz w:val="20"/>
                <w:szCs w:val="20"/>
              </w:rPr>
            </w:pPr>
            <w:r w:rsidRPr="46B80AED" w:rsidR="46B80AED">
              <w:rPr>
                <w:sz w:val="20"/>
                <w:szCs w:val="20"/>
              </w:rPr>
              <w:t>Aquisições sistémicas (</w:t>
            </w:r>
            <w:r w:rsidRPr="46B80AED" w:rsidR="46B80AED">
              <w:rPr>
                <w:i w:val="1"/>
                <w:iCs w:val="1"/>
                <w:sz w:val="20"/>
                <w:szCs w:val="20"/>
              </w:rPr>
              <w:t>Apptio</w:t>
            </w:r>
            <w:r w:rsidRPr="46B80AED" w:rsidR="46B80AED">
              <w:rPr>
                <w:sz w:val="20"/>
                <w:szCs w:val="20"/>
              </w:rPr>
              <w:t>)</w:t>
            </w:r>
          </w:p>
        </w:tc>
        <w:tc>
          <w:tcPr>
            <w:cnfStyle w:val="000000000000" w:firstRow="0" w:lastRow="0" w:firstColumn="0" w:lastColumn="0" w:oddVBand="0" w:evenVBand="0" w:oddHBand="0" w:evenHBand="0" w:firstRowFirstColumn="0" w:firstRowLastColumn="0" w:lastRowFirstColumn="0" w:lastRowLastColumn="0"/>
            <w:tcW w:w="2295" w:type="dxa"/>
            <w:tcMar/>
            <w:vAlign w:val="center"/>
          </w:tcPr>
          <w:p w:rsidR="46B80AED" w:rsidP="46B80AED" w:rsidRDefault="46B80AED" w14:paraId="0A0094BE" w14:textId="13D9340A">
            <w:pPr>
              <w:spacing w:before="0" w:beforeAutospacing="off" w:after="0" w:afterAutospacing="off"/>
              <w:jc w:val="left"/>
              <w:rPr>
                <w:i w:val="1"/>
                <w:iCs w:val="1"/>
                <w:sz w:val="20"/>
                <w:szCs w:val="20"/>
              </w:rPr>
            </w:pPr>
            <w:r w:rsidRPr="46B80AED" w:rsidR="46B80AED">
              <w:rPr>
                <w:sz w:val="20"/>
                <w:szCs w:val="20"/>
              </w:rPr>
              <w:t xml:space="preserve">Expansão da plataforma corporativa </w:t>
            </w:r>
            <w:r w:rsidRPr="46B80AED" w:rsidR="46B80AED">
              <w:rPr>
                <w:i w:val="1"/>
                <w:iCs w:val="1"/>
                <w:sz w:val="20"/>
                <w:szCs w:val="20"/>
              </w:rPr>
              <w:t>Watsonx</w:t>
            </w:r>
          </w:p>
        </w:tc>
      </w:tr>
    </w:tbl>
    <w:p w:rsidR="185DE5E9" w:rsidP="46B80AED" w:rsidRDefault="185DE5E9" w14:paraId="30C534A4" w14:textId="06C16FFE">
      <w:pPr>
        <w:pStyle w:val="Normal"/>
        <w:spacing w:before="0" w:beforeAutospacing="off" w:after="120" w:afterAutospacing="off" w:line="240" w:lineRule="auto"/>
        <w:ind w:firstLine="0"/>
        <w:jc w:val="both"/>
        <w:rPr>
          <w:sz w:val="18"/>
          <w:szCs w:val="18"/>
        </w:rPr>
      </w:pPr>
      <w:r w:rsidRPr="46B80AED" w:rsidR="185DE5E9">
        <w:rPr>
          <w:rFonts w:ascii="Times New Roman" w:hAnsi="Times New Roman"/>
          <w:sz w:val="24"/>
          <w:szCs w:val="20"/>
        </w:rPr>
        <w:t>Nota. Valores extraídos de anúncios de fusões, aquisições e lançamentos de produtos nos portais de relações com investidores das respectivas entidades. Fonte: Elaborada pelo autor (2026).</w:t>
      </w:r>
    </w:p>
    <w:p w:rsidR="185DE5E9" w:rsidP="46B80AED" w:rsidRDefault="185DE5E9" w14:paraId="379A9B34" w14:textId="5A3CA042">
      <w:pPr>
        <w:pStyle w:val="Normal"/>
        <w:spacing w:before="0" w:beforeAutospacing="off" w:after="120" w:afterAutospacing="off" w:line="240" w:lineRule="auto"/>
        <w:ind w:firstLine="0"/>
        <w:jc w:val="both"/>
      </w:pPr>
      <w:r w:rsidR="185DE5E9">
        <w:rPr>
          <w:rFonts w:ascii="Times New Roman" w:hAnsi="Times New Roman"/>
          <w:sz w:val="24"/>
        </w:rPr>
        <w:t>O contraste entre a eliminação de postos operacionais e o aporte de bilhões em aquisições denota uma escolha discricionária de realocação de capital (Barney &amp; Clark, 2007). Por conseguinte, a tecnologia atua como o vetor para o qual os recursos financeiros são redirecionados, e não exclusivamente como a ferramenta autônoma que tornou os empregados redundantes por excelência laborativa.</w:t>
      </w:r>
    </w:p>
    <w:p w:rsidR="185DE5E9" w:rsidP="46B80AED" w:rsidRDefault="185DE5E9" w14:paraId="3226F581" w14:textId="38D84693">
      <w:pPr>
        <w:pStyle w:val="Normal"/>
        <w:spacing w:before="0" w:beforeAutospacing="off" w:after="120" w:afterAutospacing="off" w:line="240" w:lineRule="auto"/>
        <w:ind w:firstLine="0"/>
        <w:jc w:val="both"/>
        <w:rPr>
          <w:b w:val="1"/>
          <w:bCs w:val="1"/>
        </w:rPr>
      </w:pPr>
      <w:r w:rsidRPr="46B80AED" w:rsidR="185DE5E9">
        <w:rPr>
          <w:rFonts w:ascii="Times New Roman" w:hAnsi="Times New Roman"/>
          <w:b w:val="1"/>
          <w:bCs w:val="1"/>
          <w:sz w:val="24"/>
        </w:rPr>
        <w:t xml:space="preserve">4.4 Heterogeneidade do Fenômeno: Níveis de AI </w:t>
      </w:r>
      <w:r w:rsidRPr="46B80AED" w:rsidR="185DE5E9">
        <w:rPr>
          <w:rFonts w:ascii="Times New Roman" w:hAnsi="Times New Roman"/>
          <w:b w:val="1"/>
          <w:bCs w:val="1"/>
          <w:sz w:val="24"/>
        </w:rPr>
        <w:t>Scapegoating</w:t>
      </w:r>
      <w:r w:rsidRPr="46B80AED" w:rsidR="185DE5E9">
        <w:rPr>
          <w:rFonts w:ascii="Times New Roman" w:hAnsi="Times New Roman"/>
          <w:b w:val="1"/>
          <w:bCs w:val="1"/>
          <w:sz w:val="24"/>
        </w:rPr>
        <w:t xml:space="preserve"> </w:t>
      </w:r>
    </w:p>
    <w:p w:rsidR="185DE5E9" w:rsidP="46B80AED" w:rsidRDefault="185DE5E9" w14:paraId="07F44EE7" w14:textId="016BA19F">
      <w:pPr>
        <w:pStyle w:val="Normal"/>
        <w:spacing w:before="0" w:beforeAutospacing="off" w:after="120" w:afterAutospacing="off" w:line="240" w:lineRule="auto"/>
        <w:ind w:firstLine="0"/>
        <w:jc w:val="both"/>
      </w:pPr>
      <w:r w:rsidR="185DE5E9">
        <w:rPr>
          <w:rFonts w:ascii="Times New Roman" w:hAnsi="Times New Roman"/>
          <w:sz w:val="24"/>
        </w:rPr>
        <w:t xml:space="preserve">Embora as corporações apresentem padrões convergentes de utilização do argumento digital, a análise dos determinantes contábeis e históricos permitiu a classificação do corpus em três estratos de instrumentalização discursiva. O primeiro grupo, caracterizado como AI </w:t>
      </w:r>
      <w:r w:rsidR="185DE5E9">
        <w:rPr>
          <w:rFonts w:ascii="Times New Roman" w:hAnsi="Times New Roman"/>
          <w:sz w:val="24"/>
        </w:rPr>
        <w:t>Scapegoating</w:t>
      </w:r>
      <w:r w:rsidR="185DE5E9">
        <w:rPr>
          <w:rFonts w:ascii="Times New Roman" w:hAnsi="Times New Roman"/>
          <w:sz w:val="24"/>
        </w:rPr>
        <w:t xml:space="preserve"> Forte, compreende a </w:t>
      </w:r>
      <w:r w:rsidR="185DE5E9">
        <w:rPr>
          <w:rFonts w:ascii="Times New Roman" w:hAnsi="Times New Roman"/>
          <w:sz w:val="24"/>
        </w:rPr>
        <w:t>Salesforce</w:t>
      </w:r>
      <w:r w:rsidR="185DE5E9">
        <w:rPr>
          <w:rFonts w:ascii="Times New Roman" w:hAnsi="Times New Roman"/>
          <w:sz w:val="24"/>
        </w:rPr>
        <w:t xml:space="preserve"> e a Block. Nessas companhias, observou-se a sobreposição de altíssima sobrecontratação pandêmica (superiores a 40%) e o emprego estrito do determinismo tecnológico nas falas dos gestores. Consequentemente, a narrativa operou com elevada intensidade para mascarar o redimensionamento funcional provocado por decisões passadas.</w:t>
      </w:r>
    </w:p>
    <w:p w:rsidR="185DE5E9" w:rsidP="46B80AED" w:rsidRDefault="185DE5E9" w14:paraId="6CCE23A4" w14:textId="478246C0">
      <w:pPr>
        <w:pStyle w:val="Normal"/>
        <w:spacing w:before="0" w:beforeAutospacing="off" w:after="120" w:afterAutospacing="off" w:line="240" w:lineRule="auto"/>
        <w:ind w:firstLine="0"/>
        <w:jc w:val="both"/>
      </w:pPr>
      <w:r w:rsidR="185DE5E9">
        <w:rPr>
          <w:rFonts w:ascii="Times New Roman" w:hAnsi="Times New Roman"/>
          <w:sz w:val="24"/>
        </w:rPr>
        <w:t xml:space="preserve">O segundo grupo, definido como AI </w:t>
      </w:r>
      <w:r w:rsidR="185DE5E9">
        <w:rPr>
          <w:rFonts w:ascii="Times New Roman" w:hAnsi="Times New Roman"/>
          <w:sz w:val="24"/>
        </w:rPr>
        <w:t>Scapegoating</w:t>
      </w:r>
      <w:r w:rsidR="185DE5E9">
        <w:rPr>
          <w:rFonts w:ascii="Times New Roman" w:hAnsi="Times New Roman"/>
          <w:sz w:val="24"/>
        </w:rPr>
        <w:t xml:space="preserve"> Moderado, abarca a Cisco, a </w:t>
      </w:r>
      <w:r w:rsidR="185DE5E9">
        <w:rPr>
          <w:rFonts w:ascii="Times New Roman" w:hAnsi="Times New Roman"/>
          <w:sz w:val="24"/>
        </w:rPr>
        <w:t>Intuit</w:t>
      </w:r>
      <w:r w:rsidR="185DE5E9">
        <w:rPr>
          <w:rFonts w:ascii="Times New Roman" w:hAnsi="Times New Roman"/>
          <w:sz w:val="24"/>
        </w:rPr>
        <w:t xml:space="preserve"> e a Dropbox. Essas organizações apresentaram crescimento funcional mais conservador (aproximadamente 10% a 20%) e combinaram a justificativa de automação com o reconhecimento de decisões de redirecionamento estratégico de portfólio. Por fim, o terceiro grupo foi classificado </w:t>
      </w:r>
      <w:r w:rsidR="185DE5E9">
        <w:rPr>
          <w:rFonts w:ascii="Times New Roman" w:hAnsi="Times New Roman"/>
          <w:sz w:val="24"/>
        </w:rPr>
        <w:t xml:space="preserve">como </w:t>
      </w:r>
      <w:r w:rsidR="7879AC91">
        <w:rPr>
          <w:rFonts w:ascii="Times New Roman" w:hAnsi="Times New Roman"/>
          <w:sz w:val="24"/>
        </w:rPr>
        <w:t>“a</w:t>
      </w:r>
      <w:r w:rsidR="185DE5E9">
        <w:rPr>
          <w:rFonts w:ascii="Times New Roman" w:hAnsi="Times New Roman"/>
          <w:sz w:val="24"/>
        </w:rPr>
        <w:t>mbíguo</w:t>
      </w:r>
      <w:r w:rsidR="7907F65C">
        <w:rPr>
          <w:rFonts w:ascii="Times New Roman" w:hAnsi="Times New Roman"/>
          <w:sz w:val="24"/>
        </w:rPr>
        <w:t>”</w:t>
      </w:r>
      <w:r w:rsidR="185DE5E9">
        <w:rPr>
          <w:rFonts w:ascii="Times New Roman" w:hAnsi="Times New Roman"/>
          <w:sz w:val="24"/>
        </w:rPr>
        <w:t xml:space="preserve">, representado unicamente pela IBM. Nesse caso específico, a corporação não apresentou expansão pandêmica de pessoal, registrando uma contração gradativa ao longo de meia década. Devido a esse fato, a alegação de substituição de funções burocráticas por ferramentas da plataforma </w:t>
      </w:r>
      <w:r w:rsidR="185DE5E9">
        <w:rPr>
          <w:rFonts w:ascii="Times New Roman" w:hAnsi="Times New Roman"/>
          <w:sz w:val="24"/>
        </w:rPr>
        <w:t>Watsonx</w:t>
      </w:r>
      <w:r w:rsidR="185DE5E9">
        <w:rPr>
          <w:rFonts w:ascii="Times New Roman" w:hAnsi="Times New Roman"/>
          <w:sz w:val="24"/>
        </w:rPr>
        <w:t xml:space="preserve"> pode conter elementos parciais de reestruturação por eficiência algorítmica. Não obstante, a ausência de métricas de produtividade publicizadas impede a validação absoluta dessa hipótese (Abel et al., 2022).</w:t>
      </w:r>
    </w:p>
    <w:p w:rsidR="185DE5E9" w:rsidP="46B80AED" w:rsidRDefault="185DE5E9" w14:paraId="3E76F06A" w14:textId="4FA8F3F2">
      <w:pPr>
        <w:pStyle w:val="Normal"/>
        <w:spacing w:before="0" w:beforeAutospacing="off" w:after="120" w:afterAutospacing="off" w:line="240" w:lineRule="auto"/>
        <w:ind w:firstLine="0"/>
        <w:jc w:val="both"/>
        <w:rPr>
          <w:b w:val="1"/>
          <w:bCs w:val="1"/>
        </w:rPr>
      </w:pPr>
      <w:r w:rsidRPr="46B80AED" w:rsidR="185DE5E9">
        <w:rPr>
          <w:rFonts w:ascii="Times New Roman" w:hAnsi="Times New Roman"/>
          <w:b w:val="1"/>
          <w:bCs w:val="1"/>
          <w:sz w:val="24"/>
        </w:rPr>
        <w:t>5. Conclusão</w:t>
      </w:r>
    </w:p>
    <w:p w:rsidR="185DE5E9" w:rsidP="46B80AED" w:rsidRDefault="185DE5E9" w14:paraId="72DE21DE" w14:textId="05615598">
      <w:pPr>
        <w:pStyle w:val="Normal"/>
        <w:spacing w:before="0" w:beforeAutospacing="off" w:after="120" w:afterAutospacing="off" w:line="240" w:lineRule="auto"/>
        <w:ind w:firstLine="0"/>
        <w:jc w:val="both"/>
        <w:rPr>
          <w:b w:val="1"/>
          <w:bCs w:val="1"/>
        </w:rPr>
      </w:pPr>
      <w:r w:rsidRPr="46B80AED" w:rsidR="185DE5E9">
        <w:rPr>
          <w:rFonts w:ascii="Times New Roman" w:hAnsi="Times New Roman"/>
          <w:b w:val="1"/>
          <w:bCs w:val="1"/>
          <w:sz w:val="24"/>
        </w:rPr>
        <w:t xml:space="preserve">5.1 Síntese e Contribuições </w:t>
      </w:r>
    </w:p>
    <w:p w:rsidR="185DE5E9" w:rsidP="46B80AED" w:rsidRDefault="185DE5E9" w14:paraId="13616D22" w14:textId="506A955E">
      <w:pPr>
        <w:pStyle w:val="Normal"/>
        <w:spacing w:before="0" w:beforeAutospacing="off" w:after="120" w:afterAutospacing="off" w:line="240" w:lineRule="auto"/>
        <w:ind w:firstLine="0"/>
        <w:jc w:val="both"/>
      </w:pPr>
      <w:r w:rsidR="185DE5E9">
        <w:rPr>
          <w:rFonts w:ascii="Times New Roman" w:hAnsi="Times New Roman"/>
          <w:sz w:val="24"/>
        </w:rPr>
        <w:t>A presente pesquisa foi conduzida com o objetivo de analisar a coerência empírica das declarações corporativas que atribuem demissões em massa à implantação de ferramentas de inteligência artificial. Com base no cruzamento de manifestações executivas e indicadores contábeis de seis companhias de tecnologia, conclui-se que o argumento da automação opera frequentemente como pretexto discursivo. Diante da ausência de dados públicos que comprovem incrementos de produtividade hábeis a gerar redundância humana, a justificativa analisada carece de sustentação material plena. Em vez disso, as evidências apontam para a adoção de estratégias gerenciais voltadas à correção de sobrecontratações pandêmicas e à satisfação de investidores por meio da elevação de margens de lucro de curto prazo.</w:t>
      </w:r>
    </w:p>
    <w:p w:rsidR="185DE5E9" w:rsidP="46B80AED" w:rsidRDefault="185DE5E9" w14:paraId="198EBE94" w14:textId="6DFB1E01">
      <w:pPr>
        <w:pStyle w:val="Normal"/>
        <w:spacing w:before="0" w:beforeAutospacing="off" w:after="120" w:afterAutospacing="off" w:line="240" w:lineRule="auto"/>
        <w:ind w:firstLine="0"/>
        <w:jc w:val="both"/>
      </w:pPr>
      <w:r w:rsidR="185DE5E9">
        <w:rPr>
          <w:rFonts w:ascii="Times New Roman" w:hAnsi="Times New Roman"/>
          <w:sz w:val="24"/>
        </w:rPr>
        <w:t xml:space="preserve">O estudo oferece contribuições originais ao campo da administração. No âmbito teórico, a pesquisa comprova a aderência do Paradoxo de Solow ao nível das firmas e amplia a abrangência da Teoria da Agência. Para tanto, demonstra-se como os gestores externalizam responsabilidades por meio de narrativas de inovação, protegendo o próprio capital reputacional. Adicionalmente, o trabalho consolida o construto AI </w:t>
      </w:r>
      <w:r w:rsidR="185DE5E9">
        <w:rPr>
          <w:rFonts w:ascii="Times New Roman" w:hAnsi="Times New Roman"/>
          <w:sz w:val="24"/>
        </w:rPr>
        <w:t>Scapegoating</w:t>
      </w:r>
      <w:r w:rsidR="185DE5E9">
        <w:rPr>
          <w:rFonts w:ascii="Times New Roman" w:hAnsi="Times New Roman"/>
          <w:sz w:val="24"/>
        </w:rPr>
        <w:t>, diferenciando a instrumentalização de demissões das práticas tradicionais de marketing ilusório. No domínio prático, as matrizes de análise aqui desenvolvidas fornecem um roteiro estruturado para que auditores, investidores institucionais e reguladores confrontem promessas de eficiência tecnológica com métricas contábeis objetivas.</w:t>
      </w:r>
    </w:p>
    <w:p w:rsidR="185DE5E9" w:rsidP="46B80AED" w:rsidRDefault="185DE5E9" w14:paraId="18D2FD50" w14:textId="339B97C7">
      <w:pPr>
        <w:pStyle w:val="Normal"/>
        <w:spacing w:before="0" w:beforeAutospacing="off" w:after="120" w:afterAutospacing="off" w:line="240" w:lineRule="auto"/>
        <w:ind w:firstLine="0"/>
        <w:jc w:val="both"/>
        <w:rPr>
          <w:b w:val="1"/>
          <w:bCs w:val="1"/>
        </w:rPr>
      </w:pPr>
      <w:r w:rsidRPr="46B80AED" w:rsidR="185DE5E9">
        <w:rPr>
          <w:rFonts w:ascii="Times New Roman" w:hAnsi="Times New Roman"/>
          <w:b w:val="1"/>
          <w:bCs w:val="1"/>
          <w:sz w:val="24"/>
        </w:rPr>
        <w:t xml:space="preserve">5.2 Implicações em Mercados Emergentes e Limitações </w:t>
      </w:r>
    </w:p>
    <w:p w:rsidR="185DE5E9" w:rsidP="46B80AED" w:rsidRDefault="185DE5E9" w14:paraId="50DC81C3" w14:textId="1291A175">
      <w:pPr>
        <w:pStyle w:val="Normal"/>
        <w:spacing w:before="0" w:beforeAutospacing="off" w:after="120" w:afterAutospacing="off" w:line="240" w:lineRule="auto"/>
        <w:ind w:firstLine="0"/>
        <w:jc w:val="both"/>
      </w:pPr>
      <w:r w:rsidR="185DE5E9">
        <w:rPr>
          <w:rFonts w:ascii="Times New Roman" w:hAnsi="Times New Roman"/>
          <w:sz w:val="24"/>
        </w:rPr>
        <w:t>No que tange aos desdobramentos práticos, os achados possuem relevância extensível a mercados em desenvolvimento, a exemplo da América Latina. Considerando a importação sistemática de modelos de gestão operada por filiais multinacionais no Brasil, as partes interessadas poderiam demandar a comprovação regionalizada de ganhos de produtividade antes de endossarem reestruturações produtivas fundamentadas puramente em automação. Diante desse panorama, o estudo abre espaço para o debate sobre a formulação de diretrizes de transparência corporativa adequadas às particularidades regulatórias da legislação trabalhista nacional.</w:t>
      </w:r>
    </w:p>
    <w:p w:rsidR="185DE5E9" w:rsidP="46B80AED" w:rsidRDefault="185DE5E9" w14:paraId="42E4B729" w14:textId="25CFD715">
      <w:pPr>
        <w:pStyle w:val="Normal"/>
        <w:spacing w:before="0" w:beforeAutospacing="off" w:after="120" w:afterAutospacing="off" w:line="240" w:lineRule="auto"/>
        <w:ind w:firstLine="0"/>
        <w:jc w:val="both"/>
      </w:pPr>
      <w:r w:rsidR="185DE5E9">
        <w:rPr>
          <w:rFonts w:ascii="Times New Roman" w:hAnsi="Times New Roman"/>
          <w:sz w:val="24"/>
        </w:rPr>
        <w:t>Cabe ressaltar que a interpretação dos resultados está sujeita a limitações metodológicas. Primariamente, a amostra concentrou-se exclusivamente em organizações norte-americanas do setor de tecnologia, restringindo a generalização estatística para outros segmentos econômicos tradicionais. Ademais, o estudo baseou-se em fontes públicas e formulários protocolados em órgãos reguladores, cenário que impossibilita o acesso às deliberações privadas dos conselhos de administração. Por fim, a codificação documental foi executada mediante protocolo de revisão intrapessoal, reconhecendo-se a ausência de múltiplos codificadores independentes. A despeito dessas restrições, a aplicação de fundamentação teórica consolidada confere robustez aos padrões identificados.</w:t>
      </w:r>
    </w:p>
    <w:p w:rsidR="185DE5E9" w:rsidP="46B80AED" w:rsidRDefault="185DE5E9" w14:paraId="02DD98F6" w14:textId="4B373ACC">
      <w:pPr>
        <w:pStyle w:val="Normal"/>
        <w:spacing w:before="0" w:beforeAutospacing="off" w:after="120" w:afterAutospacing="off" w:line="240" w:lineRule="auto"/>
        <w:ind w:firstLine="0"/>
        <w:jc w:val="both"/>
        <w:rPr>
          <w:b w:val="1"/>
          <w:bCs w:val="1"/>
        </w:rPr>
      </w:pPr>
      <w:r w:rsidRPr="46B80AED" w:rsidR="185DE5E9">
        <w:rPr>
          <w:rFonts w:ascii="Times New Roman" w:hAnsi="Times New Roman"/>
          <w:b w:val="1"/>
          <w:bCs w:val="1"/>
          <w:sz w:val="24"/>
        </w:rPr>
        <w:t xml:space="preserve">5.3 Recomendações para Pesquisas Futuras </w:t>
      </w:r>
    </w:p>
    <w:p w:rsidR="185DE5E9" w:rsidP="46B80AED" w:rsidRDefault="185DE5E9" w14:paraId="6391FF44" w14:textId="4DBED947">
      <w:pPr>
        <w:pStyle w:val="Normal"/>
        <w:spacing w:before="0" w:beforeAutospacing="off" w:after="120" w:afterAutospacing="off" w:line="240" w:lineRule="auto"/>
        <w:ind w:firstLine="0"/>
        <w:jc w:val="both"/>
      </w:pPr>
      <w:r w:rsidR="185DE5E9">
        <w:rPr>
          <w:rFonts w:ascii="Times New Roman" w:hAnsi="Times New Roman"/>
          <w:sz w:val="24"/>
        </w:rPr>
        <w:t>À luz das evidências apresentadas, recomenda-se que investigações subsequentes adotem abordagens quantitativas longitudinais para mensurar, em um horizonte de três a cinco anos, se as companhias analisadas materializaram os ganhos operacionais prometidos pela eliminação de mão de obra. De forma complementar, estudos qualitativos mediante entrevistas com profissionais de recursos humanos permitiriam acessar as perspectivas internas dos processos rescisórios. Em última análise, a compreensão fidedigna dos impactos da inteligência artificial exige a separação metódica entre o avanço tecnológico tangível e as narrativas organizacionais instrumentalizadas.</w:t>
      </w:r>
    </w:p>
    <w:p w:rsidR="1F0DB130" w:rsidP="46B80AED" w:rsidRDefault="1F0DB130" w14:paraId="2CC69C6C" w14:textId="001D6E0A">
      <w:pPr>
        <w:pStyle w:val="Normal"/>
        <w:suppressLineNumbers w:val="0"/>
        <w:bidi w:val="0"/>
        <w:spacing w:before="0" w:beforeAutospacing="off" w:after="120" w:afterAutospacing="off" w:line="240" w:lineRule="auto"/>
        <w:ind w:left="0" w:right="0" w:firstLine="0"/>
        <w:jc w:val="both"/>
      </w:pPr>
      <w:r w:rsidRPr="46B80AED" w:rsidR="1F0DB130">
        <w:rPr>
          <w:rFonts w:ascii="Times New Roman" w:hAnsi="Times New Roman"/>
          <w:b w:val="1"/>
          <w:bCs w:val="1"/>
          <w:sz w:val="24"/>
        </w:rPr>
        <w:t>Referências</w:t>
      </w:r>
    </w:p>
    <w:p w:rsidR="465684DF" w:rsidP="46B80AED" w:rsidRDefault="465684DF" w14:paraId="01D4B341" w14:textId="3F5641D0">
      <w:pPr>
        <w:spacing w:before="0" w:beforeAutospacing="off" w:after="120" w:afterAutospacing="off" w:line="240" w:lineRule="auto"/>
        <w:ind w:left="720" w:firstLine="0"/>
        <w:jc w:val="both"/>
      </w:pPr>
      <w:r w:rsidRPr="46B80AED" w:rsidR="465684DF">
        <w:rPr>
          <w:rFonts w:ascii="Times New Roman" w:hAnsi="Times New Roman" w:eastAsia="Times New Roman" w:cs="Times New Roman"/>
          <w:noProof w:val="0"/>
          <w:sz w:val="24"/>
          <w:szCs w:val="24"/>
          <w:lang w:val="pt-BR"/>
        </w:rPr>
        <w:t xml:space="preserve">Abel, J. R., Dey, I., &amp; Gabe, T. M. (2022). The modern Solow paradox: In search for </w:t>
      </w:r>
      <w:r w:rsidRPr="46B80AED" w:rsidR="465684DF">
        <w:rPr>
          <w:rFonts w:ascii="Times New Roman" w:hAnsi="Times New Roman" w:eastAsia="Times New Roman" w:cs="Times New Roman"/>
          <w:noProof w:val="0"/>
          <w:sz w:val="24"/>
          <w:szCs w:val="24"/>
          <w:lang w:val="pt-BR"/>
        </w:rPr>
        <w:t>explanations</w:t>
      </w:r>
      <w:r w:rsidRPr="46B80AED" w:rsidR="465684DF">
        <w:rPr>
          <w:rFonts w:ascii="Times New Roman" w:hAnsi="Times New Roman" w:eastAsia="Times New Roman" w:cs="Times New Roman"/>
          <w:noProof w:val="0"/>
          <w:sz w:val="24"/>
          <w:szCs w:val="24"/>
          <w:lang w:val="pt-BR"/>
        </w:rPr>
        <w:t xml:space="preserve">. </w:t>
      </w:r>
      <w:r w:rsidRPr="46B80AED" w:rsidR="465684DF">
        <w:rPr>
          <w:rFonts w:ascii="Times New Roman" w:hAnsi="Times New Roman" w:eastAsia="Times New Roman" w:cs="Times New Roman"/>
          <w:i w:val="1"/>
          <w:iCs w:val="1"/>
          <w:noProof w:val="0"/>
          <w:sz w:val="24"/>
          <w:szCs w:val="24"/>
          <w:lang w:val="pt-BR"/>
        </w:rPr>
        <w:t>Economics of Innovation and New Technology</w:t>
      </w:r>
      <w:r w:rsidRPr="46B80AED" w:rsidR="465684DF">
        <w:rPr>
          <w:rFonts w:ascii="Times New Roman" w:hAnsi="Times New Roman" w:eastAsia="Times New Roman" w:cs="Times New Roman"/>
          <w:noProof w:val="0"/>
          <w:sz w:val="24"/>
          <w:szCs w:val="24"/>
          <w:lang w:val="pt-BR"/>
        </w:rPr>
        <w:t xml:space="preserve">, </w:t>
      </w:r>
      <w:r w:rsidRPr="46B80AED" w:rsidR="465684DF">
        <w:rPr>
          <w:rFonts w:ascii="Times New Roman" w:hAnsi="Times New Roman" w:eastAsia="Times New Roman" w:cs="Times New Roman"/>
          <w:i w:val="1"/>
          <w:iCs w:val="1"/>
          <w:noProof w:val="0"/>
          <w:sz w:val="24"/>
          <w:szCs w:val="24"/>
          <w:lang w:val="pt-BR"/>
        </w:rPr>
        <w:t>31</w:t>
      </w:r>
      <w:r w:rsidRPr="46B80AED" w:rsidR="465684DF">
        <w:rPr>
          <w:rFonts w:ascii="Times New Roman" w:hAnsi="Times New Roman" w:eastAsia="Times New Roman" w:cs="Times New Roman"/>
          <w:noProof w:val="0"/>
          <w:sz w:val="24"/>
          <w:szCs w:val="24"/>
          <w:lang w:val="pt-BR"/>
        </w:rPr>
        <w:t xml:space="preserve">(1-2), 1–17. </w:t>
      </w:r>
      <w:hyperlink r:id="R3b45dc4474a3400b">
        <w:r w:rsidRPr="46B80AED" w:rsidR="465684DF">
          <w:rPr>
            <w:rStyle w:val="Hyperlink"/>
            <w:rFonts w:ascii="Times New Roman" w:hAnsi="Times New Roman" w:eastAsia="Times New Roman" w:cs="Times New Roman"/>
            <w:noProof w:val="0"/>
            <w:sz w:val="24"/>
            <w:szCs w:val="24"/>
            <w:lang w:val="pt-BR"/>
          </w:rPr>
          <w:t>https://doi.org/10.1080/10438599.2021.1961626</w:t>
        </w:r>
      </w:hyperlink>
    </w:p>
    <w:p w:rsidR="465684DF" w:rsidP="46B80AED" w:rsidRDefault="465684DF" w14:paraId="5A7866C9" w14:textId="04C80188">
      <w:pPr>
        <w:spacing w:before="0" w:beforeAutospacing="off" w:after="120" w:afterAutospacing="off" w:line="240" w:lineRule="auto"/>
        <w:ind w:left="720" w:firstLine="0"/>
        <w:jc w:val="both"/>
      </w:pPr>
      <w:r w:rsidRPr="46B80AED" w:rsidR="465684DF">
        <w:rPr>
          <w:rFonts w:ascii="Times New Roman" w:hAnsi="Times New Roman" w:eastAsia="Times New Roman" w:cs="Times New Roman"/>
          <w:noProof w:val="0"/>
          <w:sz w:val="24"/>
          <w:szCs w:val="24"/>
          <w:lang w:val="pt-BR"/>
        </w:rPr>
        <w:t xml:space="preserve">Autor, D. H. (2015). Why are there still so many jobs? The history and future of workplace automation. </w:t>
      </w:r>
      <w:r w:rsidRPr="46B80AED" w:rsidR="465684DF">
        <w:rPr>
          <w:rFonts w:ascii="Times New Roman" w:hAnsi="Times New Roman" w:eastAsia="Times New Roman" w:cs="Times New Roman"/>
          <w:i w:val="1"/>
          <w:iCs w:val="1"/>
          <w:noProof w:val="0"/>
          <w:sz w:val="24"/>
          <w:szCs w:val="24"/>
          <w:lang w:val="pt-BR"/>
        </w:rPr>
        <w:t xml:space="preserve">Journal </w:t>
      </w:r>
      <w:r w:rsidRPr="46B80AED" w:rsidR="465684DF">
        <w:rPr>
          <w:rFonts w:ascii="Times New Roman" w:hAnsi="Times New Roman" w:eastAsia="Times New Roman" w:cs="Times New Roman"/>
          <w:i w:val="1"/>
          <w:iCs w:val="1"/>
          <w:noProof w:val="0"/>
          <w:sz w:val="24"/>
          <w:szCs w:val="24"/>
          <w:lang w:val="pt-BR"/>
        </w:rPr>
        <w:t>of</w:t>
      </w:r>
      <w:r w:rsidRPr="46B80AED" w:rsidR="465684DF">
        <w:rPr>
          <w:rFonts w:ascii="Times New Roman" w:hAnsi="Times New Roman" w:eastAsia="Times New Roman" w:cs="Times New Roman"/>
          <w:i w:val="1"/>
          <w:iCs w:val="1"/>
          <w:noProof w:val="0"/>
          <w:sz w:val="24"/>
          <w:szCs w:val="24"/>
          <w:lang w:val="pt-BR"/>
        </w:rPr>
        <w:t xml:space="preserve"> Economic Perspectives</w:t>
      </w:r>
      <w:r w:rsidRPr="46B80AED" w:rsidR="465684DF">
        <w:rPr>
          <w:rFonts w:ascii="Times New Roman" w:hAnsi="Times New Roman" w:eastAsia="Times New Roman" w:cs="Times New Roman"/>
          <w:noProof w:val="0"/>
          <w:sz w:val="24"/>
          <w:szCs w:val="24"/>
          <w:lang w:val="pt-BR"/>
        </w:rPr>
        <w:t xml:space="preserve">, </w:t>
      </w:r>
      <w:r w:rsidRPr="46B80AED" w:rsidR="465684DF">
        <w:rPr>
          <w:rFonts w:ascii="Times New Roman" w:hAnsi="Times New Roman" w:eastAsia="Times New Roman" w:cs="Times New Roman"/>
          <w:i w:val="1"/>
          <w:iCs w:val="1"/>
          <w:noProof w:val="0"/>
          <w:sz w:val="24"/>
          <w:szCs w:val="24"/>
          <w:lang w:val="pt-BR"/>
        </w:rPr>
        <w:t>29</w:t>
      </w:r>
      <w:r w:rsidRPr="46B80AED" w:rsidR="465684DF">
        <w:rPr>
          <w:rFonts w:ascii="Times New Roman" w:hAnsi="Times New Roman" w:eastAsia="Times New Roman" w:cs="Times New Roman"/>
          <w:noProof w:val="0"/>
          <w:sz w:val="24"/>
          <w:szCs w:val="24"/>
          <w:lang w:val="pt-BR"/>
        </w:rPr>
        <w:t xml:space="preserve">(3), 3–30. </w:t>
      </w:r>
      <w:hyperlink r:id="Rae3585595f774dcc">
        <w:r w:rsidRPr="46B80AED" w:rsidR="465684DF">
          <w:rPr>
            <w:rStyle w:val="Hyperlink"/>
            <w:rFonts w:ascii="Times New Roman" w:hAnsi="Times New Roman" w:eastAsia="Times New Roman" w:cs="Times New Roman"/>
            <w:noProof w:val="0"/>
            <w:sz w:val="24"/>
            <w:szCs w:val="24"/>
            <w:lang w:val="pt-BR"/>
          </w:rPr>
          <w:t>https://doi.org/10.1257/jep.29.3.3</w:t>
        </w:r>
      </w:hyperlink>
    </w:p>
    <w:p w:rsidR="465684DF" w:rsidP="46B80AED" w:rsidRDefault="465684DF" w14:paraId="2534629C" w14:textId="47EC1615">
      <w:pPr>
        <w:spacing w:before="0" w:beforeAutospacing="off" w:after="120" w:afterAutospacing="off" w:line="240" w:lineRule="auto"/>
        <w:ind w:left="720" w:firstLine="0"/>
        <w:jc w:val="both"/>
      </w:pPr>
      <w:r w:rsidRPr="46B80AED" w:rsidR="465684DF">
        <w:rPr>
          <w:rFonts w:ascii="Times New Roman" w:hAnsi="Times New Roman" w:eastAsia="Times New Roman" w:cs="Times New Roman"/>
          <w:noProof w:val="0"/>
          <w:sz w:val="24"/>
          <w:szCs w:val="24"/>
          <w:lang w:val="pt-BR"/>
        </w:rPr>
        <w:t xml:space="preserve">Autor, D. H., Levy, F., &amp; </w:t>
      </w:r>
      <w:r w:rsidRPr="46B80AED" w:rsidR="465684DF">
        <w:rPr>
          <w:rFonts w:ascii="Times New Roman" w:hAnsi="Times New Roman" w:eastAsia="Times New Roman" w:cs="Times New Roman"/>
          <w:noProof w:val="0"/>
          <w:sz w:val="24"/>
          <w:szCs w:val="24"/>
          <w:lang w:val="pt-BR"/>
        </w:rPr>
        <w:t>Murnane</w:t>
      </w:r>
      <w:r w:rsidRPr="46B80AED" w:rsidR="465684DF">
        <w:rPr>
          <w:rFonts w:ascii="Times New Roman" w:hAnsi="Times New Roman" w:eastAsia="Times New Roman" w:cs="Times New Roman"/>
          <w:noProof w:val="0"/>
          <w:sz w:val="24"/>
          <w:szCs w:val="24"/>
          <w:lang w:val="pt-BR"/>
        </w:rPr>
        <w:t xml:space="preserve">, R. J. (2003). The skill </w:t>
      </w:r>
      <w:r w:rsidRPr="46B80AED" w:rsidR="465684DF">
        <w:rPr>
          <w:rFonts w:ascii="Times New Roman" w:hAnsi="Times New Roman" w:eastAsia="Times New Roman" w:cs="Times New Roman"/>
          <w:noProof w:val="0"/>
          <w:sz w:val="24"/>
          <w:szCs w:val="24"/>
          <w:lang w:val="pt-BR"/>
        </w:rPr>
        <w:t>content</w:t>
      </w:r>
      <w:r w:rsidRPr="46B80AED" w:rsidR="465684DF">
        <w:rPr>
          <w:rFonts w:ascii="Times New Roman" w:hAnsi="Times New Roman" w:eastAsia="Times New Roman" w:cs="Times New Roman"/>
          <w:noProof w:val="0"/>
          <w:sz w:val="24"/>
          <w:szCs w:val="24"/>
          <w:lang w:val="pt-BR"/>
        </w:rPr>
        <w:t xml:space="preserve"> </w:t>
      </w:r>
      <w:r w:rsidRPr="46B80AED" w:rsidR="465684DF">
        <w:rPr>
          <w:rFonts w:ascii="Times New Roman" w:hAnsi="Times New Roman" w:eastAsia="Times New Roman" w:cs="Times New Roman"/>
          <w:noProof w:val="0"/>
          <w:sz w:val="24"/>
          <w:szCs w:val="24"/>
          <w:lang w:val="pt-BR"/>
        </w:rPr>
        <w:t>of</w:t>
      </w:r>
      <w:r w:rsidRPr="46B80AED" w:rsidR="465684DF">
        <w:rPr>
          <w:rFonts w:ascii="Times New Roman" w:hAnsi="Times New Roman" w:eastAsia="Times New Roman" w:cs="Times New Roman"/>
          <w:noProof w:val="0"/>
          <w:sz w:val="24"/>
          <w:szCs w:val="24"/>
          <w:lang w:val="pt-BR"/>
        </w:rPr>
        <w:t xml:space="preserve"> </w:t>
      </w:r>
      <w:r w:rsidRPr="46B80AED" w:rsidR="465684DF">
        <w:rPr>
          <w:rFonts w:ascii="Times New Roman" w:hAnsi="Times New Roman" w:eastAsia="Times New Roman" w:cs="Times New Roman"/>
          <w:noProof w:val="0"/>
          <w:sz w:val="24"/>
          <w:szCs w:val="24"/>
          <w:lang w:val="pt-BR"/>
        </w:rPr>
        <w:t>recent</w:t>
      </w:r>
      <w:r w:rsidRPr="46B80AED" w:rsidR="465684DF">
        <w:rPr>
          <w:rFonts w:ascii="Times New Roman" w:hAnsi="Times New Roman" w:eastAsia="Times New Roman" w:cs="Times New Roman"/>
          <w:noProof w:val="0"/>
          <w:sz w:val="24"/>
          <w:szCs w:val="24"/>
          <w:lang w:val="pt-BR"/>
        </w:rPr>
        <w:t xml:space="preserve"> </w:t>
      </w:r>
      <w:r w:rsidRPr="46B80AED" w:rsidR="465684DF">
        <w:rPr>
          <w:rFonts w:ascii="Times New Roman" w:hAnsi="Times New Roman" w:eastAsia="Times New Roman" w:cs="Times New Roman"/>
          <w:noProof w:val="0"/>
          <w:sz w:val="24"/>
          <w:szCs w:val="24"/>
          <w:lang w:val="pt-BR"/>
        </w:rPr>
        <w:t>technological</w:t>
      </w:r>
      <w:r w:rsidRPr="46B80AED" w:rsidR="465684DF">
        <w:rPr>
          <w:rFonts w:ascii="Times New Roman" w:hAnsi="Times New Roman" w:eastAsia="Times New Roman" w:cs="Times New Roman"/>
          <w:noProof w:val="0"/>
          <w:sz w:val="24"/>
          <w:szCs w:val="24"/>
          <w:lang w:val="pt-BR"/>
        </w:rPr>
        <w:t xml:space="preserve"> </w:t>
      </w:r>
      <w:r w:rsidRPr="46B80AED" w:rsidR="465684DF">
        <w:rPr>
          <w:rFonts w:ascii="Times New Roman" w:hAnsi="Times New Roman" w:eastAsia="Times New Roman" w:cs="Times New Roman"/>
          <w:noProof w:val="0"/>
          <w:sz w:val="24"/>
          <w:szCs w:val="24"/>
          <w:lang w:val="pt-BR"/>
        </w:rPr>
        <w:t>change</w:t>
      </w:r>
      <w:r w:rsidRPr="46B80AED" w:rsidR="465684DF">
        <w:rPr>
          <w:rFonts w:ascii="Times New Roman" w:hAnsi="Times New Roman" w:eastAsia="Times New Roman" w:cs="Times New Roman"/>
          <w:noProof w:val="0"/>
          <w:sz w:val="24"/>
          <w:szCs w:val="24"/>
          <w:lang w:val="pt-BR"/>
        </w:rPr>
        <w:t xml:space="preserve">: </w:t>
      </w:r>
      <w:r w:rsidRPr="46B80AED" w:rsidR="465684DF">
        <w:rPr>
          <w:rFonts w:ascii="Times New Roman" w:hAnsi="Times New Roman" w:eastAsia="Times New Roman" w:cs="Times New Roman"/>
          <w:noProof w:val="0"/>
          <w:sz w:val="24"/>
          <w:szCs w:val="24"/>
          <w:lang w:val="pt-BR"/>
        </w:rPr>
        <w:t>An</w:t>
      </w:r>
      <w:r w:rsidRPr="46B80AED" w:rsidR="465684DF">
        <w:rPr>
          <w:rFonts w:ascii="Times New Roman" w:hAnsi="Times New Roman" w:eastAsia="Times New Roman" w:cs="Times New Roman"/>
          <w:noProof w:val="0"/>
          <w:sz w:val="24"/>
          <w:szCs w:val="24"/>
          <w:lang w:val="pt-BR"/>
        </w:rPr>
        <w:t xml:space="preserve"> </w:t>
      </w:r>
      <w:r w:rsidRPr="46B80AED" w:rsidR="465684DF">
        <w:rPr>
          <w:rFonts w:ascii="Times New Roman" w:hAnsi="Times New Roman" w:eastAsia="Times New Roman" w:cs="Times New Roman"/>
          <w:noProof w:val="0"/>
          <w:sz w:val="24"/>
          <w:szCs w:val="24"/>
          <w:lang w:val="pt-BR"/>
        </w:rPr>
        <w:t>empirical</w:t>
      </w:r>
      <w:r w:rsidRPr="46B80AED" w:rsidR="465684DF">
        <w:rPr>
          <w:rFonts w:ascii="Times New Roman" w:hAnsi="Times New Roman" w:eastAsia="Times New Roman" w:cs="Times New Roman"/>
          <w:noProof w:val="0"/>
          <w:sz w:val="24"/>
          <w:szCs w:val="24"/>
          <w:lang w:val="pt-BR"/>
        </w:rPr>
        <w:t xml:space="preserve"> </w:t>
      </w:r>
      <w:r w:rsidRPr="46B80AED" w:rsidR="465684DF">
        <w:rPr>
          <w:rFonts w:ascii="Times New Roman" w:hAnsi="Times New Roman" w:eastAsia="Times New Roman" w:cs="Times New Roman"/>
          <w:noProof w:val="0"/>
          <w:sz w:val="24"/>
          <w:szCs w:val="24"/>
          <w:lang w:val="pt-BR"/>
        </w:rPr>
        <w:t>exploration</w:t>
      </w:r>
      <w:r w:rsidRPr="46B80AED" w:rsidR="465684DF">
        <w:rPr>
          <w:rFonts w:ascii="Times New Roman" w:hAnsi="Times New Roman" w:eastAsia="Times New Roman" w:cs="Times New Roman"/>
          <w:noProof w:val="0"/>
          <w:sz w:val="24"/>
          <w:szCs w:val="24"/>
          <w:lang w:val="pt-BR"/>
        </w:rPr>
        <w:t xml:space="preserve">. </w:t>
      </w:r>
      <w:r w:rsidRPr="46B80AED" w:rsidR="465684DF">
        <w:rPr>
          <w:rFonts w:ascii="Times New Roman" w:hAnsi="Times New Roman" w:eastAsia="Times New Roman" w:cs="Times New Roman"/>
          <w:i w:val="1"/>
          <w:iCs w:val="1"/>
          <w:noProof w:val="0"/>
          <w:sz w:val="24"/>
          <w:szCs w:val="24"/>
          <w:lang w:val="pt-BR"/>
        </w:rPr>
        <w:t>Quarterly Journal of Economics</w:t>
      </w:r>
      <w:r w:rsidRPr="46B80AED" w:rsidR="465684DF">
        <w:rPr>
          <w:rFonts w:ascii="Times New Roman" w:hAnsi="Times New Roman" w:eastAsia="Times New Roman" w:cs="Times New Roman"/>
          <w:noProof w:val="0"/>
          <w:sz w:val="24"/>
          <w:szCs w:val="24"/>
          <w:lang w:val="pt-BR"/>
        </w:rPr>
        <w:t xml:space="preserve">, </w:t>
      </w:r>
      <w:r w:rsidRPr="46B80AED" w:rsidR="465684DF">
        <w:rPr>
          <w:rFonts w:ascii="Times New Roman" w:hAnsi="Times New Roman" w:eastAsia="Times New Roman" w:cs="Times New Roman"/>
          <w:i w:val="1"/>
          <w:iCs w:val="1"/>
          <w:noProof w:val="0"/>
          <w:sz w:val="24"/>
          <w:szCs w:val="24"/>
          <w:lang w:val="pt-BR"/>
        </w:rPr>
        <w:t>118</w:t>
      </w:r>
      <w:r w:rsidRPr="46B80AED" w:rsidR="465684DF">
        <w:rPr>
          <w:rFonts w:ascii="Times New Roman" w:hAnsi="Times New Roman" w:eastAsia="Times New Roman" w:cs="Times New Roman"/>
          <w:noProof w:val="0"/>
          <w:sz w:val="24"/>
          <w:szCs w:val="24"/>
          <w:lang w:val="pt-BR"/>
        </w:rPr>
        <w:t xml:space="preserve">(4), 1279–1333. </w:t>
      </w:r>
      <w:hyperlink r:id="R3b31aa6c119a46e3">
        <w:r w:rsidRPr="46B80AED" w:rsidR="465684DF">
          <w:rPr>
            <w:rStyle w:val="Hyperlink"/>
            <w:rFonts w:ascii="Times New Roman" w:hAnsi="Times New Roman" w:eastAsia="Times New Roman" w:cs="Times New Roman"/>
            <w:noProof w:val="0"/>
            <w:sz w:val="24"/>
            <w:szCs w:val="24"/>
            <w:lang w:val="pt-BR"/>
          </w:rPr>
          <w:t>https://doi.org/10.1162/003355303322552801</w:t>
        </w:r>
      </w:hyperlink>
    </w:p>
    <w:p w:rsidR="465684DF" w:rsidP="46B80AED" w:rsidRDefault="465684DF" w14:paraId="77CEC471" w14:textId="155E974B">
      <w:pPr>
        <w:spacing w:before="0" w:beforeAutospacing="off" w:after="120" w:afterAutospacing="off" w:line="240" w:lineRule="auto"/>
        <w:ind w:left="720" w:firstLine="0"/>
        <w:jc w:val="both"/>
      </w:pPr>
      <w:r w:rsidRPr="46B80AED" w:rsidR="465684DF">
        <w:rPr>
          <w:rFonts w:ascii="Times New Roman" w:hAnsi="Times New Roman" w:eastAsia="Times New Roman" w:cs="Times New Roman"/>
          <w:noProof w:val="0"/>
          <w:sz w:val="24"/>
          <w:szCs w:val="24"/>
          <w:lang w:val="pt-BR"/>
        </w:rPr>
        <w:t xml:space="preserve">Bäck, A., Hajikhani, A., Jäger, A., Schubert, T., &amp; </w:t>
      </w:r>
      <w:r w:rsidRPr="46B80AED" w:rsidR="465684DF">
        <w:rPr>
          <w:rFonts w:ascii="Times New Roman" w:hAnsi="Times New Roman" w:eastAsia="Times New Roman" w:cs="Times New Roman"/>
          <w:noProof w:val="0"/>
          <w:sz w:val="24"/>
          <w:szCs w:val="24"/>
          <w:lang w:val="pt-BR"/>
        </w:rPr>
        <w:t>Suominen</w:t>
      </w:r>
      <w:r w:rsidRPr="46B80AED" w:rsidR="465684DF">
        <w:rPr>
          <w:rFonts w:ascii="Times New Roman" w:hAnsi="Times New Roman" w:eastAsia="Times New Roman" w:cs="Times New Roman"/>
          <w:noProof w:val="0"/>
          <w:sz w:val="24"/>
          <w:szCs w:val="24"/>
          <w:lang w:val="pt-BR"/>
        </w:rPr>
        <w:t xml:space="preserve">, A. (2025). </w:t>
      </w:r>
      <w:r w:rsidRPr="46B80AED" w:rsidR="465684DF">
        <w:rPr>
          <w:rFonts w:ascii="Times New Roman" w:hAnsi="Times New Roman" w:eastAsia="Times New Roman" w:cs="Times New Roman"/>
          <w:noProof w:val="0"/>
          <w:sz w:val="24"/>
          <w:szCs w:val="24"/>
          <w:lang w:val="pt-BR"/>
        </w:rPr>
        <w:t>Return</w:t>
      </w:r>
      <w:r w:rsidRPr="46B80AED" w:rsidR="465684DF">
        <w:rPr>
          <w:rFonts w:ascii="Times New Roman" w:hAnsi="Times New Roman" w:eastAsia="Times New Roman" w:cs="Times New Roman"/>
          <w:noProof w:val="0"/>
          <w:sz w:val="24"/>
          <w:szCs w:val="24"/>
          <w:lang w:val="pt-BR"/>
        </w:rPr>
        <w:t xml:space="preserve"> of </w:t>
      </w:r>
      <w:r w:rsidRPr="46B80AED" w:rsidR="465684DF">
        <w:rPr>
          <w:rFonts w:ascii="Times New Roman" w:hAnsi="Times New Roman" w:eastAsia="Times New Roman" w:cs="Times New Roman"/>
          <w:noProof w:val="0"/>
          <w:sz w:val="24"/>
          <w:szCs w:val="24"/>
          <w:lang w:val="pt-BR"/>
        </w:rPr>
        <w:t>the</w:t>
      </w:r>
      <w:r w:rsidRPr="46B80AED" w:rsidR="465684DF">
        <w:rPr>
          <w:rFonts w:ascii="Times New Roman" w:hAnsi="Times New Roman" w:eastAsia="Times New Roman" w:cs="Times New Roman"/>
          <w:noProof w:val="0"/>
          <w:sz w:val="24"/>
          <w:szCs w:val="24"/>
          <w:lang w:val="pt-BR"/>
        </w:rPr>
        <w:t xml:space="preserve"> Solow-paradox in </w:t>
      </w:r>
      <w:r w:rsidRPr="46B80AED" w:rsidR="465684DF">
        <w:rPr>
          <w:rFonts w:ascii="Times New Roman" w:hAnsi="Times New Roman" w:eastAsia="Times New Roman" w:cs="Times New Roman"/>
          <w:noProof w:val="0"/>
          <w:sz w:val="24"/>
          <w:szCs w:val="24"/>
          <w:lang w:val="pt-BR"/>
        </w:rPr>
        <w:t>AI?:</w:t>
      </w:r>
      <w:r w:rsidRPr="46B80AED" w:rsidR="465684DF">
        <w:rPr>
          <w:rFonts w:ascii="Times New Roman" w:hAnsi="Times New Roman" w:eastAsia="Times New Roman" w:cs="Times New Roman"/>
          <w:noProof w:val="0"/>
          <w:sz w:val="24"/>
          <w:szCs w:val="24"/>
          <w:lang w:val="pt-BR"/>
        </w:rPr>
        <w:t xml:space="preserve"> AI-</w:t>
      </w:r>
      <w:r w:rsidRPr="46B80AED" w:rsidR="465684DF">
        <w:rPr>
          <w:rFonts w:ascii="Times New Roman" w:hAnsi="Times New Roman" w:eastAsia="Times New Roman" w:cs="Times New Roman"/>
          <w:noProof w:val="0"/>
          <w:sz w:val="24"/>
          <w:szCs w:val="24"/>
          <w:lang w:val="pt-BR"/>
        </w:rPr>
        <w:t>adoption</w:t>
      </w:r>
      <w:r w:rsidRPr="46B80AED" w:rsidR="465684DF">
        <w:rPr>
          <w:rFonts w:ascii="Times New Roman" w:hAnsi="Times New Roman" w:eastAsia="Times New Roman" w:cs="Times New Roman"/>
          <w:noProof w:val="0"/>
          <w:sz w:val="24"/>
          <w:szCs w:val="24"/>
          <w:lang w:val="pt-BR"/>
        </w:rPr>
        <w:t xml:space="preserve"> </w:t>
      </w:r>
      <w:r w:rsidRPr="46B80AED" w:rsidR="465684DF">
        <w:rPr>
          <w:rFonts w:ascii="Times New Roman" w:hAnsi="Times New Roman" w:eastAsia="Times New Roman" w:cs="Times New Roman"/>
          <w:noProof w:val="0"/>
          <w:sz w:val="24"/>
          <w:szCs w:val="24"/>
          <w:lang w:val="pt-BR"/>
        </w:rPr>
        <w:t>and</w:t>
      </w:r>
      <w:r w:rsidRPr="46B80AED" w:rsidR="465684DF">
        <w:rPr>
          <w:rFonts w:ascii="Times New Roman" w:hAnsi="Times New Roman" w:eastAsia="Times New Roman" w:cs="Times New Roman"/>
          <w:noProof w:val="0"/>
          <w:sz w:val="24"/>
          <w:szCs w:val="24"/>
          <w:lang w:val="pt-BR"/>
        </w:rPr>
        <w:t xml:space="preserve"> </w:t>
      </w:r>
      <w:r w:rsidRPr="46B80AED" w:rsidR="465684DF">
        <w:rPr>
          <w:rFonts w:ascii="Times New Roman" w:hAnsi="Times New Roman" w:eastAsia="Times New Roman" w:cs="Times New Roman"/>
          <w:noProof w:val="0"/>
          <w:sz w:val="24"/>
          <w:szCs w:val="24"/>
          <w:lang w:val="pt-BR"/>
        </w:rPr>
        <w:t>firm</w:t>
      </w:r>
      <w:r w:rsidRPr="46B80AED" w:rsidR="465684DF">
        <w:rPr>
          <w:rFonts w:ascii="Times New Roman" w:hAnsi="Times New Roman" w:eastAsia="Times New Roman" w:cs="Times New Roman"/>
          <w:noProof w:val="0"/>
          <w:sz w:val="24"/>
          <w:szCs w:val="24"/>
          <w:lang w:val="pt-BR"/>
        </w:rPr>
        <w:t xml:space="preserve"> </w:t>
      </w:r>
      <w:r w:rsidRPr="46B80AED" w:rsidR="465684DF">
        <w:rPr>
          <w:rFonts w:ascii="Times New Roman" w:hAnsi="Times New Roman" w:eastAsia="Times New Roman" w:cs="Times New Roman"/>
          <w:noProof w:val="0"/>
          <w:sz w:val="24"/>
          <w:szCs w:val="24"/>
          <w:lang w:val="pt-BR"/>
        </w:rPr>
        <w:t>productivity</w:t>
      </w:r>
      <w:r w:rsidRPr="46B80AED" w:rsidR="465684DF">
        <w:rPr>
          <w:rFonts w:ascii="Times New Roman" w:hAnsi="Times New Roman" w:eastAsia="Times New Roman" w:cs="Times New Roman"/>
          <w:noProof w:val="0"/>
          <w:sz w:val="24"/>
          <w:szCs w:val="24"/>
          <w:lang w:val="pt-BR"/>
        </w:rPr>
        <w:t xml:space="preserve"> [</w:t>
      </w:r>
      <w:r w:rsidRPr="46B80AED" w:rsidR="465684DF">
        <w:rPr>
          <w:rFonts w:ascii="Times New Roman" w:hAnsi="Times New Roman" w:eastAsia="Times New Roman" w:cs="Times New Roman"/>
          <w:noProof w:val="0"/>
          <w:sz w:val="24"/>
          <w:szCs w:val="24"/>
          <w:lang w:val="pt-BR"/>
        </w:rPr>
        <w:t>Preprint</w:t>
      </w:r>
      <w:r w:rsidRPr="46B80AED" w:rsidR="465684DF">
        <w:rPr>
          <w:rFonts w:ascii="Times New Roman" w:hAnsi="Times New Roman" w:eastAsia="Times New Roman" w:cs="Times New Roman"/>
          <w:noProof w:val="0"/>
          <w:sz w:val="24"/>
          <w:szCs w:val="24"/>
          <w:lang w:val="pt-BR"/>
        </w:rPr>
        <w:t xml:space="preserve">]. </w:t>
      </w:r>
      <w:r w:rsidRPr="46B80AED" w:rsidR="465684DF">
        <w:rPr>
          <w:rFonts w:ascii="Times New Roman" w:hAnsi="Times New Roman" w:eastAsia="Times New Roman" w:cs="Times New Roman"/>
          <w:i w:val="1"/>
          <w:iCs w:val="1"/>
          <w:noProof w:val="0"/>
          <w:sz w:val="24"/>
          <w:szCs w:val="24"/>
          <w:lang w:val="pt-BR"/>
        </w:rPr>
        <w:t>Research</w:t>
      </w:r>
      <w:r w:rsidRPr="46B80AED" w:rsidR="465684DF">
        <w:rPr>
          <w:rFonts w:ascii="Times New Roman" w:hAnsi="Times New Roman" w:eastAsia="Times New Roman" w:cs="Times New Roman"/>
          <w:i w:val="1"/>
          <w:iCs w:val="1"/>
          <w:noProof w:val="0"/>
          <w:sz w:val="24"/>
          <w:szCs w:val="24"/>
          <w:lang w:val="pt-BR"/>
        </w:rPr>
        <w:t xml:space="preserve"> Square</w:t>
      </w:r>
      <w:r w:rsidRPr="46B80AED" w:rsidR="465684DF">
        <w:rPr>
          <w:rFonts w:ascii="Times New Roman" w:hAnsi="Times New Roman" w:eastAsia="Times New Roman" w:cs="Times New Roman"/>
          <w:noProof w:val="0"/>
          <w:sz w:val="24"/>
          <w:szCs w:val="24"/>
          <w:lang w:val="pt-BR"/>
        </w:rPr>
        <w:t xml:space="preserve">. </w:t>
      </w:r>
      <w:hyperlink r:id="Rd656165b1fde4ae5">
        <w:r w:rsidRPr="46B80AED" w:rsidR="465684DF">
          <w:rPr>
            <w:rStyle w:val="Hyperlink"/>
            <w:rFonts w:ascii="Times New Roman" w:hAnsi="Times New Roman" w:eastAsia="Times New Roman" w:cs="Times New Roman"/>
            <w:noProof w:val="0"/>
            <w:sz w:val="24"/>
            <w:szCs w:val="24"/>
            <w:lang w:val="pt-BR"/>
          </w:rPr>
          <w:t>https://doi.org/10.21203/rs.3.rs-7434983/v1</w:t>
        </w:r>
      </w:hyperlink>
    </w:p>
    <w:p w:rsidR="465684DF" w:rsidP="46B80AED" w:rsidRDefault="465684DF" w14:paraId="65F79C2E" w14:textId="54192B6F">
      <w:pPr>
        <w:spacing w:before="0" w:beforeAutospacing="off" w:after="120" w:afterAutospacing="off" w:line="240" w:lineRule="auto"/>
        <w:ind w:left="720" w:firstLine="0"/>
        <w:jc w:val="both"/>
      </w:pPr>
      <w:r w:rsidRPr="46B80AED" w:rsidR="465684DF">
        <w:rPr>
          <w:rFonts w:ascii="Times New Roman" w:hAnsi="Times New Roman" w:eastAsia="Times New Roman" w:cs="Times New Roman"/>
          <w:noProof w:val="0"/>
          <w:sz w:val="24"/>
          <w:szCs w:val="24"/>
          <w:lang w:val="pt-BR"/>
        </w:rPr>
        <w:t xml:space="preserve">Bardin, L. (2016). </w:t>
      </w:r>
      <w:r w:rsidRPr="46B80AED" w:rsidR="465684DF">
        <w:rPr>
          <w:rFonts w:ascii="Times New Roman" w:hAnsi="Times New Roman" w:eastAsia="Times New Roman" w:cs="Times New Roman"/>
          <w:i w:val="1"/>
          <w:iCs w:val="1"/>
          <w:noProof w:val="0"/>
          <w:sz w:val="24"/>
          <w:szCs w:val="24"/>
          <w:lang w:val="pt-BR"/>
        </w:rPr>
        <w:t>Análise de conteúdo</w:t>
      </w:r>
      <w:r w:rsidRPr="46B80AED" w:rsidR="465684DF">
        <w:rPr>
          <w:rFonts w:ascii="Times New Roman" w:hAnsi="Times New Roman" w:eastAsia="Times New Roman" w:cs="Times New Roman"/>
          <w:noProof w:val="0"/>
          <w:sz w:val="24"/>
          <w:szCs w:val="24"/>
          <w:lang w:val="pt-BR"/>
        </w:rPr>
        <w:t>. Edições 70.</w:t>
      </w:r>
    </w:p>
    <w:p w:rsidR="465684DF" w:rsidP="46B80AED" w:rsidRDefault="465684DF" w14:paraId="2B4395FC" w14:textId="58F4E45D">
      <w:pPr>
        <w:spacing w:before="0" w:beforeAutospacing="off" w:after="120" w:afterAutospacing="off" w:line="240" w:lineRule="auto"/>
        <w:ind w:left="720" w:firstLine="0"/>
        <w:jc w:val="both"/>
      </w:pPr>
      <w:r w:rsidRPr="46B80AED" w:rsidR="465684DF">
        <w:rPr>
          <w:rFonts w:ascii="Times New Roman" w:hAnsi="Times New Roman" w:eastAsia="Times New Roman" w:cs="Times New Roman"/>
          <w:noProof w:val="0"/>
          <w:sz w:val="24"/>
          <w:szCs w:val="24"/>
          <w:lang w:val="pt-BR"/>
        </w:rPr>
        <w:t xml:space="preserve">Barney, J. B. (1991). Firm </w:t>
      </w:r>
      <w:r w:rsidRPr="46B80AED" w:rsidR="465684DF">
        <w:rPr>
          <w:rFonts w:ascii="Times New Roman" w:hAnsi="Times New Roman" w:eastAsia="Times New Roman" w:cs="Times New Roman"/>
          <w:noProof w:val="0"/>
          <w:sz w:val="24"/>
          <w:szCs w:val="24"/>
          <w:lang w:val="pt-BR"/>
        </w:rPr>
        <w:t>resources</w:t>
      </w:r>
      <w:r w:rsidRPr="46B80AED" w:rsidR="465684DF">
        <w:rPr>
          <w:rFonts w:ascii="Times New Roman" w:hAnsi="Times New Roman" w:eastAsia="Times New Roman" w:cs="Times New Roman"/>
          <w:noProof w:val="0"/>
          <w:sz w:val="24"/>
          <w:szCs w:val="24"/>
          <w:lang w:val="pt-BR"/>
        </w:rPr>
        <w:t xml:space="preserve"> </w:t>
      </w:r>
      <w:r w:rsidRPr="46B80AED" w:rsidR="465684DF">
        <w:rPr>
          <w:rFonts w:ascii="Times New Roman" w:hAnsi="Times New Roman" w:eastAsia="Times New Roman" w:cs="Times New Roman"/>
          <w:noProof w:val="0"/>
          <w:sz w:val="24"/>
          <w:szCs w:val="24"/>
          <w:lang w:val="pt-BR"/>
        </w:rPr>
        <w:t>and</w:t>
      </w:r>
      <w:r w:rsidRPr="46B80AED" w:rsidR="465684DF">
        <w:rPr>
          <w:rFonts w:ascii="Times New Roman" w:hAnsi="Times New Roman" w:eastAsia="Times New Roman" w:cs="Times New Roman"/>
          <w:noProof w:val="0"/>
          <w:sz w:val="24"/>
          <w:szCs w:val="24"/>
          <w:lang w:val="pt-BR"/>
        </w:rPr>
        <w:t xml:space="preserve"> </w:t>
      </w:r>
      <w:r w:rsidRPr="46B80AED" w:rsidR="465684DF">
        <w:rPr>
          <w:rFonts w:ascii="Times New Roman" w:hAnsi="Times New Roman" w:eastAsia="Times New Roman" w:cs="Times New Roman"/>
          <w:noProof w:val="0"/>
          <w:sz w:val="24"/>
          <w:szCs w:val="24"/>
          <w:lang w:val="pt-BR"/>
        </w:rPr>
        <w:t>sustained</w:t>
      </w:r>
      <w:r w:rsidRPr="46B80AED" w:rsidR="465684DF">
        <w:rPr>
          <w:rFonts w:ascii="Times New Roman" w:hAnsi="Times New Roman" w:eastAsia="Times New Roman" w:cs="Times New Roman"/>
          <w:noProof w:val="0"/>
          <w:sz w:val="24"/>
          <w:szCs w:val="24"/>
          <w:lang w:val="pt-BR"/>
        </w:rPr>
        <w:t xml:space="preserve"> </w:t>
      </w:r>
      <w:r w:rsidRPr="46B80AED" w:rsidR="465684DF">
        <w:rPr>
          <w:rFonts w:ascii="Times New Roman" w:hAnsi="Times New Roman" w:eastAsia="Times New Roman" w:cs="Times New Roman"/>
          <w:noProof w:val="0"/>
          <w:sz w:val="24"/>
          <w:szCs w:val="24"/>
          <w:lang w:val="pt-BR"/>
        </w:rPr>
        <w:t>competitive</w:t>
      </w:r>
      <w:r w:rsidRPr="46B80AED" w:rsidR="465684DF">
        <w:rPr>
          <w:rFonts w:ascii="Times New Roman" w:hAnsi="Times New Roman" w:eastAsia="Times New Roman" w:cs="Times New Roman"/>
          <w:noProof w:val="0"/>
          <w:sz w:val="24"/>
          <w:szCs w:val="24"/>
          <w:lang w:val="pt-BR"/>
        </w:rPr>
        <w:t xml:space="preserve"> </w:t>
      </w:r>
      <w:r w:rsidRPr="46B80AED" w:rsidR="465684DF">
        <w:rPr>
          <w:rFonts w:ascii="Times New Roman" w:hAnsi="Times New Roman" w:eastAsia="Times New Roman" w:cs="Times New Roman"/>
          <w:noProof w:val="0"/>
          <w:sz w:val="24"/>
          <w:szCs w:val="24"/>
          <w:lang w:val="pt-BR"/>
        </w:rPr>
        <w:t>advantage</w:t>
      </w:r>
      <w:r w:rsidRPr="46B80AED" w:rsidR="465684DF">
        <w:rPr>
          <w:rFonts w:ascii="Times New Roman" w:hAnsi="Times New Roman" w:eastAsia="Times New Roman" w:cs="Times New Roman"/>
          <w:noProof w:val="0"/>
          <w:sz w:val="24"/>
          <w:szCs w:val="24"/>
          <w:lang w:val="pt-BR"/>
        </w:rPr>
        <w:t xml:space="preserve">. </w:t>
      </w:r>
      <w:r w:rsidRPr="46B80AED" w:rsidR="465684DF">
        <w:rPr>
          <w:rFonts w:ascii="Times New Roman" w:hAnsi="Times New Roman" w:eastAsia="Times New Roman" w:cs="Times New Roman"/>
          <w:i w:val="1"/>
          <w:iCs w:val="1"/>
          <w:noProof w:val="0"/>
          <w:sz w:val="24"/>
          <w:szCs w:val="24"/>
          <w:lang w:val="pt-BR"/>
        </w:rPr>
        <w:t>Journal</w:t>
      </w:r>
      <w:r w:rsidRPr="46B80AED" w:rsidR="465684DF">
        <w:rPr>
          <w:rFonts w:ascii="Times New Roman" w:hAnsi="Times New Roman" w:eastAsia="Times New Roman" w:cs="Times New Roman"/>
          <w:i w:val="1"/>
          <w:iCs w:val="1"/>
          <w:noProof w:val="0"/>
          <w:sz w:val="24"/>
          <w:szCs w:val="24"/>
          <w:lang w:val="pt-BR"/>
        </w:rPr>
        <w:t xml:space="preserve"> </w:t>
      </w:r>
      <w:r w:rsidRPr="46B80AED" w:rsidR="465684DF">
        <w:rPr>
          <w:rFonts w:ascii="Times New Roman" w:hAnsi="Times New Roman" w:eastAsia="Times New Roman" w:cs="Times New Roman"/>
          <w:i w:val="1"/>
          <w:iCs w:val="1"/>
          <w:noProof w:val="0"/>
          <w:sz w:val="24"/>
          <w:szCs w:val="24"/>
          <w:lang w:val="pt-BR"/>
        </w:rPr>
        <w:t>of</w:t>
      </w:r>
      <w:r w:rsidRPr="46B80AED" w:rsidR="465684DF">
        <w:rPr>
          <w:rFonts w:ascii="Times New Roman" w:hAnsi="Times New Roman" w:eastAsia="Times New Roman" w:cs="Times New Roman"/>
          <w:i w:val="1"/>
          <w:iCs w:val="1"/>
          <w:noProof w:val="0"/>
          <w:sz w:val="24"/>
          <w:szCs w:val="24"/>
          <w:lang w:val="pt-BR"/>
        </w:rPr>
        <w:t xml:space="preserve"> Management</w:t>
      </w:r>
      <w:r w:rsidRPr="46B80AED" w:rsidR="465684DF">
        <w:rPr>
          <w:rFonts w:ascii="Times New Roman" w:hAnsi="Times New Roman" w:eastAsia="Times New Roman" w:cs="Times New Roman"/>
          <w:noProof w:val="0"/>
          <w:sz w:val="24"/>
          <w:szCs w:val="24"/>
          <w:lang w:val="pt-BR"/>
        </w:rPr>
        <w:t xml:space="preserve">, </w:t>
      </w:r>
      <w:r w:rsidRPr="46B80AED" w:rsidR="465684DF">
        <w:rPr>
          <w:rFonts w:ascii="Times New Roman" w:hAnsi="Times New Roman" w:eastAsia="Times New Roman" w:cs="Times New Roman"/>
          <w:i w:val="1"/>
          <w:iCs w:val="1"/>
          <w:noProof w:val="0"/>
          <w:sz w:val="24"/>
          <w:szCs w:val="24"/>
          <w:lang w:val="pt-BR"/>
        </w:rPr>
        <w:t>17</w:t>
      </w:r>
      <w:r w:rsidRPr="46B80AED" w:rsidR="465684DF">
        <w:rPr>
          <w:rFonts w:ascii="Times New Roman" w:hAnsi="Times New Roman" w:eastAsia="Times New Roman" w:cs="Times New Roman"/>
          <w:noProof w:val="0"/>
          <w:sz w:val="24"/>
          <w:szCs w:val="24"/>
          <w:lang w:val="pt-BR"/>
        </w:rPr>
        <w:t xml:space="preserve">(1), 99–120. </w:t>
      </w:r>
      <w:hyperlink r:id="R7971644910514735">
        <w:r w:rsidRPr="46B80AED" w:rsidR="465684DF">
          <w:rPr>
            <w:rStyle w:val="Hyperlink"/>
            <w:rFonts w:ascii="Times New Roman" w:hAnsi="Times New Roman" w:eastAsia="Times New Roman" w:cs="Times New Roman"/>
            <w:noProof w:val="0"/>
            <w:sz w:val="24"/>
            <w:szCs w:val="24"/>
            <w:lang w:val="pt-BR"/>
          </w:rPr>
          <w:t>https://doi.org/10.1177/014920639101700108</w:t>
        </w:r>
      </w:hyperlink>
    </w:p>
    <w:p w:rsidR="465684DF" w:rsidP="46B80AED" w:rsidRDefault="465684DF" w14:paraId="0AB549FA" w14:textId="7C0BA679">
      <w:pPr>
        <w:spacing w:before="0" w:beforeAutospacing="off" w:after="120" w:afterAutospacing="off" w:line="240" w:lineRule="auto"/>
        <w:ind w:left="720" w:firstLine="0"/>
        <w:jc w:val="both"/>
      </w:pPr>
      <w:r w:rsidRPr="46B80AED" w:rsidR="465684DF">
        <w:rPr>
          <w:rFonts w:ascii="Times New Roman" w:hAnsi="Times New Roman" w:eastAsia="Times New Roman" w:cs="Times New Roman"/>
          <w:noProof w:val="0"/>
          <w:sz w:val="24"/>
          <w:szCs w:val="24"/>
          <w:lang w:val="pt-BR"/>
        </w:rPr>
        <w:t xml:space="preserve">Barney, J. B., &amp; Clark, D. N. (2007). </w:t>
      </w:r>
      <w:r w:rsidRPr="46B80AED" w:rsidR="465684DF">
        <w:rPr>
          <w:rFonts w:ascii="Times New Roman" w:hAnsi="Times New Roman" w:eastAsia="Times New Roman" w:cs="Times New Roman"/>
          <w:i w:val="1"/>
          <w:iCs w:val="1"/>
          <w:noProof w:val="0"/>
          <w:sz w:val="24"/>
          <w:szCs w:val="24"/>
          <w:lang w:val="pt-BR"/>
        </w:rPr>
        <w:t>Resource-based</w:t>
      </w:r>
      <w:r w:rsidRPr="46B80AED" w:rsidR="465684DF">
        <w:rPr>
          <w:rFonts w:ascii="Times New Roman" w:hAnsi="Times New Roman" w:eastAsia="Times New Roman" w:cs="Times New Roman"/>
          <w:i w:val="1"/>
          <w:iCs w:val="1"/>
          <w:noProof w:val="0"/>
          <w:sz w:val="24"/>
          <w:szCs w:val="24"/>
          <w:lang w:val="pt-BR"/>
        </w:rPr>
        <w:t xml:space="preserve"> </w:t>
      </w:r>
      <w:r w:rsidRPr="46B80AED" w:rsidR="465684DF">
        <w:rPr>
          <w:rFonts w:ascii="Times New Roman" w:hAnsi="Times New Roman" w:eastAsia="Times New Roman" w:cs="Times New Roman"/>
          <w:i w:val="1"/>
          <w:iCs w:val="1"/>
          <w:noProof w:val="0"/>
          <w:sz w:val="24"/>
          <w:szCs w:val="24"/>
          <w:lang w:val="pt-BR"/>
        </w:rPr>
        <w:t>theory</w:t>
      </w:r>
      <w:r w:rsidRPr="46B80AED" w:rsidR="465684DF">
        <w:rPr>
          <w:rFonts w:ascii="Times New Roman" w:hAnsi="Times New Roman" w:eastAsia="Times New Roman" w:cs="Times New Roman"/>
          <w:i w:val="1"/>
          <w:iCs w:val="1"/>
          <w:noProof w:val="0"/>
          <w:sz w:val="24"/>
          <w:szCs w:val="24"/>
          <w:lang w:val="pt-BR"/>
        </w:rPr>
        <w:t xml:space="preserve">: </w:t>
      </w:r>
      <w:r w:rsidRPr="46B80AED" w:rsidR="465684DF">
        <w:rPr>
          <w:rFonts w:ascii="Times New Roman" w:hAnsi="Times New Roman" w:eastAsia="Times New Roman" w:cs="Times New Roman"/>
          <w:i w:val="1"/>
          <w:iCs w:val="1"/>
          <w:noProof w:val="0"/>
          <w:sz w:val="24"/>
          <w:szCs w:val="24"/>
          <w:lang w:val="pt-BR"/>
        </w:rPr>
        <w:t>Creating</w:t>
      </w:r>
      <w:r w:rsidRPr="46B80AED" w:rsidR="465684DF">
        <w:rPr>
          <w:rFonts w:ascii="Times New Roman" w:hAnsi="Times New Roman" w:eastAsia="Times New Roman" w:cs="Times New Roman"/>
          <w:i w:val="1"/>
          <w:iCs w:val="1"/>
          <w:noProof w:val="0"/>
          <w:sz w:val="24"/>
          <w:szCs w:val="24"/>
          <w:lang w:val="pt-BR"/>
        </w:rPr>
        <w:t xml:space="preserve"> </w:t>
      </w:r>
      <w:r w:rsidRPr="46B80AED" w:rsidR="465684DF">
        <w:rPr>
          <w:rFonts w:ascii="Times New Roman" w:hAnsi="Times New Roman" w:eastAsia="Times New Roman" w:cs="Times New Roman"/>
          <w:i w:val="1"/>
          <w:iCs w:val="1"/>
          <w:noProof w:val="0"/>
          <w:sz w:val="24"/>
          <w:szCs w:val="24"/>
          <w:lang w:val="pt-BR"/>
        </w:rPr>
        <w:t>and</w:t>
      </w:r>
      <w:r w:rsidRPr="46B80AED" w:rsidR="465684DF">
        <w:rPr>
          <w:rFonts w:ascii="Times New Roman" w:hAnsi="Times New Roman" w:eastAsia="Times New Roman" w:cs="Times New Roman"/>
          <w:i w:val="1"/>
          <w:iCs w:val="1"/>
          <w:noProof w:val="0"/>
          <w:sz w:val="24"/>
          <w:szCs w:val="24"/>
          <w:lang w:val="pt-BR"/>
        </w:rPr>
        <w:t xml:space="preserve"> </w:t>
      </w:r>
      <w:r w:rsidRPr="46B80AED" w:rsidR="465684DF">
        <w:rPr>
          <w:rFonts w:ascii="Times New Roman" w:hAnsi="Times New Roman" w:eastAsia="Times New Roman" w:cs="Times New Roman"/>
          <w:i w:val="1"/>
          <w:iCs w:val="1"/>
          <w:noProof w:val="0"/>
          <w:sz w:val="24"/>
          <w:szCs w:val="24"/>
          <w:lang w:val="pt-BR"/>
        </w:rPr>
        <w:t>sustaining</w:t>
      </w:r>
      <w:r w:rsidRPr="46B80AED" w:rsidR="465684DF">
        <w:rPr>
          <w:rFonts w:ascii="Times New Roman" w:hAnsi="Times New Roman" w:eastAsia="Times New Roman" w:cs="Times New Roman"/>
          <w:i w:val="1"/>
          <w:iCs w:val="1"/>
          <w:noProof w:val="0"/>
          <w:sz w:val="24"/>
          <w:szCs w:val="24"/>
          <w:lang w:val="pt-BR"/>
        </w:rPr>
        <w:t xml:space="preserve"> </w:t>
      </w:r>
      <w:r w:rsidRPr="46B80AED" w:rsidR="465684DF">
        <w:rPr>
          <w:rFonts w:ascii="Times New Roman" w:hAnsi="Times New Roman" w:eastAsia="Times New Roman" w:cs="Times New Roman"/>
          <w:i w:val="1"/>
          <w:iCs w:val="1"/>
          <w:noProof w:val="0"/>
          <w:sz w:val="24"/>
          <w:szCs w:val="24"/>
          <w:lang w:val="pt-BR"/>
        </w:rPr>
        <w:t>competitive</w:t>
      </w:r>
      <w:r w:rsidRPr="46B80AED" w:rsidR="465684DF">
        <w:rPr>
          <w:rFonts w:ascii="Times New Roman" w:hAnsi="Times New Roman" w:eastAsia="Times New Roman" w:cs="Times New Roman"/>
          <w:i w:val="1"/>
          <w:iCs w:val="1"/>
          <w:noProof w:val="0"/>
          <w:sz w:val="24"/>
          <w:szCs w:val="24"/>
          <w:lang w:val="pt-BR"/>
        </w:rPr>
        <w:t xml:space="preserve"> </w:t>
      </w:r>
      <w:r w:rsidRPr="46B80AED" w:rsidR="465684DF">
        <w:rPr>
          <w:rFonts w:ascii="Times New Roman" w:hAnsi="Times New Roman" w:eastAsia="Times New Roman" w:cs="Times New Roman"/>
          <w:i w:val="1"/>
          <w:iCs w:val="1"/>
          <w:noProof w:val="0"/>
          <w:sz w:val="24"/>
          <w:szCs w:val="24"/>
          <w:lang w:val="pt-BR"/>
        </w:rPr>
        <w:t>advantage</w:t>
      </w:r>
      <w:r w:rsidRPr="46B80AED" w:rsidR="465684DF">
        <w:rPr>
          <w:rFonts w:ascii="Times New Roman" w:hAnsi="Times New Roman" w:eastAsia="Times New Roman" w:cs="Times New Roman"/>
          <w:noProof w:val="0"/>
          <w:sz w:val="24"/>
          <w:szCs w:val="24"/>
          <w:lang w:val="pt-BR"/>
        </w:rPr>
        <w:t xml:space="preserve">. Oxford </w:t>
      </w:r>
      <w:r w:rsidRPr="46B80AED" w:rsidR="465684DF">
        <w:rPr>
          <w:rFonts w:ascii="Times New Roman" w:hAnsi="Times New Roman" w:eastAsia="Times New Roman" w:cs="Times New Roman"/>
          <w:noProof w:val="0"/>
          <w:sz w:val="24"/>
          <w:szCs w:val="24"/>
          <w:lang w:val="pt-BR"/>
        </w:rPr>
        <w:t>University</w:t>
      </w:r>
      <w:r w:rsidRPr="46B80AED" w:rsidR="465684DF">
        <w:rPr>
          <w:rFonts w:ascii="Times New Roman" w:hAnsi="Times New Roman" w:eastAsia="Times New Roman" w:cs="Times New Roman"/>
          <w:noProof w:val="0"/>
          <w:sz w:val="24"/>
          <w:szCs w:val="24"/>
          <w:lang w:val="pt-BR"/>
        </w:rPr>
        <w:t xml:space="preserve"> Press.</w:t>
      </w:r>
    </w:p>
    <w:p w:rsidR="465684DF" w:rsidP="46B80AED" w:rsidRDefault="465684DF" w14:paraId="387D970C" w14:textId="27E768D0">
      <w:pPr>
        <w:spacing w:before="0" w:beforeAutospacing="off" w:after="120" w:afterAutospacing="off" w:line="240" w:lineRule="auto"/>
        <w:ind w:left="720" w:firstLine="0"/>
        <w:jc w:val="both"/>
      </w:pPr>
      <w:r w:rsidRPr="46B80AED" w:rsidR="465684DF">
        <w:rPr>
          <w:rFonts w:ascii="Times New Roman" w:hAnsi="Times New Roman" w:eastAsia="Times New Roman" w:cs="Times New Roman"/>
          <w:noProof w:val="0"/>
          <w:sz w:val="24"/>
          <w:szCs w:val="24"/>
          <w:lang w:val="pt-BR"/>
        </w:rPr>
        <w:t xml:space="preserve">Becker, G. S. (1964). </w:t>
      </w:r>
      <w:r w:rsidRPr="46B80AED" w:rsidR="465684DF">
        <w:rPr>
          <w:rFonts w:ascii="Times New Roman" w:hAnsi="Times New Roman" w:eastAsia="Times New Roman" w:cs="Times New Roman"/>
          <w:i w:val="1"/>
          <w:iCs w:val="1"/>
          <w:noProof w:val="0"/>
          <w:sz w:val="24"/>
          <w:szCs w:val="24"/>
          <w:lang w:val="pt-BR"/>
        </w:rPr>
        <w:t>Human</w:t>
      </w:r>
      <w:r w:rsidRPr="46B80AED" w:rsidR="465684DF">
        <w:rPr>
          <w:rFonts w:ascii="Times New Roman" w:hAnsi="Times New Roman" w:eastAsia="Times New Roman" w:cs="Times New Roman"/>
          <w:i w:val="1"/>
          <w:iCs w:val="1"/>
          <w:noProof w:val="0"/>
          <w:sz w:val="24"/>
          <w:szCs w:val="24"/>
          <w:lang w:val="pt-BR"/>
        </w:rPr>
        <w:t xml:space="preserve"> capital: A </w:t>
      </w:r>
      <w:r w:rsidRPr="46B80AED" w:rsidR="465684DF">
        <w:rPr>
          <w:rFonts w:ascii="Times New Roman" w:hAnsi="Times New Roman" w:eastAsia="Times New Roman" w:cs="Times New Roman"/>
          <w:i w:val="1"/>
          <w:iCs w:val="1"/>
          <w:noProof w:val="0"/>
          <w:sz w:val="24"/>
          <w:szCs w:val="24"/>
          <w:lang w:val="pt-BR"/>
        </w:rPr>
        <w:t>theoretical</w:t>
      </w:r>
      <w:r w:rsidRPr="46B80AED" w:rsidR="465684DF">
        <w:rPr>
          <w:rFonts w:ascii="Times New Roman" w:hAnsi="Times New Roman" w:eastAsia="Times New Roman" w:cs="Times New Roman"/>
          <w:i w:val="1"/>
          <w:iCs w:val="1"/>
          <w:noProof w:val="0"/>
          <w:sz w:val="24"/>
          <w:szCs w:val="24"/>
          <w:lang w:val="pt-BR"/>
        </w:rPr>
        <w:t xml:space="preserve"> and empirical analysis, with special reference to education</w:t>
      </w:r>
      <w:r w:rsidRPr="46B80AED" w:rsidR="465684DF">
        <w:rPr>
          <w:rFonts w:ascii="Times New Roman" w:hAnsi="Times New Roman" w:eastAsia="Times New Roman" w:cs="Times New Roman"/>
          <w:noProof w:val="0"/>
          <w:sz w:val="24"/>
          <w:szCs w:val="24"/>
          <w:lang w:val="pt-BR"/>
        </w:rPr>
        <w:t>. University of Chicago Press.</w:t>
      </w:r>
    </w:p>
    <w:p w:rsidR="465684DF" w:rsidP="46B80AED" w:rsidRDefault="465684DF" w14:paraId="246BE3CE" w14:textId="3E6540C4">
      <w:pPr>
        <w:spacing w:before="0" w:beforeAutospacing="off" w:after="120" w:afterAutospacing="off" w:line="240" w:lineRule="auto"/>
        <w:ind w:left="720" w:firstLine="0"/>
        <w:jc w:val="both"/>
      </w:pPr>
      <w:r w:rsidRPr="46B80AED" w:rsidR="465684DF">
        <w:rPr>
          <w:rFonts w:ascii="Times New Roman" w:hAnsi="Times New Roman" w:eastAsia="Times New Roman" w:cs="Times New Roman"/>
          <w:noProof w:val="0"/>
          <w:sz w:val="24"/>
          <w:szCs w:val="24"/>
          <w:lang w:val="pt-BR"/>
        </w:rPr>
        <w:t xml:space="preserve">Brynjolfsson, E. (1993). The productivity paradox of information technology. </w:t>
      </w:r>
      <w:r w:rsidRPr="46B80AED" w:rsidR="465684DF">
        <w:rPr>
          <w:rFonts w:ascii="Times New Roman" w:hAnsi="Times New Roman" w:eastAsia="Times New Roman" w:cs="Times New Roman"/>
          <w:i w:val="1"/>
          <w:iCs w:val="1"/>
          <w:noProof w:val="0"/>
          <w:sz w:val="24"/>
          <w:szCs w:val="24"/>
          <w:lang w:val="pt-BR"/>
        </w:rPr>
        <w:t>Communications of the ACM</w:t>
      </w:r>
      <w:r w:rsidRPr="46B80AED" w:rsidR="465684DF">
        <w:rPr>
          <w:rFonts w:ascii="Times New Roman" w:hAnsi="Times New Roman" w:eastAsia="Times New Roman" w:cs="Times New Roman"/>
          <w:noProof w:val="0"/>
          <w:sz w:val="24"/>
          <w:szCs w:val="24"/>
          <w:lang w:val="pt-BR"/>
        </w:rPr>
        <w:t xml:space="preserve">, </w:t>
      </w:r>
      <w:r w:rsidRPr="46B80AED" w:rsidR="465684DF">
        <w:rPr>
          <w:rFonts w:ascii="Times New Roman" w:hAnsi="Times New Roman" w:eastAsia="Times New Roman" w:cs="Times New Roman"/>
          <w:i w:val="1"/>
          <w:iCs w:val="1"/>
          <w:noProof w:val="0"/>
          <w:sz w:val="24"/>
          <w:szCs w:val="24"/>
          <w:lang w:val="pt-BR"/>
        </w:rPr>
        <w:t>36</w:t>
      </w:r>
      <w:r w:rsidRPr="46B80AED" w:rsidR="465684DF">
        <w:rPr>
          <w:rFonts w:ascii="Times New Roman" w:hAnsi="Times New Roman" w:eastAsia="Times New Roman" w:cs="Times New Roman"/>
          <w:noProof w:val="0"/>
          <w:sz w:val="24"/>
          <w:szCs w:val="24"/>
          <w:lang w:val="pt-BR"/>
        </w:rPr>
        <w:t xml:space="preserve">(12), 66–77. </w:t>
      </w:r>
      <w:hyperlink r:id="R6c23cdbd70bd4c1a">
        <w:r w:rsidRPr="46B80AED" w:rsidR="465684DF">
          <w:rPr>
            <w:rStyle w:val="Hyperlink"/>
            <w:rFonts w:ascii="Times New Roman" w:hAnsi="Times New Roman" w:eastAsia="Times New Roman" w:cs="Times New Roman"/>
            <w:noProof w:val="0"/>
            <w:sz w:val="24"/>
            <w:szCs w:val="24"/>
            <w:lang w:val="pt-BR"/>
          </w:rPr>
          <w:t>https://doi.org/10.1145/163298.163309</w:t>
        </w:r>
      </w:hyperlink>
    </w:p>
    <w:p w:rsidR="465684DF" w:rsidP="46B80AED" w:rsidRDefault="465684DF" w14:paraId="49456FB5" w14:textId="113DE9FB">
      <w:pPr>
        <w:spacing w:before="0" w:beforeAutospacing="off" w:after="120" w:afterAutospacing="off" w:line="240" w:lineRule="auto"/>
        <w:ind w:left="720" w:firstLine="0"/>
        <w:jc w:val="both"/>
      </w:pPr>
      <w:r w:rsidRPr="46B80AED" w:rsidR="465684DF">
        <w:rPr>
          <w:rFonts w:ascii="Times New Roman" w:hAnsi="Times New Roman" w:eastAsia="Times New Roman" w:cs="Times New Roman"/>
          <w:noProof w:val="0"/>
          <w:sz w:val="24"/>
          <w:szCs w:val="24"/>
          <w:lang w:val="pt-BR"/>
        </w:rPr>
        <w:t xml:space="preserve">Brynjolfsson, E., &amp; McAfee, A. (2014). </w:t>
      </w:r>
      <w:r w:rsidRPr="46B80AED" w:rsidR="465684DF">
        <w:rPr>
          <w:rFonts w:ascii="Times New Roman" w:hAnsi="Times New Roman" w:eastAsia="Times New Roman" w:cs="Times New Roman"/>
          <w:i w:val="1"/>
          <w:iCs w:val="1"/>
          <w:noProof w:val="0"/>
          <w:sz w:val="24"/>
          <w:szCs w:val="24"/>
          <w:lang w:val="pt-BR"/>
        </w:rPr>
        <w:t>The second machine age: Work, progress, and prosperity in a time of brilliant technologies</w:t>
      </w:r>
      <w:r w:rsidRPr="46B80AED" w:rsidR="465684DF">
        <w:rPr>
          <w:rFonts w:ascii="Times New Roman" w:hAnsi="Times New Roman" w:eastAsia="Times New Roman" w:cs="Times New Roman"/>
          <w:noProof w:val="0"/>
          <w:sz w:val="24"/>
          <w:szCs w:val="24"/>
          <w:lang w:val="pt-BR"/>
        </w:rPr>
        <w:t>. W. W. Norton &amp; Company.</w:t>
      </w:r>
    </w:p>
    <w:p w:rsidR="465684DF" w:rsidP="46B80AED" w:rsidRDefault="465684DF" w14:paraId="49AA3AF3" w14:textId="3B3F2772">
      <w:pPr>
        <w:spacing w:before="0" w:beforeAutospacing="off" w:after="120" w:afterAutospacing="off" w:line="240" w:lineRule="auto"/>
        <w:ind w:left="720" w:firstLine="0"/>
        <w:jc w:val="both"/>
      </w:pPr>
      <w:r w:rsidRPr="46B80AED" w:rsidR="465684DF">
        <w:rPr>
          <w:rFonts w:ascii="Times New Roman" w:hAnsi="Times New Roman" w:eastAsia="Times New Roman" w:cs="Times New Roman"/>
          <w:noProof w:val="0"/>
          <w:sz w:val="24"/>
          <w:szCs w:val="24"/>
          <w:lang w:val="pt-BR"/>
        </w:rPr>
        <w:t xml:space="preserve">Creswell, J. W., &amp; Creswell, J. D. (2018). </w:t>
      </w:r>
      <w:r w:rsidRPr="46B80AED" w:rsidR="465684DF">
        <w:rPr>
          <w:rFonts w:ascii="Times New Roman" w:hAnsi="Times New Roman" w:eastAsia="Times New Roman" w:cs="Times New Roman"/>
          <w:i w:val="1"/>
          <w:iCs w:val="1"/>
          <w:noProof w:val="0"/>
          <w:sz w:val="24"/>
          <w:szCs w:val="24"/>
          <w:lang w:val="pt-BR"/>
        </w:rPr>
        <w:t>Research design: Qualitative, quantitative, and mixed methods approaches</w:t>
      </w:r>
      <w:r w:rsidRPr="46B80AED" w:rsidR="465684DF">
        <w:rPr>
          <w:rFonts w:ascii="Times New Roman" w:hAnsi="Times New Roman" w:eastAsia="Times New Roman" w:cs="Times New Roman"/>
          <w:noProof w:val="0"/>
          <w:sz w:val="24"/>
          <w:szCs w:val="24"/>
          <w:lang w:val="pt-BR"/>
        </w:rPr>
        <w:t xml:space="preserve"> (5ª ed.). Sage.</w:t>
      </w:r>
    </w:p>
    <w:p w:rsidR="465684DF" w:rsidP="46B80AED" w:rsidRDefault="465684DF" w14:paraId="11A954DE" w14:textId="0F23FA28">
      <w:pPr>
        <w:spacing w:before="0" w:beforeAutospacing="off" w:after="120" w:afterAutospacing="off" w:line="240" w:lineRule="auto"/>
        <w:ind w:left="720" w:firstLine="0"/>
        <w:jc w:val="both"/>
      </w:pPr>
      <w:r w:rsidRPr="46B80AED" w:rsidR="465684DF">
        <w:rPr>
          <w:rFonts w:ascii="Times New Roman" w:hAnsi="Times New Roman" w:eastAsia="Times New Roman" w:cs="Times New Roman"/>
          <w:noProof w:val="0"/>
          <w:sz w:val="24"/>
          <w:szCs w:val="24"/>
          <w:lang w:val="pt-BR"/>
        </w:rPr>
        <w:t xml:space="preserve">Fairclough, N. (2003). </w:t>
      </w:r>
      <w:r w:rsidRPr="46B80AED" w:rsidR="465684DF">
        <w:rPr>
          <w:rFonts w:ascii="Times New Roman" w:hAnsi="Times New Roman" w:eastAsia="Times New Roman" w:cs="Times New Roman"/>
          <w:i w:val="1"/>
          <w:iCs w:val="1"/>
          <w:noProof w:val="0"/>
          <w:sz w:val="24"/>
          <w:szCs w:val="24"/>
          <w:lang w:val="pt-BR"/>
        </w:rPr>
        <w:t>Analysing discourse: Textual analysis for social research</w:t>
      </w:r>
      <w:r w:rsidRPr="46B80AED" w:rsidR="465684DF">
        <w:rPr>
          <w:rFonts w:ascii="Times New Roman" w:hAnsi="Times New Roman" w:eastAsia="Times New Roman" w:cs="Times New Roman"/>
          <w:noProof w:val="0"/>
          <w:sz w:val="24"/>
          <w:szCs w:val="24"/>
          <w:lang w:val="pt-BR"/>
        </w:rPr>
        <w:t>. Routledge.</w:t>
      </w:r>
    </w:p>
    <w:p w:rsidR="465684DF" w:rsidP="46B80AED" w:rsidRDefault="465684DF" w14:paraId="019B88E6" w14:textId="1CE72D54">
      <w:pPr>
        <w:spacing w:before="0" w:beforeAutospacing="off" w:after="120" w:afterAutospacing="off" w:line="240" w:lineRule="auto"/>
        <w:ind w:left="720" w:firstLine="0"/>
        <w:jc w:val="both"/>
      </w:pPr>
      <w:r w:rsidRPr="46B80AED" w:rsidR="465684DF">
        <w:rPr>
          <w:rFonts w:ascii="Times New Roman" w:hAnsi="Times New Roman" w:eastAsia="Times New Roman" w:cs="Times New Roman"/>
          <w:noProof w:val="0"/>
          <w:sz w:val="24"/>
          <w:szCs w:val="24"/>
          <w:lang w:val="pt-BR"/>
        </w:rPr>
        <w:t xml:space="preserve">Felten, E. W., Raj, M., &amp; Seamans, R. (2023). How will language modelers like ChatGPT affect occupations and industries? [Preprint]. </w:t>
      </w:r>
      <w:r w:rsidRPr="46B80AED" w:rsidR="465684DF">
        <w:rPr>
          <w:rFonts w:ascii="Times New Roman" w:hAnsi="Times New Roman" w:eastAsia="Times New Roman" w:cs="Times New Roman"/>
          <w:i w:val="1"/>
          <w:iCs w:val="1"/>
          <w:noProof w:val="0"/>
          <w:sz w:val="24"/>
          <w:szCs w:val="24"/>
          <w:lang w:val="pt-BR"/>
        </w:rPr>
        <w:t>arXiv</w:t>
      </w:r>
      <w:r w:rsidRPr="46B80AED" w:rsidR="465684DF">
        <w:rPr>
          <w:rFonts w:ascii="Times New Roman" w:hAnsi="Times New Roman" w:eastAsia="Times New Roman" w:cs="Times New Roman"/>
          <w:noProof w:val="0"/>
          <w:sz w:val="24"/>
          <w:szCs w:val="24"/>
          <w:lang w:val="pt-BR"/>
        </w:rPr>
        <w:t xml:space="preserve">. </w:t>
      </w:r>
      <w:hyperlink r:id="R93c1a9b8bf6940ef">
        <w:r w:rsidRPr="46B80AED" w:rsidR="465684DF">
          <w:rPr>
            <w:rStyle w:val="Hyperlink"/>
            <w:rFonts w:ascii="Times New Roman" w:hAnsi="Times New Roman" w:eastAsia="Times New Roman" w:cs="Times New Roman"/>
            <w:noProof w:val="0"/>
            <w:sz w:val="24"/>
            <w:szCs w:val="24"/>
            <w:lang w:val="pt-BR"/>
          </w:rPr>
          <w:t>https://doi.org/10.48550/arXiv.2303.01157</w:t>
        </w:r>
      </w:hyperlink>
    </w:p>
    <w:p w:rsidR="465684DF" w:rsidP="46B80AED" w:rsidRDefault="465684DF" w14:paraId="5B75FCE2" w14:textId="161F81F7">
      <w:pPr>
        <w:spacing w:before="0" w:beforeAutospacing="off" w:after="120" w:afterAutospacing="off" w:line="240" w:lineRule="auto"/>
        <w:ind w:left="720" w:firstLine="0"/>
        <w:jc w:val="both"/>
      </w:pPr>
      <w:r w:rsidRPr="46B80AED" w:rsidR="465684DF">
        <w:rPr>
          <w:rFonts w:ascii="Times New Roman" w:hAnsi="Times New Roman" w:eastAsia="Times New Roman" w:cs="Times New Roman"/>
          <w:noProof w:val="0"/>
          <w:sz w:val="24"/>
          <w:szCs w:val="24"/>
          <w:lang w:val="pt-BR"/>
        </w:rPr>
        <w:t xml:space="preserve">Frey, C. B., &amp; Osborne, M. A. (2017). The future of employment: How susceptible are jobs to computerisation? </w:t>
      </w:r>
      <w:r w:rsidRPr="46B80AED" w:rsidR="465684DF">
        <w:rPr>
          <w:rFonts w:ascii="Times New Roman" w:hAnsi="Times New Roman" w:eastAsia="Times New Roman" w:cs="Times New Roman"/>
          <w:i w:val="1"/>
          <w:iCs w:val="1"/>
          <w:noProof w:val="0"/>
          <w:sz w:val="24"/>
          <w:szCs w:val="24"/>
          <w:lang w:val="pt-BR"/>
        </w:rPr>
        <w:t>Technological Forecasting and Social Change</w:t>
      </w:r>
      <w:r w:rsidRPr="46B80AED" w:rsidR="465684DF">
        <w:rPr>
          <w:rFonts w:ascii="Times New Roman" w:hAnsi="Times New Roman" w:eastAsia="Times New Roman" w:cs="Times New Roman"/>
          <w:noProof w:val="0"/>
          <w:sz w:val="24"/>
          <w:szCs w:val="24"/>
          <w:lang w:val="pt-BR"/>
        </w:rPr>
        <w:t xml:space="preserve">, </w:t>
      </w:r>
      <w:r w:rsidRPr="46B80AED" w:rsidR="465684DF">
        <w:rPr>
          <w:rFonts w:ascii="Times New Roman" w:hAnsi="Times New Roman" w:eastAsia="Times New Roman" w:cs="Times New Roman"/>
          <w:i w:val="1"/>
          <w:iCs w:val="1"/>
          <w:noProof w:val="0"/>
          <w:sz w:val="24"/>
          <w:szCs w:val="24"/>
          <w:lang w:val="pt-BR"/>
        </w:rPr>
        <w:t>114</w:t>
      </w:r>
      <w:r w:rsidRPr="46B80AED" w:rsidR="465684DF">
        <w:rPr>
          <w:rFonts w:ascii="Times New Roman" w:hAnsi="Times New Roman" w:eastAsia="Times New Roman" w:cs="Times New Roman"/>
          <w:noProof w:val="0"/>
          <w:sz w:val="24"/>
          <w:szCs w:val="24"/>
          <w:lang w:val="pt-BR"/>
        </w:rPr>
        <w:t xml:space="preserve">, 254–280. </w:t>
      </w:r>
      <w:hyperlink r:id="Rd9985d84c9604f34">
        <w:r w:rsidRPr="46B80AED" w:rsidR="465684DF">
          <w:rPr>
            <w:rStyle w:val="Hyperlink"/>
            <w:rFonts w:ascii="Times New Roman" w:hAnsi="Times New Roman" w:eastAsia="Times New Roman" w:cs="Times New Roman"/>
            <w:noProof w:val="0"/>
            <w:sz w:val="24"/>
            <w:szCs w:val="24"/>
            <w:lang w:val="pt-BR"/>
          </w:rPr>
          <w:t>https://doi.org/10.1016/j.techfore.2016.08.019</w:t>
        </w:r>
      </w:hyperlink>
    </w:p>
    <w:p w:rsidR="465684DF" w:rsidP="46B80AED" w:rsidRDefault="465684DF" w14:paraId="508C21FB" w14:textId="4516ED3C">
      <w:pPr>
        <w:spacing w:before="0" w:beforeAutospacing="off" w:after="120" w:afterAutospacing="off" w:line="240" w:lineRule="auto"/>
        <w:ind w:left="720" w:firstLine="0"/>
        <w:jc w:val="both"/>
      </w:pPr>
      <w:r w:rsidRPr="46B80AED" w:rsidR="465684DF">
        <w:rPr>
          <w:rFonts w:ascii="Times New Roman" w:hAnsi="Times New Roman" w:eastAsia="Times New Roman" w:cs="Times New Roman"/>
          <w:noProof w:val="0"/>
          <w:sz w:val="24"/>
          <w:szCs w:val="24"/>
          <w:lang w:val="pt-BR"/>
        </w:rPr>
        <w:t xml:space="preserve">Gil, A. C. (2019). </w:t>
      </w:r>
      <w:r w:rsidRPr="46B80AED" w:rsidR="465684DF">
        <w:rPr>
          <w:rFonts w:ascii="Times New Roman" w:hAnsi="Times New Roman" w:eastAsia="Times New Roman" w:cs="Times New Roman"/>
          <w:i w:val="1"/>
          <w:iCs w:val="1"/>
          <w:noProof w:val="0"/>
          <w:sz w:val="24"/>
          <w:szCs w:val="24"/>
          <w:lang w:val="pt-BR"/>
        </w:rPr>
        <w:t>Métodos e técnicas de pesquisa social</w:t>
      </w:r>
      <w:r w:rsidRPr="46B80AED" w:rsidR="465684DF">
        <w:rPr>
          <w:rFonts w:ascii="Times New Roman" w:hAnsi="Times New Roman" w:eastAsia="Times New Roman" w:cs="Times New Roman"/>
          <w:noProof w:val="0"/>
          <w:sz w:val="24"/>
          <w:szCs w:val="24"/>
          <w:lang w:val="pt-BR"/>
        </w:rPr>
        <w:t xml:space="preserve"> (7ª ed.). Atlas.</w:t>
      </w:r>
    </w:p>
    <w:p w:rsidR="465684DF" w:rsidP="46B80AED" w:rsidRDefault="465684DF" w14:paraId="3A4B3BC5" w14:textId="2B473B8A">
      <w:pPr>
        <w:spacing w:before="0" w:beforeAutospacing="off" w:after="120" w:afterAutospacing="off" w:line="240" w:lineRule="auto"/>
        <w:ind w:left="720" w:firstLine="0"/>
        <w:jc w:val="both"/>
      </w:pPr>
      <w:r w:rsidRPr="46B80AED" w:rsidR="465684DF">
        <w:rPr>
          <w:rFonts w:ascii="Times New Roman" w:hAnsi="Times New Roman" w:eastAsia="Times New Roman" w:cs="Times New Roman"/>
          <w:noProof w:val="0"/>
          <w:sz w:val="24"/>
          <w:szCs w:val="24"/>
          <w:lang w:val="pt-BR"/>
        </w:rPr>
        <w:t xml:space="preserve">Jensen, M. C. (1986). Agency costs of free cash flow, corporate finance and corporate governance. </w:t>
      </w:r>
      <w:r w:rsidRPr="46B80AED" w:rsidR="465684DF">
        <w:rPr>
          <w:rFonts w:ascii="Times New Roman" w:hAnsi="Times New Roman" w:eastAsia="Times New Roman" w:cs="Times New Roman"/>
          <w:i w:val="1"/>
          <w:iCs w:val="1"/>
          <w:noProof w:val="0"/>
          <w:sz w:val="24"/>
          <w:szCs w:val="24"/>
          <w:lang w:val="pt-BR"/>
        </w:rPr>
        <w:t>American Economic Review</w:t>
      </w:r>
      <w:r w:rsidRPr="46B80AED" w:rsidR="465684DF">
        <w:rPr>
          <w:rFonts w:ascii="Times New Roman" w:hAnsi="Times New Roman" w:eastAsia="Times New Roman" w:cs="Times New Roman"/>
          <w:noProof w:val="0"/>
          <w:sz w:val="24"/>
          <w:szCs w:val="24"/>
          <w:lang w:val="pt-BR"/>
        </w:rPr>
        <w:t xml:space="preserve">, </w:t>
      </w:r>
      <w:r w:rsidRPr="46B80AED" w:rsidR="465684DF">
        <w:rPr>
          <w:rFonts w:ascii="Times New Roman" w:hAnsi="Times New Roman" w:eastAsia="Times New Roman" w:cs="Times New Roman"/>
          <w:i w:val="1"/>
          <w:iCs w:val="1"/>
          <w:noProof w:val="0"/>
          <w:sz w:val="24"/>
          <w:szCs w:val="24"/>
          <w:lang w:val="pt-BR"/>
        </w:rPr>
        <w:t>76</w:t>
      </w:r>
      <w:r w:rsidRPr="46B80AED" w:rsidR="465684DF">
        <w:rPr>
          <w:rFonts w:ascii="Times New Roman" w:hAnsi="Times New Roman" w:eastAsia="Times New Roman" w:cs="Times New Roman"/>
          <w:noProof w:val="0"/>
          <w:sz w:val="24"/>
          <w:szCs w:val="24"/>
          <w:lang w:val="pt-BR"/>
        </w:rPr>
        <w:t>(2), 323–329.</w:t>
      </w:r>
    </w:p>
    <w:p w:rsidR="465684DF" w:rsidP="46B80AED" w:rsidRDefault="465684DF" w14:paraId="2F09B548" w14:textId="39C7536E">
      <w:pPr>
        <w:spacing w:before="0" w:beforeAutospacing="off" w:after="120" w:afterAutospacing="off" w:line="240" w:lineRule="auto"/>
        <w:ind w:left="720" w:firstLine="0"/>
        <w:jc w:val="both"/>
      </w:pPr>
      <w:r w:rsidRPr="46B80AED" w:rsidR="465684DF">
        <w:rPr>
          <w:rFonts w:ascii="Times New Roman" w:hAnsi="Times New Roman" w:eastAsia="Times New Roman" w:cs="Times New Roman"/>
          <w:noProof w:val="0"/>
          <w:sz w:val="24"/>
          <w:szCs w:val="24"/>
          <w:lang w:val="pt-BR"/>
        </w:rPr>
        <w:t xml:space="preserve">Jensen, M. C., &amp; Meckling, W. H. (1976). Theory of the firm: Managerial behavior, agency costs and ownership structure. </w:t>
      </w:r>
      <w:r w:rsidRPr="46B80AED" w:rsidR="465684DF">
        <w:rPr>
          <w:rFonts w:ascii="Times New Roman" w:hAnsi="Times New Roman" w:eastAsia="Times New Roman" w:cs="Times New Roman"/>
          <w:i w:val="1"/>
          <w:iCs w:val="1"/>
          <w:noProof w:val="0"/>
          <w:sz w:val="24"/>
          <w:szCs w:val="24"/>
          <w:lang w:val="pt-BR"/>
        </w:rPr>
        <w:t>Journal of Financial Economics</w:t>
      </w:r>
      <w:r w:rsidRPr="46B80AED" w:rsidR="465684DF">
        <w:rPr>
          <w:rFonts w:ascii="Times New Roman" w:hAnsi="Times New Roman" w:eastAsia="Times New Roman" w:cs="Times New Roman"/>
          <w:noProof w:val="0"/>
          <w:sz w:val="24"/>
          <w:szCs w:val="24"/>
          <w:lang w:val="pt-BR"/>
        </w:rPr>
        <w:t xml:space="preserve">, </w:t>
      </w:r>
      <w:r w:rsidRPr="46B80AED" w:rsidR="465684DF">
        <w:rPr>
          <w:rFonts w:ascii="Times New Roman" w:hAnsi="Times New Roman" w:eastAsia="Times New Roman" w:cs="Times New Roman"/>
          <w:i w:val="1"/>
          <w:iCs w:val="1"/>
          <w:noProof w:val="0"/>
          <w:sz w:val="24"/>
          <w:szCs w:val="24"/>
          <w:lang w:val="pt-BR"/>
        </w:rPr>
        <w:t>3</w:t>
      </w:r>
      <w:r w:rsidRPr="46B80AED" w:rsidR="465684DF">
        <w:rPr>
          <w:rFonts w:ascii="Times New Roman" w:hAnsi="Times New Roman" w:eastAsia="Times New Roman" w:cs="Times New Roman"/>
          <w:noProof w:val="0"/>
          <w:sz w:val="24"/>
          <w:szCs w:val="24"/>
          <w:lang w:val="pt-BR"/>
        </w:rPr>
        <w:t xml:space="preserve">(4), 305–360. </w:t>
      </w:r>
      <w:hyperlink r:id="R9376db0c609c4047">
        <w:r w:rsidRPr="46B80AED" w:rsidR="465684DF">
          <w:rPr>
            <w:rStyle w:val="Hyperlink"/>
            <w:rFonts w:ascii="Times New Roman" w:hAnsi="Times New Roman" w:eastAsia="Times New Roman" w:cs="Times New Roman"/>
            <w:noProof w:val="0"/>
            <w:sz w:val="24"/>
            <w:szCs w:val="24"/>
            <w:lang w:val="pt-BR"/>
          </w:rPr>
          <w:t>https://doi.org/10.1016/0304-405X(76)90026-0</w:t>
        </w:r>
      </w:hyperlink>
    </w:p>
    <w:p w:rsidR="465684DF" w:rsidP="46B80AED" w:rsidRDefault="465684DF" w14:paraId="7FBE6413" w14:textId="2346BC9D">
      <w:pPr>
        <w:spacing w:before="0" w:beforeAutospacing="off" w:after="120" w:afterAutospacing="off" w:line="240" w:lineRule="auto"/>
        <w:ind w:left="720" w:firstLine="0"/>
        <w:jc w:val="both"/>
      </w:pPr>
      <w:r w:rsidRPr="46B80AED" w:rsidR="465684DF">
        <w:rPr>
          <w:rFonts w:ascii="Times New Roman" w:hAnsi="Times New Roman" w:eastAsia="Times New Roman" w:cs="Times New Roman"/>
          <w:noProof w:val="0"/>
          <w:sz w:val="24"/>
          <w:szCs w:val="24"/>
          <w:lang w:val="pt-BR"/>
        </w:rPr>
        <w:t xml:space="preserve">Kaplan, S. N., &amp; Minton, B. A. (2012). How has CEO turnover changed? </w:t>
      </w:r>
      <w:r w:rsidRPr="46B80AED" w:rsidR="465684DF">
        <w:rPr>
          <w:rFonts w:ascii="Times New Roman" w:hAnsi="Times New Roman" w:eastAsia="Times New Roman" w:cs="Times New Roman"/>
          <w:i w:val="1"/>
          <w:iCs w:val="1"/>
          <w:noProof w:val="0"/>
          <w:sz w:val="24"/>
          <w:szCs w:val="24"/>
          <w:lang w:val="pt-BR"/>
        </w:rPr>
        <w:t>Journal of Applied Corporate Finance</w:t>
      </w:r>
      <w:r w:rsidRPr="46B80AED" w:rsidR="465684DF">
        <w:rPr>
          <w:rFonts w:ascii="Times New Roman" w:hAnsi="Times New Roman" w:eastAsia="Times New Roman" w:cs="Times New Roman"/>
          <w:noProof w:val="0"/>
          <w:sz w:val="24"/>
          <w:szCs w:val="24"/>
          <w:lang w:val="pt-BR"/>
        </w:rPr>
        <w:t xml:space="preserve">, </w:t>
      </w:r>
      <w:r w:rsidRPr="46B80AED" w:rsidR="465684DF">
        <w:rPr>
          <w:rFonts w:ascii="Times New Roman" w:hAnsi="Times New Roman" w:eastAsia="Times New Roman" w:cs="Times New Roman"/>
          <w:i w:val="1"/>
          <w:iCs w:val="1"/>
          <w:noProof w:val="0"/>
          <w:sz w:val="24"/>
          <w:szCs w:val="24"/>
          <w:lang w:val="pt-BR"/>
        </w:rPr>
        <w:t>24</w:t>
      </w:r>
      <w:r w:rsidRPr="46B80AED" w:rsidR="465684DF">
        <w:rPr>
          <w:rFonts w:ascii="Times New Roman" w:hAnsi="Times New Roman" w:eastAsia="Times New Roman" w:cs="Times New Roman"/>
          <w:noProof w:val="0"/>
          <w:sz w:val="24"/>
          <w:szCs w:val="24"/>
          <w:lang w:val="pt-BR"/>
        </w:rPr>
        <w:t xml:space="preserve">(4), 72–85. </w:t>
      </w:r>
      <w:hyperlink r:id="Ra33085d070db4eed">
        <w:r w:rsidRPr="46B80AED" w:rsidR="465684DF">
          <w:rPr>
            <w:rStyle w:val="Hyperlink"/>
            <w:rFonts w:ascii="Times New Roman" w:hAnsi="Times New Roman" w:eastAsia="Times New Roman" w:cs="Times New Roman"/>
            <w:noProof w:val="0"/>
            <w:sz w:val="24"/>
            <w:szCs w:val="24"/>
            <w:lang w:val="pt-BR"/>
          </w:rPr>
          <w:t>https://doi.org/10.1111/jacf.12015</w:t>
        </w:r>
      </w:hyperlink>
    </w:p>
    <w:p w:rsidR="465684DF" w:rsidP="46B80AED" w:rsidRDefault="465684DF" w14:paraId="22F84BE2" w14:textId="5C384C24">
      <w:pPr>
        <w:spacing w:before="0" w:beforeAutospacing="off" w:after="120" w:afterAutospacing="off" w:line="240" w:lineRule="auto"/>
        <w:ind w:left="720" w:firstLine="0"/>
        <w:jc w:val="both"/>
      </w:pPr>
      <w:r w:rsidRPr="46B80AED" w:rsidR="465684DF">
        <w:rPr>
          <w:rFonts w:ascii="Times New Roman" w:hAnsi="Times New Roman" w:eastAsia="Times New Roman" w:cs="Times New Roman"/>
          <w:noProof w:val="0"/>
          <w:sz w:val="24"/>
          <w:szCs w:val="24"/>
          <w:lang w:val="pt-BR"/>
        </w:rPr>
        <w:t xml:space="preserve">Kenney, M., &amp; Zysman, J. (2016). The rise of the platform economy. </w:t>
      </w:r>
      <w:r w:rsidRPr="46B80AED" w:rsidR="465684DF">
        <w:rPr>
          <w:rFonts w:ascii="Times New Roman" w:hAnsi="Times New Roman" w:eastAsia="Times New Roman" w:cs="Times New Roman"/>
          <w:i w:val="1"/>
          <w:iCs w:val="1"/>
          <w:noProof w:val="0"/>
          <w:sz w:val="24"/>
          <w:szCs w:val="24"/>
          <w:lang w:val="pt-BR"/>
        </w:rPr>
        <w:t>Issues in Science and Technology</w:t>
      </w:r>
      <w:r w:rsidRPr="46B80AED" w:rsidR="465684DF">
        <w:rPr>
          <w:rFonts w:ascii="Times New Roman" w:hAnsi="Times New Roman" w:eastAsia="Times New Roman" w:cs="Times New Roman"/>
          <w:noProof w:val="0"/>
          <w:sz w:val="24"/>
          <w:szCs w:val="24"/>
          <w:lang w:val="pt-BR"/>
        </w:rPr>
        <w:t xml:space="preserve">, </w:t>
      </w:r>
      <w:r w:rsidRPr="46B80AED" w:rsidR="465684DF">
        <w:rPr>
          <w:rFonts w:ascii="Times New Roman" w:hAnsi="Times New Roman" w:eastAsia="Times New Roman" w:cs="Times New Roman"/>
          <w:i w:val="1"/>
          <w:iCs w:val="1"/>
          <w:noProof w:val="0"/>
          <w:sz w:val="24"/>
          <w:szCs w:val="24"/>
          <w:lang w:val="pt-BR"/>
        </w:rPr>
        <w:t>32</w:t>
      </w:r>
      <w:r w:rsidRPr="46B80AED" w:rsidR="465684DF">
        <w:rPr>
          <w:rFonts w:ascii="Times New Roman" w:hAnsi="Times New Roman" w:eastAsia="Times New Roman" w:cs="Times New Roman"/>
          <w:noProof w:val="0"/>
          <w:sz w:val="24"/>
          <w:szCs w:val="24"/>
          <w:lang w:val="pt-BR"/>
        </w:rPr>
        <w:t>(3), 61–69.</w:t>
      </w:r>
    </w:p>
    <w:p w:rsidR="465684DF" w:rsidP="46B80AED" w:rsidRDefault="465684DF" w14:paraId="7767B1E2" w14:textId="5AC7E5A9">
      <w:pPr>
        <w:spacing w:before="0" w:beforeAutospacing="off" w:after="120" w:afterAutospacing="off" w:line="240" w:lineRule="auto"/>
        <w:ind w:left="720" w:firstLine="0"/>
        <w:jc w:val="both"/>
      </w:pPr>
      <w:r w:rsidRPr="46B80AED" w:rsidR="465684DF">
        <w:rPr>
          <w:rFonts w:ascii="Times New Roman" w:hAnsi="Times New Roman" w:eastAsia="Times New Roman" w:cs="Times New Roman"/>
          <w:noProof w:val="0"/>
          <w:sz w:val="24"/>
          <w:szCs w:val="24"/>
          <w:lang w:val="pt-BR"/>
        </w:rPr>
        <w:t xml:space="preserve">Penrose, E. T. (1959). </w:t>
      </w:r>
      <w:r w:rsidRPr="46B80AED" w:rsidR="465684DF">
        <w:rPr>
          <w:rFonts w:ascii="Times New Roman" w:hAnsi="Times New Roman" w:eastAsia="Times New Roman" w:cs="Times New Roman"/>
          <w:i w:val="1"/>
          <w:iCs w:val="1"/>
          <w:noProof w:val="0"/>
          <w:sz w:val="24"/>
          <w:szCs w:val="24"/>
          <w:lang w:val="pt-BR"/>
        </w:rPr>
        <w:t>The theory of the growth of the firm</w:t>
      </w:r>
      <w:r w:rsidRPr="46B80AED" w:rsidR="465684DF">
        <w:rPr>
          <w:rFonts w:ascii="Times New Roman" w:hAnsi="Times New Roman" w:eastAsia="Times New Roman" w:cs="Times New Roman"/>
          <w:noProof w:val="0"/>
          <w:sz w:val="24"/>
          <w:szCs w:val="24"/>
          <w:lang w:val="pt-BR"/>
        </w:rPr>
        <w:t>. Oxford University Press.</w:t>
      </w:r>
    </w:p>
    <w:p w:rsidR="465684DF" w:rsidP="46B80AED" w:rsidRDefault="465684DF" w14:paraId="52619D9E" w14:textId="6F881650">
      <w:pPr>
        <w:spacing w:before="0" w:beforeAutospacing="off" w:after="120" w:afterAutospacing="off" w:line="240" w:lineRule="auto"/>
        <w:ind w:left="720" w:firstLine="0"/>
        <w:jc w:val="both"/>
      </w:pPr>
      <w:r w:rsidRPr="46B80AED" w:rsidR="465684DF">
        <w:rPr>
          <w:rFonts w:ascii="Times New Roman" w:hAnsi="Times New Roman" w:eastAsia="Times New Roman" w:cs="Times New Roman"/>
          <w:noProof w:val="0"/>
          <w:sz w:val="24"/>
          <w:szCs w:val="24"/>
          <w:lang w:val="pt-BR"/>
        </w:rPr>
        <w:t xml:space="preserve">Schumpeter, J. A. (1942). </w:t>
      </w:r>
      <w:r w:rsidRPr="46B80AED" w:rsidR="465684DF">
        <w:rPr>
          <w:rFonts w:ascii="Times New Roman" w:hAnsi="Times New Roman" w:eastAsia="Times New Roman" w:cs="Times New Roman"/>
          <w:i w:val="1"/>
          <w:iCs w:val="1"/>
          <w:noProof w:val="0"/>
          <w:sz w:val="24"/>
          <w:szCs w:val="24"/>
          <w:lang w:val="pt-BR"/>
        </w:rPr>
        <w:t>Capitalism, socialism and democracy</w:t>
      </w:r>
      <w:r w:rsidRPr="46B80AED" w:rsidR="465684DF">
        <w:rPr>
          <w:rFonts w:ascii="Times New Roman" w:hAnsi="Times New Roman" w:eastAsia="Times New Roman" w:cs="Times New Roman"/>
          <w:noProof w:val="0"/>
          <w:sz w:val="24"/>
          <w:szCs w:val="24"/>
          <w:lang w:val="pt-BR"/>
        </w:rPr>
        <w:t>. Harper &amp; Brothers.</w:t>
      </w:r>
    </w:p>
    <w:p w:rsidR="465684DF" w:rsidP="46B80AED" w:rsidRDefault="465684DF" w14:paraId="5C29BE24" w14:textId="39919E60">
      <w:pPr>
        <w:spacing w:before="0" w:beforeAutospacing="off" w:after="120" w:afterAutospacing="off" w:line="240" w:lineRule="auto"/>
        <w:ind w:left="720" w:firstLine="0"/>
        <w:jc w:val="both"/>
      </w:pPr>
      <w:r w:rsidRPr="46B80AED" w:rsidR="465684DF">
        <w:rPr>
          <w:rFonts w:ascii="Times New Roman" w:hAnsi="Times New Roman" w:eastAsia="Times New Roman" w:cs="Times New Roman"/>
          <w:noProof w:val="0"/>
          <w:sz w:val="24"/>
          <w:szCs w:val="24"/>
          <w:lang w:val="pt-BR"/>
        </w:rPr>
        <w:t xml:space="preserve">Solow, R. M. (1987). We'd better watch out. </w:t>
      </w:r>
      <w:r w:rsidRPr="46B80AED" w:rsidR="465684DF">
        <w:rPr>
          <w:rFonts w:ascii="Times New Roman" w:hAnsi="Times New Roman" w:eastAsia="Times New Roman" w:cs="Times New Roman"/>
          <w:i w:val="1"/>
          <w:iCs w:val="1"/>
          <w:noProof w:val="0"/>
          <w:sz w:val="24"/>
          <w:szCs w:val="24"/>
          <w:lang w:val="pt-BR"/>
        </w:rPr>
        <w:t>New York Times Book Review</w:t>
      </w:r>
      <w:r w:rsidRPr="46B80AED" w:rsidR="465684DF">
        <w:rPr>
          <w:rFonts w:ascii="Times New Roman" w:hAnsi="Times New Roman" w:eastAsia="Times New Roman" w:cs="Times New Roman"/>
          <w:noProof w:val="0"/>
          <w:sz w:val="24"/>
          <w:szCs w:val="24"/>
          <w:lang w:val="pt-BR"/>
        </w:rPr>
        <w:t>, 36.</w:t>
      </w:r>
    </w:p>
    <w:p w:rsidR="465684DF" w:rsidP="46B80AED" w:rsidRDefault="465684DF" w14:paraId="0B18FD80" w14:textId="723B08AD">
      <w:pPr>
        <w:spacing w:before="0" w:beforeAutospacing="off" w:after="120" w:afterAutospacing="off" w:line="240" w:lineRule="auto"/>
        <w:ind w:left="720" w:firstLine="0"/>
        <w:jc w:val="both"/>
      </w:pPr>
      <w:r w:rsidRPr="46B80AED" w:rsidR="465684DF">
        <w:rPr>
          <w:rFonts w:ascii="Times New Roman" w:hAnsi="Times New Roman" w:eastAsia="Times New Roman" w:cs="Times New Roman"/>
          <w:noProof w:val="0"/>
          <w:sz w:val="24"/>
          <w:szCs w:val="24"/>
          <w:lang w:val="pt-BR"/>
        </w:rPr>
        <w:t xml:space="preserve">Vergara, S. C. (2016). </w:t>
      </w:r>
      <w:r w:rsidRPr="46B80AED" w:rsidR="465684DF">
        <w:rPr>
          <w:rFonts w:ascii="Times New Roman" w:hAnsi="Times New Roman" w:eastAsia="Times New Roman" w:cs="Times New Roman"/>
          <w:i w:val="1"/>
          <w:iCs w:val="1"/>
          <w:noProof w:val="0"/>
          <w:sz w:val="24"/>
          <w:szCs w:val="24"/>
          <w:lang w:val="pt-BR"/>
        </w:rPr>
        <w:t>Projetos e relatórios de pesquisa em administração</w:t>
      </w:r>
      <w:r w:rsidRPr="46B80AED" w:rsidR="465684DF">
        <w:rPr>
          <w:rFonts w:ascii="Times New Roman" w:hAnsi="Times New Roman" w:eastAsia="Times New Roman" w:cs="Times New Roman"/>
          <w:noProof w:val="0"/>
          <w:sz w:val="24"/>
          <w:szCs w:val="24"/>
          <w:lang w:val="pt-BR"/>
        </w:rPr>
        <w:t xml:space="preserve"> (16ª ed.). Atlas.</w:t>
      </w:r>
    </w:p>
    <w:p w:rsidR="465684DF" w:rsidP="46B80AED" w:rsidRDefault="465684DF" w14:paraId="4A922F7A" w14:textId="6BDF4497">
      <w:pPr>
        <w:spacing w:before="0" w:beforeAutospacing="off" w:after="120" w:afterAutospacing="off" w:line="240" w:lineRule="auto"/>
        <w:ind w:left="720" w:firstLine="0"/>
        <w:jc w:val="both"/>
      </w:pPr>
      <w:r w:rsidRPr="46B80AED" w:rsidR="465684DF">
        <w:rPr>
          <w:rFonts w:ascii="Times New Roman" w:hAnsi="Times New Roman" w:eastAsia="Times New Roman" w:cs="Times New Roman"/>
          <w:noProof w:val="0"/>
          <w:sz w:val="24"/>
          <w:szCs w:val="24"/>
          <w:lang w:val="pt-BR"/>
        </w:rPr>
        <w:t xml:space="preserve">Yin, R. K. (2018). </w:t>
      </w:r>
      <w:r w:rsidRPr="46B80AED" w:rsidR="465684DF">
        <w:rPr>
          <w:rFonts w:ascii="Times New Roman" w:hAnsi="Times New Roman" w:eastAsia="Times New Roman" w:cs="Times New Roman"/>
          <w:i w:val="1"/>
          <w:iCs w:val="1"/>
          <w:noProof w:val="0"/>
          <w:sz w:val="24"/>
          <w:szCs w:val="24"/>
          <w:lang w:val="pt-BR"/>
        </w:rPr>
        <w:t>Case study research and applications: Design and methods</w:t>
      </w:r>
      <w:r w:rsidRPr="46B80AED" w:rsidR="465684DF">
        <w:rPr>
          <w:rFonts w:ascii="Times New Roman" w:hAnsi="Times New Roman" w:eastAsia="Times New Roman" w:cs="Times New Roman"/>
          <w:noProof w:val="0"/>
          <w:sz w:val="24"/>
          <w:szCs w:val="24"/>
          <w:lang w:val="pt-BR"/>
        </w:rPr>
        <w:t xml:space="preserve"> (6ª ed.). Sage.</w:t>
      </w:r>
    </w:p>
    <w:sectPr>
      <w:pgSz w:w="11906" w:h="16838" w:orient="portrait"/>
      <w:pgMar w:top="1440" w:right="1440" w:bottom="1440" w:left="1440" w:header="720" w:footer="720" w:gutter="0"/>
      <w:cols w:space="720"/>
      <w:docGrid w:linePitch="360"/>
      <w:headerReference w:type="default" r:id="R471ee6ee23844200"/>
      <w:footerReference w:type="default" r:id="R365d3567662b48db"/>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