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both"/>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both"/>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both"/>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both"/>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both"/>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both"/>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p>
      <w:pPr>
        <w:ind w:left="720" w:hanging="720"/>
      </w:pPr>
      <w:r>
        <w:t>Bloomberg (2024). [Entrada placeholder adicionada automaticamente — substituir por referência completa]</w:t>
      </w:r>
    </w:p>
    <w:p>
      <w:pPr>
        <w:ind w:left="720" w:hanging="720"/>
      </w:pPr>
      <w:r>
        <w:t>Clark (2007). [Entrada placeholder adicionada automaticamente — substituir por referência completa]</w:t>
      </w:r>
    </w:p>
    <w:p>
      <w:pPr>
        <w:ind w:left="720" w:hanging="720"/>
      </w:pPr>
      <w:r>
        <w:t>Minton (2012). [Entrada placeholder adicionada automaticamente — substituir por referência completa]</w:t>
      </w:r>
    </w:p>
    <w:p>
      <w:pPr>
        <w:ind w:left="720" w:hanging="720"/>
      </w:pPr>
      <w:r>
        <w:t>Osborne (2017). [Entrada placeholder adicionada automaticamente — substituir por referência completa]</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Heading1"/>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rsidR="7AB0BA00">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pPr>
        <w:spacing w:after="120"/>
      </w:pPr>
      <w:r>
        <w:t>Para entender melhor essa dinâmica, cabe retomar brevemente os antecedentes históricos das ondas tecnológicas.</w:t>
      </w:r>
    </w:p>
    <w:p>
      <w:pPr>
        <w:spacing w:after="120" w:line="240" w:lineRule="auto"/>
        <w:jc w:val="both"/>
      </w:pPr>
      <w:r>
        <w:rPr>
          <w:rFonts w:ascii="Times New Roman" w:hAnsi="Times New Roman"/>
          <w:sz w:val="24"/>
        </w:rPr>
        <w:t>A perspectiva histórica revela que as transformações tecnológicas não seguem um padrão linear de substituição de trabalho humano por máquinas. Ao contrário, cada onda de inovação tem demonstrado uma dinâmica mais complexa, na qual a eliminação de determinadas funções coexiste com a criação de novas categorias ocupacionais e com a transformação das habilidades requeridas pelos trabalhadores. Frey &amp; Osborne (2017) estimam que aproximadamente 47% das ocupações nos Estados Unidos apresentam risco elevado de automação, porém esses autores reconhecem que suas projeções referem-se a ocupações e não a empregos específicos, uma vez que cada ocupação engloba múltiplas tarefas com diferentes níveis de automatizáveis. Essa distinção é fundamental para compreender que a transformação do trabalho pela IA não ocorre através da eliminação completa de profissões, mas através da redefinição das atividades que compõem cada função.</w:t>
      </w:r>
    </w:p>
    <w:p>
      <w:pPr>
        <w:spacing w:after="120"/>
      </w:pPr>
      <w:r>
        <w:t>Adicionalmente, é importante situar essas declarações no contexto amplo das dinâmicas organizacionais contemporâneas para melhor interpretação dos discursos.</w:t>
      </w:r>
    </w:p>
    <w:p>
      <w:pPr>
        <w:spacing w:after="120" w:line="240" w:lineRule="auto"/>
        <w:jc w:val="both"/>
      </w:pPr>
      <w:r>
        <w:rPr>
          <w:rFonts w:ascii="Times New Roman" w:hAnsi="Times New Roman"/>
          <w:sz w:val="24"/>
        </w:rPr>
        <w:t>O contexto tecnológico contemporâneo tem sido marcado pela proliferação de sistemas de inteligência artificial em diversos setores da economia global. Nesse cenário, demissões em massa têm sido frequentemente justificadas pela implementação de IA, sugerindo que a tecnologia teria tornado trabalhadores humanos redundantes. O presente estudo teve como objetivo analisar criticamente se essas declarações encontram respaldo na realidade operacional ou se constituem narrativa estratégica para ocultar motivações subjacentes. O referencial teórico fundamentou-se no Paradoxo da Produtividade de Solow, na Teoria da Agência e na Visão Baseada em Recursos, oferecendo frameworks analíticos para compreender a relação entre inovação tecnológica, comportamento corporativo e alocação de trabalho. A metodologia adotada consistiu em pesquisa qualitativa baseada em análise de conteúdo, utilizando como corpus declarações de CEOs de seis empresas de tecnologia que anunciaram demissões entre 2023 e 2026. Os principais resultados revelaram que nenhuma das empresas analisadas disponibilizou publicamente métricas verificáveis por agentes externos concretas de produtividade que sustentassem a narrativa de que a IA tornou trabalhadores redundantes. Observou-se que a maioria das empresas sobrecontratou durante o período pandêmico e que os dados financeiros demonstravam lucratividade elevada no momento das demissões. Verificou-se também que quatro das seis empresas utilizaram linguagem de determinismo tecnológico, apresentando a IA como força externa e inevitável que determinaria as demissões. Os resultados indicam que o argumento da inteligência artificial está sendo utilizado predominantemente como cortina de fumaça para justificar demissões motivadas por fatores como correção de sobrecontratação pandêmica, pressões por margens de lucro de curto prazo e incentivos de agência dos executivos. O estudo contribui para a literatura ao demonstrar a persistência do paradoxo de Solow no nível microeconômico, ao aplicar a Teoria da Agência ao contexto de narrativas tecnológicas, e ao introduzir o conceito de AI washing no discurso corporativo sobre demissões.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Heading1"/>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pPr>
        <w:spacing w:after="120"/>
      </w:pPr>
      <w:r>
        <w:t>Antes de prosseguir, definimos termos-chave para evitar ambiguidade terminológica no restante do texto.</w:t>
      </w:r>
    </w:p>
    <w:p>
      <w:pPr>
        <w:spacing w:after="120" w:line="240" w:lineRule="auto"/>
        <w:jc w:val="both"/>
      </w:pPr>
      <w:r>
        <w:rPr>
          <w:rFonts w:ascii="Times New Roman" w:hAnsi="Times New Roman"/>
          <w:sz w:val="24"/>
        </w:rPr>
        <w:t>Com o intuito de padronizar a terminologia deste manuscrito, é essencial delinear a fronteira entre os termos AI Washing e AI Scapegoating. O conceito de AI Washing refere-se à prática corporativa de marketing enganoso que exagera as capacidades da IA para atrair investimentos ou clientes. Em contrapartida, este estudo adota e foca no termo AI Scapegoating, que define especificamente a instrumentalização discursiva da tecnologia como "bode expiatório" para justificar demissões e mascarar falhas de gestão. Partindo dessa premissa, embora a literatura muitas vezes trate de exageros da inteligência artificial, este trabalho concentra-se na dimensão específica das demissões justificadas pela IA sem evidência operacional. A revisão da literatura revela que, embora existam estudos substanciais sobre os impactos da IA no mercado de trabalho, há lacuna significativa na análise crítica do discurso corporativo sobre demissões. A literatura existente concentra-se predominantemente em três vertentes: projeções sobre automatização de ocupações, estudos sobre ganhos de produtividade da IA e análises sobre políticas públicas de requalificação. Cada uma dessas vertentes oferece contribuições valiosas, porém nenhuma aborda sistematicamente a questão de como executivos utilizam a narrativa de IA para justificar demissões que podem ter motivações distintas.</w:t>
      </w:r>
    </w:p>
    <w:p>
      <w:pPr>
        <w:spacing w:after="120"/>
      </w:pPr>
      <w:r>
        <w:t>Do ponto de vista dos recursos estratégicos, convém destacar contribuições clássicas que informam a análise presente.</w:t>
      </w:r>
    </w:p>
    <w:p>
      <w:pPr>
        <w:spacing w:after="120" w:line="240" w:lineRule="auto"/>
        <w:jc w:val="both"/>
      </w:pPr>
      <w:r>
        <w:rPr>
          <w:rFonts w:ascii="Times New Roman" w:hAnsi="Times New Roman"/>
          <w:sz w:val="24"/>
        </w:rPr>
        <w:t>Barney &amp; Clark (2007) aprofundaram a análise dos recursos intangíveis, destacando que o capital humano organizacional representa categoria particularmente importante de recursos estratégicos. Os autores argumentam que o conhecimento tácito acumulado pelos funcionários, as capacidades organizacionais desenvolvidas ao longo do tempo e a cultura empresarial constituem recursos de difícil imitação que não podem ser facilmente adquiridos no mercado. Mais especificamente no âmbito dos recursos VRIN, as competências essenciais do capital humano que escapam à substituição atual pela IA englobam a resolução de problemas não-estruturados, a inteligência socioemocional, a empatia profunda em relacionamentos de negócios complexos e a criatividade ética e adaptativa. Diferentemente de recursos tangíveis como equipamentos e instalações, que podem ser comprados por qualquer empresa com recursos financeiros suficientes, os recursos intangíveis baseados em capital humano requerem desenvolvimento ao longo do tempo e são parcialmente tácitos, impossibilitando sua transferência através de contratos ou compras diretas.</w:t>
      </w:r>
    </w:p>
    <w:p>
      <w:pPr>
        <w:spacing w:after="120"/>
      </w:pPr>
      <w:r>
        <w:t>Complementando a análise de recursos, a teoria do capital humano fornece argumentos sobre a importância da requalificação.</w:t>
      </w:r>
    </w:p>
    <w:p>
      <w:pPr>
        <w:spacing w:after="120" w:line="240" w:lineRule="auto"/>
        <w:jc w:val="both"/>
      </w:pPr>
      <w:r>
        <w:rPr>
          <w:rFonts w:ascii="Times New Roman" w:hAnsi="Times New Roman"/>
          <w:sz w:val="24"/>
        </w:rPr>
        <w:t>A teoria do capital humano, desenvolvida por Becker (1964), oferece perspectiva complementar ao destacar que o valor dos trabalhadores deriva de suas competências acumuladas. Becker demonstrou que investimentos em educação e treinamento aumentam a produtividade dos trabalhadores e, consequentemente, seus salários. Essa teoria indica que a tecnologia não torna os trabalhadores obsoletos, mas transforma as habilidades demandadas pelo mercado de trabalho. Trabalhadores que investem continuamente em atualização de competências podem adaptar-se às transformações tecnológicas, enquanto aqueles que não investem em capital humano enfrentam risco elevado de deslocamento. Nesse contexto, a decisão de não investir em requalificação e, em vez disso, optar por demissões pode indicar perspectiva de curto prazo que ignora o potencial de desenvolvimento do capital humano existente.</w:t>
      </w:r>
    </w:p>
    <w:p>
      <w:pPr>
        <w:spacing w:after="120"/>
      </w:pPr>
      <w:r>
        <w:t>Em consonância com essas discussões empíricas, estudos recentes oferecem evidências relevantes para o presente caso.</w:t>
      </w:r>
    </w:p>
    <w:p>
      <w:pPr>
        <w:spacing w:after="120" w:line="240" w:lineRule="auto"/>
        <w:jc w:val="both"/>
      </w:pPr>
      <w:r>
        <w:rPr>
          <w:rFonts w:ascii="Times New Roman" w:hAnsi="Times New Roman"/>
          <w:sz w:val="24"/>
        </w:rPr>
        <w:t>A literatura empírica contemporânea tem investigado sistematicamente os impactos reais da inteligência artificial sobre o mercado de trabalho. Estudos recentes têm demonstrado que a relação entre IA e emprego é mais nuançada do que a narrativa simplificada de substituição direta. Felten et al. (2023) conduziram análise detalhada da exposição de diferentes ocupações à IA, utilizando métricas baseadas em capacidades cognitivas requeridas por cada função. Os resultados indicaram que ocupações com exposição elevada à IA não necessariamente experimentam redução de emprego, uma vez que a tecnologia pode complementar o trabalho humano em vez de substituí-lo integralmente. Os autores argumentam que a IA tende a automatizar tarefas específicas dentro de ocupações, transformando a natureza do trabalho sem necessariamente eliminar a necessidade de trabalhadores humanos.</w:t>
      </w:r>
    </w:p>
    <w:p w:rsidR="02740533" w:rsidP="46B80AED" w:rsidRDefault="02740533" w14:paraId="6A8DC8C5" w14:textId="49D64E0F">
      <w:pPr>
        <w:pStyle w:val="Heading1"/>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pPr>
        <w:spacing w:after="120" w:line="240" w:lineRule="auto"/>
        <w:jc w:val="both"/>
      </w:pPr>
      <w:r>
        <w:rPr>
          <w:rFonts w:ascii="Times New Roman" w:hAnsi="Times New Roman"/>
          <w:sz w:val="24"/>
        </w:rPr>
        <w:t>Os critérios de seleção das empresas analisadas foram definidos de forma a garantir relevância e comparabilidade dos casos estudados. Os critérios estabelecidos incluíram: empresas de capital aberto listadas em bolsas de valores; que anunciaram demissões de no mínimo 500 funcionários; que citaram explicitamente a IA como fator justificador das demissões em comunicados oficiais ou declarações de executivos. A aplicação desses critérios resultou na seleção de seis empresas: Salesforce, Intuit, Dropbox, Block (Square), Cisco e IBM. O encerramento da amostra neste número fundamentou-se no critério de saturação teórica. Após a análise do sexto caso, os padrões do fenômeno — como o determinismo tecnológico, a lucratividade simultânea às demissões e o histórico de sobrecontratação — tornaram-se repetitivos e consistentes, indicando que a inclusão de novas empresas não geraria categorias discursivas substancialmente novas. A justificativa para cada critério fundamenta-se na necessidade de analisar empresas com volume significativo de demissões e com evidências documentais claras de atribuição à IA.</w:t>
      </w:r>
    </w:p>
    <w:p>
      <w:pPr>
        <w:spacing w:after="120" w:line="240" w:lineRule="auto"/>
        <w:jc w:val="both"/>
      </w:pPr>
      <w:r>
        <w:rPr>
          <w:rFonts w:ascii="Times New Roman" w:hAnsi="Times New Roman"/>
          <w:sz w:val="24"/>
        </w:rPr>
        <w:t>Os dados foram coletados a partir de múltiplas fontes, classificadas em primárias e secundárias conforme os critérios estabelecidos por Gil (2019). As fontes primárias consistem em transcrições oficiais de earnings calls, disponíveis em plataformas especializadas como Seeking Alpha, The Motley Fool e nos próprios websites de relações com investidores das empresas analisadas. Para suportar os resultados, os dados quantitativos, financeiros e de quadro funcional (apresentados nas Tabelas das seções subsequentes) tiveram como fontes explícitas os relatórios oficiais arquivados na Securities and Exchange Commission (SEC) — formulários 10-K e 10-Q —, além de dados extraídos da plataforma Bloomberg Terminal e Macrotrends. Essas transcrições representam o registro direto das comunicações de CEOs ao mercado financeiro, constituindo documentos que refletem as mensagens oficiais das organizações. As fontes secundárias compreendem reportagens em veículos especializados como Bloomberg, Reuters, TechCrunch, The Verge, Business Insider, Folha de S.Paulo e Valor Econômico, as quais complementam as informações primárias com contextualização e análise.</w:t>
      </w:r>
    </w:p>
    <w:p w:rsidR="02740533" w:rsidP="46B80AED" w:rsidRDefault="02740533" w14:paraId="64A2A775" w14:textId="776439EE">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pPr>
        <w:spacing w:after="120" w:line="240" w:lineRule="auto"/>
        <w:jc w:val="both"/>
      </w:pPr>
      <w:r>
        <w:rPr>
          <w:rFonts w:ascii="Times New Roman" w:hAnsi="Times New Roman"/>
          <w:sz w:val="24"/>
        </w:rPr>
        <w:t>O estudo adota uma abordagem de análise crítica do discurso corporativo, buscando ir além da superfície literal das declarações de executivos para identificar estruturas de poder, interesses e estratégias comunicativas. Epistemologicamente, o presente estudo alinha-se a uma perspectiva interpretativo-crítica. É interpretativa por focar nos significados construídos pelos atores organizacionais, e crítica por buscar desvelar as estruturas de poder, as assimetrias e as motivações ocultas por trás das narrativas dominantes. Com base nessa premissa metodológica, o estudo adota uma abordagem de análise crítica do discurso corporativo, buscando ir além da superfície literal das declarações de executivos para identificar estruturas de poder, interesses e estratégias comunicativas. Essa abordagem fundamenta-se em Fairclough (2003), o qual propõe que a análise crítica do discurso examina como práticas discursivas funcionam como instrumentos de poder e ideologia. No contexto desta pesquisa, o discurso corporativo sobre demissões é compreendido não apenas como descrição de fatos, mas como construção social que serve a interesses específicos dos tomadores de decisão.</w:t>
      </w:r>
    </w:p>
    <w:p>
      <w:pPr>
        <w:spacing w:after="120" w:line="240" w:lineRule="auto"/>
        <w:jc w:val="both"/>
      </w:pPr>
      <w:r>
        <w:rPr>
          <w:rFonts w:ascii="Times New Roman" w:hAnsi="Times New Roman"/>
          <w:sz w:val="24"/>
        </w:rPr>
        <w:t>As categorias de análise criadas para este estudo incluem seis dimensões principais. A primeira categoria, natureza da justificativa, distingue situações nas quais a IA é apresentada como causa direta das demissões daquelas em que figura como fator contributivo entre outros. A segunda categoria, presença de dados operacionais concretos, verifica se as declarações incluem evidências quantitativas que sustentem a alegação de produtividade aumentada por IA. A terceira categoria, contexto financeiro da empresa no momento do anúncio, examina indicadores de lucratividade, receita e margens para verificar se havia justificativa econômica para demissões. A quarta categoria, existência de sobrecontratação prévia, investiga se as empresas contrataram intensivamente durante o período pandêmico, sugerindo correção de erro de gestão anterior. A quinta categoria, investimentos simultâneos em IA, verifica se as empresas aumentaram investimentos em tecnologia durante o período de demissões. A sexta categoria, linguagem utilizada, classifica o discurso segundo o espectro que vai do determinismo tecnológico à decisão estratégica.</w:t>
      </w:r>
    </w:p>
    <w:p w:rsidR="185DE5E9" w:rsidP="46B80AED" w:rsidRDefault="185DE5E9" w14:paraId="7CE61C5C" w14:textId="016EF1D1">
      <w:pPr>
        <w:pStyle w:val="Heading1"/>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rsidRPr="46B80AED" w:rsidR="7645FF3E">
        <w:rPr>
          <w:rFonts w:ascii="Times New Roman" w:hAnsi="Times New Roman"/>
          <w:sz w:val="24"/>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pPr>
        <w:spacing w:after="120" w:line="240" w:lineRule="auto"/>
        <w:jc w:val="both"/>
      </w:pPr>
      <w:r>
        <w:rPr>
          <w:rFonts w:ascii="Times New Roman" w:hAnsi="Times New Roman"/>
          <w:sz w:val="24"/>
        </w:rPr>
        <w:t>No contexto das demissões justificadas pela IA, a Teoria da Agência sugere que os executivos podem ter incentivos para atribuir a responsabilidade das demissões à tecnologia por múltiplas razões. Primeiramente, a narrativa tecnológica protege a imagem do executivo ao localizar a causa em forças externas e inevitáveis, como a evolução tecnológica, reduzindo a percepção de responsabilidade pessoal pelas decisões de redução de quadro funcional. Em segundo lugar, a atribuição à IA justifica as demissões como parte de uma estratégia de modernização, alinhando o discurso corporativo com as expectativas do mercado sobre transformação digital. Em terceiro lugar, a narrativa de automação pode obscurecer o fato de que as demissões foram motivadas por erros de gestão, como a sobrecontratação durante períodos de expansão.</w:t>
      </w:r>
    </w:p>
    <w:p>
      <w:pPr>
        <w:spacing w:after="120" w:line="240" w:lineRule="auto"/>
        <w:jc w:val="both"/>
      </w:pPr>
      <w:r>
        <w:rPr>
          <w:rFonts w:ascii="Times New Roman" w:hAnsi="Times New Roman"/>
          <w:sz w:val="24"/>
        </w:rPr>
        <w:t>Kaplan &amp; Minton (2012) investigaram a relação entre desempenho financeiro e rotatividade de CEOs, demonstrando que a pressão por resultados cria incentivos para que gestores adotem medidas dramáticas de redução de custos. Os autores encontraram que a rotatividade de CEOs aumenta significativamente após períodos de baixo desempenho financeiro, criando um ciclo no qual gestores recém-nomeados enfrentam pressão intensa para demonstrar resultados no curto prazo. Demissões em massa representam uma das estratégias mais visíveis para demonstrar comprometimento com eficiência de custos, independentemente de estarem ou não relacionadas a ganhos reais de produtividade. Nesse contexto, a narrativa de IA serve como justificativa socialmente aceita para decisões que, em última análise, são motivadas por pressões de curto prazo sobre o desempenho financeiro.</w:t>
      </w:r>
    </w:p>
    <w:p w:rsidR="185DE5E9" w:rsidP="46B80AED" w:rsidRDefault="185DE5E9" w14:paraId="06ACF03A" w14:textId="1498465F">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pPr>
        <w:spacing w:after="120" w:line="240" w:lineRule="auto"/>
        <w:jc w:val="both"/>
      </w:pPr>
      <w:r>
        <w:rPr>
          <w:rFonts w:ascii="Times New Roman" w:hAnsi="Times New Roman"/>
          <w:sz w:val="24"/>
        </w:rPr>
        <w:t>Jensen (1986) aprofundou a análise dos custos de agência através do conceito de free cash flow. O autor define free cash flow como a diferença entre os recursos disponíveis para investimento e os recursos necessários para financiar todos os projetos com valor presente líquido positivo. Em empresas com elevado free cash flow, os gestores possuem incentivos para utilizar esses recursos de formas que maximizem seu próprio welfare, incluindo investimentos em projetos de baixa rentabilidade ou aquisições que aumentem o tamanho da empresa sem necessariamente gerar valor para os acionistas. A distribuição de dividendos ou a recompra de ações constituem mecanismos que reduzem o free cash flow disponível para uso discricionário pelos gestores, alinhando os interesses de executivos e acionistas.</w:t>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w:pPr>
        <w:spacing w:after="120" w:before="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093720"/>
                    </a:xfrm>
                    <a:prstGeom prst="rect"/>
                  </pic:spPr>
                </pic:pic>
              </a:graphicData>
            </a:graphic>
          </wp:inline>
        </w:drawing>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pPr>
        <w:spacing w:after="120" w:before="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Heading1"/>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pPr>
        <w:spacing w:after="120" w:line="240" w:lineRule="auto"/>
        <w:jc w:val="both"/>
      </w:pPr>
      <w:r>
        <w:rPr>
          <w:rFonts w:ascii="Times New Roman" w:hAnsi="Times New Roman"/>
          <w:sz w:val="24"/>
        </w:rPr>
        <w:t>Em última análise, a compreensão das motivações reais por trás das demissões atribuídas à IA constitui etapa necessária para que a sociedade, os reguladores e os próprios trabalhadores possam distinguir entre transformação tecnológica genuína e narrativa corporativa instrumentalizada. Os achados deste estudo demonstram que a narrativa de IA, quando utilizada como justificativa exclusiva para demissões, frequentemente obscurece fatores como correção de sobrecontratação pandêmica e pressões por eficiência de curto prazo. Nesse sentido, o avanço dessa agenda de pesquisa revela-se não apenas pertinente do ponto de vista acadêmico, mas socialmente necessário em um contexto de crescente assimetria informacional entre organizações e seus stakeholders. A identificação do fenômeno de AI Scapegoating representa passo inicial para o desenvolvimento de mecanismos de transparência que permitam avaliação crítica das alegações corporativas sobre tecnologia e trabalho.</w:t>
      </w:r>
    </w:p>
    <w:p w:rsidR="185DE5E9" w:rsidP="46B80AED" w:rsidRDefault="185DE5E9" w14:paraId="18D2FD50" w14:textId="339B97C7">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pPr>
        <w:spacing w:after="120" w:line="240" w:lineRule="auto"/>
        <w:jc w:val="both"/>
      </w:pPr>
      <w:r>
        <w:rPr>
          <w:rFonts w:ascii="Times New Roman" w:hAnsi="Times New Roman"/>
          <w:sz w:val="24"/>
        </w:rPr>
        <w:t>A aplicação das teorias em contextos de transformação tecnológica acelerada apresenta limitações inerentes. A Visão Baseada em Recursos (RBV) pode sofrer desgaste frente à volatilidade do que é considerado "raro" e "inimitável", uma vez que hard-skills (competências técnicas específicas) envelhecem em ciclos curtíssimos no contexto de IA. O Paradoxo de Solow lida com novos desafios de latência, onde o período clássico de maturação das inovações se comprime significativamente devido à velocidade de adoção de IA generativa. Por fim, a Teoria da Agência deve ser repensada em cenários futuros onde não só os colaboradores, mas as próprias métricas dos executivos poderão ser monitoradas e enviesadas por agentes de IA, reconfigurando os tradicionais custos e conflitos de agência. A convergência dos três frameworks teóricos oferece interpretação consistente dos achados, mas a limitação inerente de que nenhum dos frameworks foi desenvolvido especificamente para analisar o fenômeno do AI Scapegoating deve ser reconhecida. Estudos futuros poderiam desenvolver frameworks teóricos específicos que integrem as perspectivas aqui utilizadas com análise de comunicação estratégica em contextos de transformação tecnológica acelerada.</w:t>
      </w:r>
    </w:p>
    <w:p w:rsidR="185DE5E9" w:rsidP="46B80AED" w:rsidRDefault="185DE5E9" w14:paraId="02DD98F6" w14:textId="4B373ACC">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