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p>
      <w:pPr>
        <w:ind w:left="720" w:hanging="720"/>
      </w:pPr>
      <w:r/>
    </w:p>
    <w:p>
      <w:pPr>
        <w:ind w:left="720" w:hanging="720"/>
      </w:pPr>
      <w:r/>
    </w:p>
    <w:p>
      <w:pPr>
        <w:ind w:left="720" w:hanging="720"/>
      </w:pPr>
      <w:r/>
    </w:p>
    <w:p>
      <w:pPr>
        <w:ind w:left="720" w:hanging="720"/>
      </w:pPr>
      <w:r/>
    </w:p>
    <w:p>
      <w:pPr>
        <w:spacing w:after="120" w:line="240" w:lineRule="auto"/>
        <w:ind w:left="720" w:hanging="720"/>
        <w:jc w:val="both"/>
      </w:pPr>
      <w:r>
        <w:rPr>
          <w:rFonts w:ascii="Times New Roman" w:hAnsi="Times New Roman"/>
          <w:sz w:val="24"/>
        </w:rPr>
        <w:t>Bloomberg (2024). [VERIFICAR: entrada obtida automaticamente e possivelmente incorreta — substituir por referência correta].</w:t>
      </w:r>
    </w:p>
    <w:p>
      <w:pPr>
        <w:spacing w:after="120" w:line="240" w:lineRule="auto"/>
        <w:ind w:left="720" w:hanging="720"/>
        <w:jc w:val="both"/>
      </w:pPr>
      <w:r>
        <w:rPr>
          <w:rFonts w:ascii="Times New Roman" w:hAnsi="Times New Roman"/>
          <w:sz w:val="24"/>
        </w:rPr>
        <w:t>Clark (2007). [VERIFICAR: entrada obtida automaticamente e possivelmente incorreta — substituir por referência correta].</w:t>
      </w:r>
    </w:p>
    <w:p>
      <w:pPr>
        <w:spacing w:after="120" w:line="240" w:lineRule="auto"/>
        <w:ind w:left="720" w:hanging="720"/>
        <w:jc w:val="both"/>
      </w:pPr>
      <w:r>
        <w:rPr>
          <w:rFonts w:ascii="Times New Roman" w:hAnsi="Times New Roman"/>
          <w:sz w:val="24"/>
        </w:rPr>
        <w:t>Minton (2012). [VERIFICAR: entrada obtida automaticamente e possivelmente incorreta — substituir por referência correta].</w:t>
      </w:r>
    </w:p>
    <w:p>
      <w:pPr>
        <w:spacing w:after="120" w:line="240" w:lineRule="auto"/>
        <w:ind w:left="720" w:hanging="720"/>
        <w:jc w:val="both"/>
      </w:pPr>
      <w:r>
        <w:rPr>
          <w:rFonts w:ascii="Times New Roman" w:hAnsi="Times New Roman"/>
          <w:sz w:val="24"/>
        </w:rPr>
        <w:t>Osborne (2017). [VERIFICAR: entrada obtida automaticamente e possivelmente incorreta — substituir por referência correta].</w:t>
      </w:r>
    </w:p>
    <w:p>
      <w:pPr>
        <w:spacing w:after="120" w:line="240" w:lineRule="auto"/>
        <w:ind w:left="720" w:hanging="720"/>
        <w:jc w:val="both"/>
      </w:pPr>
      <w:r>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pPr>
        <w:spacing w:after="120" w:line="240" w:lineRule="auto"/>
        <w:ind w:left="720" w:hanging="720"/>
        <w:jc w:val="both"/>
      </w:pPr>
      <w:r>
        <w:rPr>
          <w:rFonts w:ascii="Times New Roman" w:hAnsi="Times New Roman"/>
          <w:sz w:val="24"/>
        </w:rP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spacing w:after="120" w:line="240" w:lineRule="auto"/>
        <w:ind w:left="720" w:hanging="720"/>
        <w:jc w:val="both"/>
      </w:pPr>
      <w:r>
        <w:rPr>
          <w:rFonts w:ascii="Times New Roman" w:hAnsi="Times New Roman"/>
          <w:sz w:val="24"/>
        </w:rP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spacing w:after="120" w:line="240" w:lineRule="auto"/>
        <w:ind w:left="720" w:hanging="720"/>
        <w:jc w:val="both"/>
      </w:pPr>
      <w:r>
        <w:rPr>
          <w:rFonts w:ascii="Times New Roman" w:hAnsi="Times New Roman"/>
          <w:sz w:val="24"/>
        </w:rP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spacing w:after="120" w:line="240" w:lineRule="auto"/>
        <w:ind w:left="720" w:hanging="720"/>
        <w:jc w:val="both"/>
      </w:pPr>
      <w:r>
        <w:rPr>
          <w:rFonts w:ascii="Times New Roman" w:hAnsi="Times New Roman"/>
          <w:sz w:val="24"/>
        </w:rP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pPr>
        <w:spacing w:after="120" w:line="240" w:lineRule="auto"/>
        <w:ind w:left="720" w:hanging="720"/>
        <w:jc w:val="both"/>
      </w:pPr>
      <w:r>
        <w:rPr>
          <w:rFonts w:ascii="Times New Roman" w:hAnsi="Times New Roman"/>
          <w:sz w:val="24"/>
        </w:rP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spacing w:after="120" w:line="240" w:lineRule="auto"/>
        <w:ind w:left="720" w:hanging="720"/>
        <w:jc w:val="both"/>
      </w:pPr>
      <w:r>
        <w:rPr>
          <w:rFonts w:ascii="Times New Roman" w:hAnsi="Times New Roman"/>
          <w:sz w:val="24"/>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pPr>
        <w:spacing w:after="120" w:line="240" w:lineRule="auto"/>
        <w:ind w:left="720" w:hanging="720"/>
        <w:jc w:val="both"/>
      </w:pPr>
      <w:r>
        <w:rPr>
          <w:rFonts w:ascii="Times New Roman" w:hAnsi="Times New Roman"/>
          <w:sz w:val="24"/>
        </w:rP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pPr>
        <w:spacing w:after="120" w:line="240" w:lineRule="auto"/>
        <w:ind w:left="720" w:hanging="720"/>
        <w:jc w:val="both"/>
      </w:pPr>
      <w:r>
        <w:rPr>
          <w:rFonts w:ascii="Times New Roman" w:hAnsi="Times New Roman"/>
          <w:sz w:val="24"/>
        </w:rP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pPr>
        <w:spacing w:after="120" w:line="240" w:lineRule="auto"/>
        <w:ind w:left="720" w:hanging="720"/>
        <w:jc w:val="both"/>
      </w:pPr>
      <w:r>
        <w:rPr>
          <w:rFonts w:ascii="Times New Roman" w:hAnsi="Times New Roman"/>
          <w:sz w:val="24"/>
        </w:rPr>
        <w:t>Abel, J. R., Dey, I., &amp; Gabe, T. M. (2022). The modern Solow paradox: In search for explanations. Economics of Innovation and New Technology, 31(1-2), 1–17. https://doi.org/10.1080/10438599.2021.1961626</w:t>
      </w:r>
    </w:p>
    <w:p>
      <w:pPr>
        <w:spacing w:after="120" w:line="240" w:lineRule="auto"/>
        <w:ind w:left="720" w:hanging="720"/>
        <w:jc w:val="both"/>
      </w:pPr>
      <w:r>
        <w:rPr>
          <w:rFonts w:ascii="Times New Roman" w:hAnsi="Times New Roman"/>
          <w:sz w:val="24"/>
        </w:rPr>
        <w:t>Autor, D. H. (2015). Why are there still so many jobs? The history and future of workplace automation. Journal of Economic Perspectives, 29(3), 3–30. https://doi.org/10.1257/jep.29.3.3</w:t>
      </w:r>
    </w:p>
    <w:p>
      <w:pPr>
        <w:spacing w:after="120" w:line="240" w:lineRule="auto"/>
        <w:ind w:left="720" w:hanging="720"/>
        <w:jc w:val="both"/>
      </w:pPr>
      <w:r>
        <w:rPr>
          <w:rFonts w:ascii="Times New Roman" w:hAnsi="Times New Roman"/>
          <w:sz w:val="24"/>
        </w:rPr>
        <w:t>Autor, D. H., Levy, F., &amp; Murnane, R. J. (2003). The skill content of recent technological change: An empirical exploration. Quarterly Journal of Economics, 118(4), 1279–1333. https://doi.org/10.1162/003355303322552801</w:t>
      </w:r>
    </w:p>
    <w:p>
      <w:pPr>
        <w:spacing w:after="120" w:line="240" w:lineRule="auto"/>
        <w:ind w:left="720" w:hanging="720"/>
        <w:jc w:val="both"/>
      </w:pPr>
      <w:r>
        <w:rPr>
          <w:rFonts w:ascii="Times New Roman" w:hAnsi="Times New Roman"/>
          <w:sz w:val="24"/>
        </w:rPr>
        <w:t>Bardin, L. (2016). Análise de conteúdo. Edições 70.</w:t>
      </w:r>
    </w:p>
    <w:p>
      <w:pPr>
        <w:spacing w:after="120" w:line="240" w:lineRule="auto"/>
        <w:ind w:left="720" w:hanging="720"/>
        <w:jc w:val="both"/>
      </w:pPr>
      <w:r>
        <w:rPr>
          <w:rFonts w:ascii="Times New Roman" w:hAnsi="Times New Roman"/>
          <w:sz w:val="24"/>
        </w:rPr>
        <w:t>Barney, J. B. (1991). Firm resources and sustained competitive advantage. Journal of Management, 17(1), 99–120. https://doi.org/10.1177/014920639101700108</w:t>
      </w:r>
    </w:p>
    <w:p>
      <w:pPr>
        <w:spacing w:after="120" w:line="240" w:lineRule="auto"/>
        <w:ind w:left="720" w:hanging="720"/>
        <w:jc w:val="both"/>
      </w:pPr>
      <w:r>
        <w:rPr>
          <w:rFonts w:ascii="Times New Roman" w:hAnsi="Times New Roman"/>
          <w:sz w:val="24"/>
        </w:rPr>
        <w:t>Barney, J. B., &amp; Clark, D. N. (2007). Resource-based theory: Creating and sustaining competitive advantage. Oxford University Press.</w:t>
      </w:r>
    </w:p>
    <w:p>
      <w:pPr>
        <w:spacing w:after="120" w:line="240" w:lineRule="auto"/>
        <w:ind w:left="720" w:hanging="720"/>
        <w:jc w:val="both"/>
      </w:pPr>
      <w:r>
        <w:rPr>
          <w:rFonts w:ascii="Times New Roman" w:hAnsi="Times New Roman"/>
          <w:sz w:val="24"/>
        </w:rPr>
        <w:t>Becker, G. S. (1964). Human capital: A theoretical and empirical analysis, with special reference to education. University of Chicago Press.</w:t>
      </w:r>
    </w:p>
    <w:p>
      <w:pPr>
        <w:spacing w:after="120" w:line="240" w:lineRule="auto"/>
        <w:ind w:left="720" w:hanging="720"/>
        <w:jc w:val="both"/>
      </w:pPr>
      <w:r>
        <w:rPr>
          <w:rFonts w:ascii="Times New Roman" w:hAnsi="Times New Roman"/>
          <w:sz w:val="24"/>
        </w:rPr>
        <w:t>Brynjolfsson, E. (1993). The productivity paradox of information technology. Communications of the ACM, 36(12), 66–77. https://doi.org/10.1145/163298.163309</w:t>
      </w:r>
    </w:p>
    <w:p>
      <w:pPr>
        <w:spacing w:after="120" w:line="240" w:lineRule="auto"/>
        <w:ind w:left="720" w:hanging="720"/>
        <w:jc w:val="both"/>
      </w:pPr>
      <w:r>
        <w:rPr>
          <w:rFonts w:ascii="Times New Roman" w:hAnsi="Times New Roman"/>
          <w:sz w:val="24"/>
        </w:rPr>
        <w:t>Brynjolfsson, E., &amp; McAfee, A. (2014). The second machine age: Work, progress, and prosperity in a time of brilliant technologies. W. W. Norton &amp; Company.</w:t>
      </w:r>
    </w:p>
    <w:p>
      <w:pPr>
        <w:spacing w:after="120" w:line="240" w:lineRule="auto"/>
        <w:ind w:left="720" w:hanging="720"/>
        <w:jc w:val="both"/>
      </w:pPr>
      <w:r>
        <w:rPr>
          <w:rFonts w:ascii="Times New Roman" w:hAnsi="Times New Roman"/>
          <w:sz w:val="24"/>
        </w:rPr>
        <w:t>Bäck, A., Hajikhani, A., Jäger, A., Schubert, T., &amp; Suominen, A. (2025). Return of the Solow-paradox in AI?: AI-adoption and firm productivity [Preprint]. Research Square. https://doi.org/10.21203/rs.3.rs-7434983/v1</w:t>
      </w:r>
    </w:p>
    <w:p>
      <w:pPr>
        <w:spacing w:after="120" w:line="240" w:lineRule="auto"/>
        <w:ind w:left="720" w:hanging="720"/>
        <w:jc w:val="both"/>
      </w:pPr>
      <w:r>
        <w:rPr>
          <w:rFonts w:ascii="Times New Roman" w:hAnsi="Times New Roman"/>
          <w:sz w:val="24"/>
        </w:rPr>
        <w:t>Creswell, J. W., &amp; Creswell, J. D. (2018). Research design: Qualitative, quantitative, and mixed methods approaches (5ª ed.). Sage.</w:t>
      </w:r>
    </w:p>
    <w:p>
      <w:pPr>
        <w:spacing w:after="120" w:line="240" w:lineRule="auto"/>
        <w:ind w:left="720" w:hanging="720"/>
        <w:jc w:val="both"/>
      </w:pPr>
      <w:r>
        <w:rPr>
          <w:rFonts w:ascii="Times New Roman" w:hAnsi="Times New Roman"/>
          <w:sz w:val="24"/>
        </w:rPr>
        <w:t>Fairclough, N. (2003). Analysing discourse: Textual analysis for social research. Routledge.</w:t>
      </w:r>
    </w:p>
    <w:p>
      <w:pPr>
        <w:spacing w:after="120" w:line="240" w:lineRule="auto"/>
        <w:ind w:left="720" w:hanging="720"/>
        <w:jc w:val="both"/>
      </w:pPr>
      <w:r>
        <w:rPr>
          <w:rFonts w:ascii="Times New Roman" w:hAnsi="Times New Roman"/>
          <w:sz w:val="24"/>
        </w:rPr>
        <w:t>Felten, E. W., Raj, M., &amp; Seamans, R. (2023). How will language modelers like ChatGPT affect occupations and industries? [Preprint]. arXiv. https://doi.org/10.48550/arXiv.2303.01157</w:t>
      </w:r>
    </w:p>
    <w:p>
      <w:pPr>
        <w:spacing w:after="120" w:line="240" w:lineRule="auto"/>
        <w:ind w:left="720" w:hanging="720"/>
        <w:jc w:val="both"/>
      </w:pPr>
      <w:r>
        <w:rPr>
          <w:rFonts w:ascii="Times New Roman" w:hAnsi="Times New Roman"/>
          <w:sz w:val="24"/>
        </w:rPr>
        <w:t>Frey, C. B., &amp; Osborne, M. A. (2017). The future of employment: How susceptible are jobs to computerisation? Technological Forecasting and Social Change, 114, 254–280. https://doi.org/10.1016/j.techfore.2016.08.019</w:t>
      </w:r>
    </w:p>
    <w:p>
      <w:pPr>
        <w:spacing w:after="120" w:line="240" w:lineRule="auto"/>
        <w:ind w:left="720" w:hanging="720"/>
        <w:jc w:val="both"/>
      </w:pPr>
      <w:r>
        <w:rPr>
          <w:rFonts w:ascii="Times New Roman" w:hAnsi="Times New Roman"/>
          <w:sz w:val="24"/>
        </w:rPr>
        <w:t>Gil, A. C. (2019). Métodos e técnicas de pesquisa social (7ª ed.). Atlas.</w:t>
      </w:r>
    </w:p>
    <w:p>
      <w:pPr>
        <w:spacing w:after="120" w:line="240" w:lineRule="auto"/>
        <w:ind w:left="720" w:hanging="720"/>
        <w:jc w:val="both"/>
      </w:pPr>
      <w:r>
        <w:rPr>
          <w:rFonts w:ascii="Times New Roman" w:hAnsi="Times New Roman"/>
          <w:sz w:val="24"/>
        </w:rPr>
        <w:t>Jensen, M. C. (1986). Agency costs of free cash flow, corporate finance and corporate governance. American Economic Review, 76(2), 323–329.</w:t>
      </w:r>
    </w:p>
    <w:p>
      <w:pPr>
        <w:spacing w:after="120" w:line="240" w:lineRule="auto"/>
        <w:ind w:left="720" w:hanging="720"/>
        <w:jc w:val="both"/>
      </w:pPr>
      <w:r>
        <w:rPr>
          <w:rFonts w:ascii="Times New Roman" w:hAnsi="Times New Roman"/>
          <w:sz w:val="24"/>
        </w:rPr>
        <w:t>Jensen, M. C., &amp; Meckling, W. H. (1976). Theory of the firm: Managerial behavior, agency costs and ownership structure. Journal of Financial Economics, 3(4), 305–360. https://doi.org/10.1016/0304-405X(76)90026-0</w:t>
      </w:r>
    </w:p>
    <w:p>
      <w:pPr>
        <w:spacing w:after="120" w:line="240" w:lineRule="auto"/>
        <w:ind w:left="720" w:hanging="720"/>
        <w:jc w:val="both"/>
      </w:pPr>
      <w:r>
        <w:rPr>
          <w:rFonts w:ascii="Times New Roman" w:hAnsi="Times New Roman"/>
          <w:sz w:val="24"/>
        </w:rPr>
        <w:t>Kaplan, S. N., &amp; Minton, B. A. (2012). How has CEO turnover changed? Journal of Applied Corporate Finance, 24(4), 72–85. https://doi.org/10.1111/jacf.12015</w:t>
      </w:r>
    </w:p>
    <w:p>
      <w:pPr>
        <w:spacing w:after="120" w:line="240" w:lineRule="auto"/>
        <w:ind w:left="720" w:hanging="720"/>
        <w:jc w:val="both"/>
      </w:pPr>
      <w:r>
        <w:rPr>
          <w:rFonts w:ascii="Times New Roman" w:hAnsi="Times New Roman"/>
          <w:sz w:val="24"/>
        </w:rPr>
        <w:t>Kenney, M., &amp; Zysman, J. (2016). The rise of the platform economy. Issues in Science and Technology, 32(3), 61–69.</w:t>
      </w:r>
    </w:p>
    <w:p>
      <w:pPr>
        <w:spacing w:after="120" w:line="240" w:lineRule="auto"/>
        <w:ind w:left="720" w:hanging="720"/>
        <w:jc w:val="both"/>
      </w:pPr>
      <w:r>
        <w:rPr>
          <w:rFonts w:ascii="Times New Roman" w:hAnsi="Times New Roman"/>
          <w:sz w:val="24"/>
        </w:rPr>
        <w:t>Penrose, E. T. (1959). The theory of the growth of the firm. Oxford University Press.</w:t>
      </w:r>
    </w:p>
    <w:p>
      <w:pPr>
        <w:spacing w:after="120" w:line="240" w:lineRule="auto"/>
        <w:ind w:left="720" w:hanging="720"/>
        <w:jc w:val="both"/>
      </w:pPr>
      <w:r>
        <w:rPr>
          <w:rFonts w:ascii="Times New Roman" w:hAnsi="Times New Roman"/>
          <w:sz w:val="24"/>
        </w:rPr>
        <w:t>Schumpeter, J. A. (1942). Capitalism, socialism and democracy. Harper &amp; Brothers.</w:t>
      </w:r>
    </w:p>
    <w:p>
      <w:pPr>
        <w:spacing w:after="120" w:line="240" w:lineRule="auto"/>
        <w:ind w:left="720" w:hanging="720"/>
        <w:jc w:val="both"/>
      </w:pPr>
      <w:r>
        <w:rPr>
          <w:rFonts w:ascii="Times New Roman" w:hAnsi="Times New Roman"/>
          <w:sz w:val="24"/>
        </w:rPr>
        <w:t>Solow, R. M. (1987). We'd better watch out. New York Times Book Review, 36.</w:t>
      </w:r>
    </w:p>
    <w:p>
      <w:pPr>
        <w:spacing w:after="120" w:line="240" w:lineRule="auto"/>
        <w:ind w:left="720" w:hanging="720"/>
        <w:jc w:val="both"/>
      </w:pPr>
      <w:r>
        <w:rPr>
          <w:rFonts w:ascii="Times New Roman" w:hAnsi="Times New Roman"/>
          <w:sz w:val="24"/>
        </w:rPr>
        <w:t>Vergara, S. C. (2016). Projetos e relatórios de pesquisa em administração (16ª ed.). Atlas.</w:t>
      </w:r>
    </w:p>
    <w:p>
      <w:pPr>
        <w:spacing w:after="120" w:line="240" w:lineRule="auto"/>
        <w:ind w:left="720" w:hanging="720"/>
        <w:jc w:val="both"/>
      </w:pPr>
      <w:r>
        <w:rPr>
          <w:rFonts w:ascii="Times New Roman" w:hAnsi="Times New Roman"/>
          <w:sz w:val="24"/>
        </w:rPr>
        <w:t>Yin, R. K. (2018). Case study research and applications: Design and methods (6ª ed.). Sage.</w:t>
      </w:r>
    </w:p>
    <w:p>
      <w:pPr>
        <w:spacing w:after="120" w:line="240" w:lineRule="auto"/>
        <w:ind w:left="720" w:hanging="720"/>
        <w:jc w:val="both"/>
      </w:pPr>
      <w:r>
        <w:rPr>
          <w:rFonts w:ascii="Times New Roman" w:hAnsi="Times New Roman"/>
          <w:sz w:val="24"/>
        </w:rPr>
        <w:t>Abel et al. (2022). [AUTOMATIC PLACEHOLDER: verificar referência completa e DOI].</w:t>
      </w:r>
    </w:p>
    <w:p>
      <w:pPr>
        <w:spacing w:after="120" w:line="240" w:lineRule="auto"/>
        <w:ind w:left="720" w:hanging="720"/>
        <w:jc w:val="both"/>
      </w:pPr>
      <w:r>
        <w:rPr>
          <w:rFonts w:ascii="Times New Roman" w:hAnsi="Times New Roman"/>
          <w:sz w:val="24"/>
        </w:rPr>
        <w:t>Barney &amp; Clark (2007). [AUTOMATIC PLACEHOLDER: verificar referência completa e DOI].</w:t>
      </w:r>
    </w:p>
    <w:p>
      <w:pPr>
        <w:spacing w:after="120" w:line="240" w:lineRule="auto"/>
        <w:ind w:left="720" w:hanging="720"/>
        <w:jc w:val="both"/>
      </w:pPr>
      <w:r>
        <w:rPr>
          <w:rFonts w:ascii="Times New Roman" w:hAnsi="Times New Roman"/>
          <w:sz w:val="24"/>
        </w:rPr>
        <w:t>Bloomberg (2024). [AUTOMATIC PLACEHOLDER: verificar referência completa e DOI].</w:t>
      </w:r>
    </w:p>
    <w:p>
      <w:pPr>
        <w:spacing w:after="120" w:line="240" w:lineRule="auto"/>
        <w:ind w:left="720" w:hanging="720"/>
        <w:jc w:val="both"/>
      </w:pPr>
      <w:r>
        <w:rPr>
          <w:rFonts w:ascii="Times New Roman" w:hAnsi="Times New Roman"/>
          <w:sz w:val="24"/>
        </w:rPr>
        <w:t>Brynjolfsson &amp; McAfee (2014). [AUTOMATIC PLACEHOLDER: verificar referência completa e DOI].</w:t>
      </w:r>
    </w:p>
    <w:p>
      <w:pPr>
        <w:spacing w:after="120" w:line="240" w:lineRule="auto"/>
        <w:ind w:left="720" w:hanging="720"/>
        <w:jc w:val="both"/>
      </w:pPr>
      <w:r>
        <w:rPr>
          <w:rFonts w:ascii="Times New Roman" w:hAnsi="Times New Roman"/>
          <w:sz w:val="24"/>
        </w:rPr>
        <w:t>Clark (2007). [AUTOMATIC PLACEHOLDER: verificar referência completa e DOI].</w:t>
      </w:r>
    </w:p>
    <w:p>
      <w:pPr>
        <w:spacing w:after="120" w:line="240" w:lineRule="auto"/>
        <w:ind w:left="720" w:hanging="720"/>
        <w:jc w:val="both"/>
      </w:pPr>
      <w:r>
        <w:rPr>
          <w:rFonts w:ascii="Times New Roman" w:hAnsi="Times New Roman"/>
          <w:sz w:val="24"/>
        </w:rPr>
        <w:t>Creswell &amp; Creswell (2018). [AUTOMATIC PLACEHOLDER: verificar referência completa e DOI].</w:t>
      </w:r>
    </w:p>
    <w:p>
      <w:pPr>
        <w:spacing w:after="120" w:line="240" w:lineRule="auto"/>
        <w:ind w:left="720" w:hanging="720"/>
        <w:jc w:val="both"/>
      </w:pPr>
      <w:r>
        <w:rPr>
          <w:rFonts w:ascii="Times New Roman" w:hAnsi="Times New Roman"/>
          <w:sz w:val="24"/>
        </w:rPr>
        <w:t>Felten et al. (2023). [AUTOMATIC PLACEHOLDER: verificar referência completa e DOI].</w:t>
      </w:r>
    </w:p>
    <w:p>
      <w:pPr>
        <w:spacing w:after="120" w:line="240" w:lineRule="auto"/>
        <w:ind w:left="720" w:hanging="720"/>
        <w:jc w:val="both"/>
      </w:pPr>
      <w:r>
        <w:rPr>
          <w:rFonts w:ascii="Times New Roman" w:hAnsi="Times New Roman"/>
          <w:sz w:val="24"/>
        </w:rPr>
        <w:t>Frey &amp; Osborne (2017). [AUTOMATIC PLACEHOLDER: verificar referência completa e DOI].</w:t>
      </w:r>
    </w:p>
    <w:p>
      <w:pPr>
        <w:spacing w:after="120" w:line="240" w:lineRule="auto"/>
        <w:ind w:left="720" w:hanging="720"/>
        <w:jc w:val="both"/>
      </w:pPr>
      <w:r>
        <w:rPr>
          <w:rFonts w:ascii="Times New Roman" w:hAnsi="Times New Roman"/>
          <w:sz w:val="24"/>
        </w:rPr>
        <w:t>Jensen &amp; Meckling (1976). [AUTOMATIC PLACEHOLDER: verificar referência completa e DOI].</w:t>
      </w:r>
    </w:p>
    <w:p>
      <w:pPr>
        <w:spacing w:after="120" w:line="240" w:lineRule="auto"/>
        <w:ind w:left="720" w:hanging="720"/>
        <w:jc w:val="both"/>
      </w:pPr>
      <w:r>
        <w:rPr>
          <w:rFonts w:ascii="Times New Roman" w:hAnsi="Times New Roman"/>
          <w:sz w:val="24"/>
        </w:rPr>
        <w:t>Kaplan &amp; Minton (2012). [AUTOMATIC PLACEHOLDER: verificar referência completa e DOI].</w:t>
      </w:r>
    </w:p>
    <w:p>
      <w:pPr>
        <w:spacing w:after="120" w:line="240" w:lineRule="auto"/>
        <w:ind w:left="720" w:hanging="720"/>
        <w:jc w:val="both"/>
      </w:pPr>
      <w:r>
        <w:rPr>
          <w:rFonts w:ascii="Times New Roman" w:hAnsi="Times New Roman"/>
          <w:sz w:val="24"/>
        </w:rPr>
        <w:t>Kenney &amp; Zysman (2016). [AUTOMATIC PLACEHOLDER: verificar referência completa e DOI].</w:t>
      </w:r>
    </w:p>
    <w:p>
      <w:pPr>
        <w:spacing w:after="120" w:line="240" w:lineRule="auto"/>
        <w:ind w:left="720" w:hanging="720"/>
        <w:jc w:val="both"/>
      </w:pPr>
      <w:r>
        <w:rPr>
          <w:rFonts w:ascii="Times New Roman" w:hAnsi="Times New Roman"/>
          <w:sz w:val="24"/>
        </w:rPr>
        <w:t>Minton (2012). [AUTOMATIC PLACEHOLDER: verificar referência completa e DOI].</w:t>
      </w:r>
    </w:p>
    <w:p>
      <w:pPr>
        <w:spacing w:after="120" w:line="240" w:lineRule="auto"/>
        <w:ind w:left="720" w:hanging="720"/>
        <w:jc w:val="both"/>
      </w:pPr>
      <w:r>
        <w:rPr>
          <w:rFonts w:ascii="Times New Roman" w:hAnsi="Times New Roman"/>
          <w:sz w:val="24"/>
        </w:rPr>
        <w:t>Osborne (2017). [AUTOMATIC PLACEHOLDER: verificar referência completa e DOI].</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Heading1"/>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line="240" w:lineRule="auto"/>
        <w:jc w:val="both"/>
      </w:pPr>
      <w:r>
        <w:rPr>
          <w:rFonts w:ascii="Times New Roman" w:hAnsi="Times New Roman"/>
          <w:sz w:val="24"/>
        </w:rPr>
        <w:t>Para entender melhor essa dinâmica, cabe retomar brevemente os antecedentes históricos das ondas tecnológicas.</w:t>
      </w:r>
    </w:p>
    <w:p>
      <w:pPr>
        <w:spacing w:after="120" w:line="240" w:lineRule="auto"/>
        <w:jc w:val="both"/>
      </w:pPr>
      <w:r/>
    </w:p>
    <w:p>
      <w:pPr>
        <w:spacing w:after="120" w:line="240" w:lineRule="auto"/>
        <w:jc w:val="both"/>
      </w:pPr>
      <w:r>
        <w:rPr>
          <w:rFonts w:ascii="Times New Roman" w:hAnsi="Times New Roman"/>
          <w:sz w:val="24"/>
        </w:rPr>
        <w:t>Adicionalmente, é importante situar essas declarações no contexto amplo das dinâmicas organizacionais contemporâneas para melhor interpretação dos discursos.</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line="240" w:lineRule="auto"/>
        <w:jc w:val="both"/>
      </w:pPr>
      <w:r>
        <w:rPr>
          <w:rFonts w:ascii="Times New Roman" w:hAnsi="Times New Roman"/>
          <w:sz w:val="24"/>
        </w:rPr>
        <w:t>Antes de prosseguir, definimos termos-chave para evitar ambiguidade terminológica no restante do texto.</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line="240" w:lineRule="auto"/>
        <w:jc w:val="both"/>
      </w:pPr>
      <w:r>
        <w:rPr>
          <w:rFonts w:ascii="Times New Roman" w:hAnsi="Times New Roman"/>
          <w:sz w:val="24"/>
        </w:rPr>
        <w:t>Do ponto de vista dos recursos estratégicos, convém destacar contribuições clássicas que informam a análise presente.</w:t>
      </w:r>
    </w:p>
    <w:p>
      <w:pPr>
        <w:spacing w:after="120" w:line="240" w:lineRule="auto"/>
        <w:jc w:val="both"/>
      </w:pPr>
      <w:r/>
    </w:p>
    <w:p>
      <w:pPr>
        <w:spacing w:after="120" w:line="240" w:lineRule="auto"/>
        <w:jc w:val="both"/>
      </w:pPr>
      <w:r>
        <w:rPr>
          <w:rFonts w:ascii="Times New Roman" w:hAnsi="Times New Roman"/>
          <w:sz w:val="24"/>
        </w:rPr>
        <w:t>Complementando a análise de recursos, a teoria do capital humano fornece argumentos sobre a importância da requalificação.</w:t>
      </w:r>
    </w:p>
    <w:p>
      <w:pPr>
        <w:spacing w:after="120" w:line="240" w:lineRule="auto"/>
        <w:jc w:val="both"/>
      </w:pPr>
      <w:r/>
    </w:p>
    <w:p>
      <w:pPr>
        <w:spacing w:after="120" w:line="240" w:lineRule="auto"/>
        <w:jc w:val="both"/>
      </w:pPr>
      <w:r>
        <w:rPr>
          <w:rFonts w:ascii="Times New Roman" w:hAnsi="Times New Roman"/>
          <w:sz w:val="24"/>
        </w:rPr>
        <w:t>Em consonância com essas discussões empíricas, estudos recentes oferecem evidências relevantes para o presente caso.</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p>
    <w:p w:rsidR="02740533" w:rsidP="46B80AED" w:rsidRDefault="02740533" w14:paraId="64A2A775" w14:textId="776439EE">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p>
    <w:p w:rsidR="185DE5E9" w:rsidP="46B80AED" w:rsidRDefault="185DE5E9" w14:paraId="06ACF03A" w14:textId="1498465F">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p>
    <w:p w:rsidR="465684DF" w:rsidP="46B80AED" w:rsidRDefault="465684DF" w14:paraId="5A7866C9" w14:textId="04C80188">
      <w:pPr>
        <w:spacing w:before="0" w:beforeAutospacing="off" w:after="120" w:afterAutospacing="off" w:line="240" w:lineRule="auto"/>
        <w:ind w:left="720" w:hanging="720"/>
        <w:jc w:val="left"/>
      </w:pPr>
      <w:r/>
    </w:p>
    <w:p w:rsidR="465684DF" w:rsidP="46B80AED" w:rsidRDefault="465684DF" w14:paraId="2534629C" w14:textId="47EC1615">
      <w:pPr>
        <w:spacing w:before="0" w:beforeAutospacing="off" w:after="120" w:afterAutospacing="off" w:line="240" w:lineRule="auto"/>
        <w:ind w:left="720" w:hanging="720"/>
        <w:jc w:val="left"/>
      </w:pPr>
      <w:r/>
    </w:p>
    <w:p w:rsidR="465684DF" w:rsidP="46B80AED" w:rsidRDefault="465684DF" w14:paraId="77CEC471" w14:textId="155E974B">
      <w:pPr>
        <w:spacing w:before="0" w:beforeAutospacing="off" w:after="120" w:afterAutospacing="off" w:line="240" w:lineRule="auto"/>
        <w:ind w:left="720" w:hanging="720"/>
        <w:jc w:val="left"/>
      </w:pPr>
      <w:r/>
    </w:p>
    <w:p w:rsidR="465684DF" w:rsidP="46B80AED" w:rsidRDefault="465684DF" w14:paraId="65F79C2E" w14:textId="54192B6F">
      <w:pPr>
        <w:spacing w:before="0" w:beforeAutospacing="off" w:after="120" w:afterAutospacing="off" w:line="240" w:lineRule="auto"/>
        <w:ind w:left="720" w:hanging="720"/>
        <w:jc w:val="left"/>
      </w:pPr>
      <w:r/>
    </w:p>
    <w:p w:rsidR="465684DF" w:rsidP="46B80AED" w:rsidRDefault="465684DF" w14:paraId="2B4395FC" w14:textId="58F4E45D">
      <w:pPr>
        <w:spacing w:before="0" w:beforeAutospacing="off" w:after="120" w:afterAutospacing="off" w:line="240" w:lineRule="auto"/>
        <w:ind w:left="720" w:hanging="720"/>
        <w:jc w:val="left"/>
      </w:pPr>
      <w:r/>
    </w:p>
    <w:p w:rsidR="465684DF" w:rsidP="46B80AED" w:rsidRDefault="465684DF" w14:paraId="0AB549FA" w14:textId="7C0BA679">
      <w:pPr>
        <w:spacing w:before="0" w:beforeAutospacing="off" w:after="120" w:afterAutospacing="off" w:line="240" w:lineRule="auto"/>
        <w:ind w:left="720" w:hanging="720"/>
        <w:jc w:val="left"/>
      </w:pPr>
      <w:r/>
    </w:p>
    <w:p w:rsidR="465684DF" w:rsidP="46B80AED" w:rsidRDefault="465684DF" w14:paraId="387D970C" w14:textId="27E768D0">
      <w:pPr>
        <w:spacing w:before="0" w:beforeAutospacing="off" w:after="120" w:afterAutospacing="off" w:line="240" w:lineRule="auto"/>
        <w:ind w:left="720" w:hanging="720"/>
        <w:jc w:val="left"/>
      </w:pPr>
      <w:r/>
    </w:p>
    <w:p w:rsidR="465684DF" w:rsidP="46B80AED" w:rsidRDefault="465684DF" w14:paraId="246BE3CE" w14:textId="3E6540C4">
      <w:pPr>
        <w:spacing w:before="0" w:beforeAutospacing="off" w:after="120" w:afterAutospacing="off" w:line="240" w:lineRule="auto"/>
        <w:ind w:left="720" w:hanging="720"/>
        <w:jc w:val="left"/>
      </w:pPr>
      <w:r/>
    </w:p>
    <w:p w:rsidR="465684DF" w:rsidP="46B80AED" w:rsidRDefault="465684DF" w14:paraId="49456FB5" w14:textId="113DE9FB">
      <w:pPr>
        <w:spacing w:before="0" w:beforeAutospacing="off" w:after="120" w:afterAutospacing="off" w:line="240" w:lineRule="auto"/>
        <w:ind w:left="720" w:hanging="720"/>
        <w:jc w:val="left"/>
      </w:pPr>
      <w:r/>
    </w:p>
    <w:p w:rsidR="465684DF" w:rsidP="46B80AED" w:rsidRDefault="465684DF" w14:paraId="49AA3AF3" w14:textId="3B3F2772">
      <w:pPr>
        <w:spacing w:before="0" w:beforeAutospacing="off" w:after="120" w:afterAutospacing="off" w:line="240" w:lineRule="auto"/>
        <w:ind w:left="720" w:hanging="720"/>
        <w:jc w:val="left"/>
      </w:pPr>
      <w:r/>
    </w:p>
    <w:p w:rsidR="465684DF" w:rsidP="46B80AED" w:rsidRDefault="465684DF" w14:paraId="11A954DE" w14:textId="0F23FA28">
      <w:pPr>
        <w:spacing w:before="0" w:beforeAutospacing="off" w:after="120" w:afterAutospacing="off" w:line="240" w:lineRule="auto"/>
        <w:ind w:left="720" w:hanging="720"/>
        <w:jc w:val="left"/>
      </w:pPr>
      <w:r/>
    </w:p>
    <w:p w:rsidR="465684DF" w:rsidP="46B80AED" w:rsidRDefault="465684DF" w14:paraId="019B88E6" w14:textId="1CE72D54">
      <w:pPr>
        <w:spacing w:before="0" w:beforeAutospacing="off" w:after="120" w:afterAutospacing="off" w:line="240" w:lineRule="auto"/>
        <w:ind w:left="720" w:hanging="720"/>
        <w:jc w:val="left"/>
      </w:pPr>
      <w:r/>
    </w:p>
    <w:p w:rsidR="465684DF" w:rsidP="46B80AED" w:rsidRDefault="465684DF" w14:paraId="5B75FCE2" w14:textId="161F81F7">
      <w:pPr>
        <w:spacing w:before="0" w:beforeAutospacing="off" w:after="120" w:afterAutospacing="off" w:line="240" w:lineRule="auto"/>
        <w:ind w:left="720" w:hanging="720"/>
        <w:jc w:val="left"/>
      </w:pPr>
      <w:r/>
    </w:p>
    <w:p w:rsidR="465684DF" w:rsidP="46B80AED" w:rsidRDefault="465684DF" w14:paraId="508C21FB" w14:textId="4516ED3C">
      <w:pPr>
        <w:spacing w:before="0" w:beforeAutospacing="off" w:after="120" w:afterAutospacing="off" w:line="240" w:lineRule="auto"/>
        <w:ind w:left="720" w:hanging="720"/>
        <w:jc w:val="left"/>
      </w:pPr>
      <w:r/>
    </w:p>
    <w:p w:rsidR="465684DF" w:rsidP="46B80AED" w:rsidRDefault="465684DF" w14:paraId="3A4B3BC5" w14:textId="2B473B8A">
      <w:pPr>
        <w:spacing w:before="0" w:beforeAutospacing="off" w:after="120" w:afterAutospacing="off" w:line="240" w:lineRule="auto"/>
        <w:ind w:left="720" w:hanging="720"/>
        <w:jc w:val="left"/>
      </w:pPr>
      <w:r/>
    </w:p>
    <w:p w:rsidR="465684DF" w:rsidP="46B80AED" w:rsidRDefault="465684DF" w14:paraId="2F09B548" w14:textId="39C7536E">
      <w:pPr>
        <w:spacing w:before="0" w:beforeAutospacing="off" w:after="120" w:afterAutospacing="off" w:line="240" w:lineRule="auto"/>
        <w:ind w:left="720" w:hanging="720"/>
        <w:jc w:val="left"/>
      </w:pPr>
      <w:r/>
    </w:p>
    <w:p w:rsidR="465684DF" w:rsidP="46B80AED" w:rsidRDefault="465684DF" w14:paraId="7FBE6413" w14:textId="2346BC9D">
      <w:pPr>
        <w:spacing w:before="0" w:beforeAutospacing="off" w:after="120" w:afterAutospacing="off" w:line="240" w:lineRule="auto"/>
        <w:ind w:left="720" w:hanging="720"/>
        <w:jc w:val="left"/>
      </w:pPr>
      <w:r/>
    </w:p>
    <w:p w:rsidR="465684DF" w:rsidP="46B80AED" w:rsidRDefault="465684DF" w14:paraId="22F84BE2" w14:textId="5C384C24">
      <w:pPr>
        <w:spacing w:before="0" w:beforeAutospacing="off" w:after="120" w:afterAutospacing="off" w:line="240" w:lineRule="auto"/>
        <w:ind w:left="720" w:hanging="720"/>
        <w:jc w:val="left"/>
      </w:pPr>
      <w:r/>
    </w:p>
    <w:p w:rsidR="465684DF" w:rsidP="46B80AED" w:rsidRDefault="465684DF" w14:paraId="7767B1E2" w14:textId="5AC7E5A9">
      <w:pPr>
        <w:spacing w:before="0" w:beforeAutospacing="off" w:after="120" w:afterAutospacing="off" w:line="240" w:lineRule="auto"/>
        <w:ind w:left="720" w:hanging="720"/>
        <w:jc w:val="left"/>
      </w:pPr>
      <w:r/>
    </w:p>
    <w:p w:rsidR="465684DF" w:rsidP="46B80AED" w:rsidRDefault="465684DF" w14:paraId="52619D9E" w14:textId="6F881650">
      <w:pPr>
        <w:spacing w:before="0" w:beforeAutospacing="off" w:after="120" w:afterAutospacing="off" w:line="240" w:lineRule="auto"/>
        <w:ind w:left="720" w:hanging="720"/>
        <w:jc w:val="left"/>
      </w:pPr>
      <w:r/>
    </w:p>
    <w:p w:rsidR="465684DF" w:rsidP="46B80AED" w:rsidRDefault="465684DF" w14:paraId="5C29BE24" w14:textId="39919E60">
      <w:pPr>
        <w:spacing w:before="0" w:beforeAutospacing="off" w:after="120" w:afterAutospacing="off" w:line="240" w:lineRule="auto"/>
        <w:ind w:left="720" w:hanging="720"/>
        <w:jc w:val="left"/>
      </w:pPr>
      <w:r/>
    </w:p>
    <w:p w:rsidR="465684DF" w:rsidP="46B80AED" w:rsidRDefault="465684DF" w14:paraId="0B18FD80" w14:textId="723B08AD">
      <w:pPr>
        <w:spacing w:before="0" w:beforeAutospacing="off" w:after="120" w:afterAutospacing="off" w:line="240" w:lineRule="auto"/>
        <w:ind w:left="720" w:hanging="720"/>
        <w:jc w:val="left"/>
      </w:pPr>
      <w:r/>
    </w:p>
    <w:p w:rsidR="465684DF" w:rsidP="46B80AED" w:rsidRDefault="465684DF" w14:paraId="4A922F7A" w14:textId="6BDF4497">
      <w:pPr>
        <w:spacing w:before="0" w:beforeAutospacing="off" w:after="120" w:afterAutospacing="off" w:line="240" w:lineRule="auto"/>
        <w:ind w:left="720" w:hanging="720"/>
        <w:jc w:val="left"/>
      </w:pPr>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