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B84DD1" wp14:paraId="696E0BFA" wp14:textId="756E6A04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TÍTULO DO DOCUMENTO: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Instrumento de Coleta de Dados e Matriz de Codificação (Apêndice)</w:t>
      </w:r>
    </w:p>
    <w:p xmlns:wp14="http://schemas.microsoft.com/office/word/2010/wordml" w:rsidP="33B84DD1" wp14:paraId="7F93D573" wp14:textId="3B992793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1. Protocolo de Coleta de Dados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pesquisa documental operacionalizou-se mediante rastreamento sistemático de fontes públicas entre janeiro de 2023 e o primeiro trimestre de 2026. As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strings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busca utilizadas nos portais de relações com investidores e bases financeiras (SEC,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Bloomberg Terminal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foram:</w:t>
      </w:r>
    </w:p>
    <w:p xmlns:wp14="http://schemas.microsoft.com/office/word/2010/wordml" w:rsidP="33B84DD1" wp14:paraId="68BDD925" wp14:textId="6DDF07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[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"Company Name" AND ("layoffs" OR "workforce reduction") AND ("artificial intelligence" OR "AI")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].</w:t>
      </w:r>
    </w:p>
    <w:p xmlns:wp14="http://schemas.microsoft.com/office/word/2010/wordml" w:rsidP="33B84DD1" wp14:paraId="5720367E" wp14:textId="062A7BC2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2. Instrumento de Categorização (Análise de Conteúdo)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a análise das declarações dos executivos, adotou-se a técnica de Análise de Conteúdo de Bardin (2016). O instrumento de tabulação foi estruturado nas seguintes variáveis de observação:</w:t>
      </w:r>
    </w:p>
    <w:p xmlns:wp14="http://schemas.microsoft.com/office/word/2010/wordml" w:rsidP="33B84DD1" wp14:paraId="5CFB466D" wp14:textId="45AA1D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V1. Natureza Causal: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IA é citada como causa direta (substituição) ou indireta (fator contributivo)?</w:t>
      </w:r>
    </w:p>
    <w:p xmlns:wp14="http://schemas.microsoft.com/office/word/2010/wordml" w:rsidP="33B84DD1" wp14:paraId="4CDD4F27" wp14:textId="7F67B0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V2. Métrica Operacional: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Há apresentação de percentual de ganho de eficiência ou nomeação das ferramentas automatizadoras no comunicado oficial? (Sim/Não).</w:t>
      </w:r>
    </w:p>
    <w:p xmlns:wp14="http://schemas.microsoft.com/office/word/2010/wordml" w:rsidP="33B84DD1" wp14:paraId="22C3BAF7" wp14:textId="7FD348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V3. Saúde Contábil: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Qual o registro de faturamento (US$), variação ano a ano (%) e Lucro Líquido (US$) arquivado no relatório 10-K contemporâneo ao anúncio?</w:t>
      </w:r>
    </w:p>
    <w:p xmlns:wp14="http://schemas.microsoft.com/office/word/2010/wordml" w:rsidP="33B84DD1" wp14:paraId="264414BD" wp14:textId="2DEA5E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V4. Dimensionamento do Quadro: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Variação percentual do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headcount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entre o ano fiscal de 2019 e o pico de contratações registrado no relatório 10-K anterior às demissões.</w:t>
      </w:r>
    </w:p>
    <w:p xmlns:wp14="http://schemas.microsoft.com/office/word/2010/wordml" w:rsidP="33B84DD1" wp14:paraId="57D0C29B" wp14:textId="452BBB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V5. Investimento Tecnológico: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Registros em comunicações financeiras sobre aportes de capital ou aquisições no segmento de IA ocorridos no mesmo semestre fiscal do desligamento.</w:t>
      </w:r>
    </w:p>
    <w:p xmlns:wp14="http://schemas.microsoft.com/office/word/2010/wordml" w:rsidP="33B84DD1" wp14:paraId="35357B7C" wp14:textId="3885D4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V6. Modulação do Discurso: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 semântica da justificativa executiva em "Determinismo Tecnológico" (IA apresentada como força exógena inevitável) ou "Decisão Estratégica" (reconhecimento de redirecionamento gerencial discricionário).</w:t>
      </w:r>
    </w:p>
    <w:p xmlns:wp14="http://schemas.microsoft.com/office/word/2010/wordml" w:rsidP="33B84DD1" wp14:paraId="65214C5F" wp14:textId="33FBBF09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 Validação do Instrumento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aplicação desta matriz no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documental ocorreu com revisão intrapessoal pareada (intervalo metodológico de 15 dias entre a primeira extração e a codificação final), garantindo a estabilidade da interpretação das categorias perante a documentação arquivada.</w:t>
      </w:r>
    </w:p>
    <w:p xmlns:wp14="http://schemas.microsoft.com/office/word/2010/wordml" wp14:paraId="1E207724" wp14:textId="59C0A5C1"/>
    <w:p>
      <w:pPr>
        <w:jc w:val="left"/>
      </w:pPr>
      <w:r>
        <w:rPr>
          <w:b/>
        </w:rPr>
        <w:t>Autores e afiliações:</w:t>
      </w:r>
    </w:p>
    <w:p>
      <w:r>
        <w:t>Autores: (não detectados)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3f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708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CEEFC5"/>
    <w:rsid w:val="203EAE53"/>
    <w:rsid w:val="33B84DD1"/>
    <w:rsid w:val="41CEE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EFC5"/>
  <w15:chartTrackingRefBased/>
  <w15:docId w15:val="{E1477E43-781B-48FD-99AD-61095C36AB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B84D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debeb3080b7b46d4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2026-04-06T16:04:14.0875810Z</dcterms:created>
  <dcterms:modified xsi:type="dcterms:W3CDTF">2026-04-06T16:04:50.8708274Z</dcterms:modified>
  <dc:creator>Renato Rosa</dc:creator>
  <lastModifiedBy>Renato Rosa</lastModifiedBy>
</coreProperties>
</file>