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both"/>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both"/>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both"/>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both"/>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both"/>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both"/>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p>
      <w:pPr>
        <w:ind w:left="720" w:hanging="720"/>
      </w:pPr>
      <w:r>
        <w:t>Bloomberg (2024). [Entrada placeholder adicionada automaticamente — substituir por referência completa]</w:t>
      </w:r>
    </w:p>
    <w:p>
      <w:pPr>
        <w:ind w:left="720" w:hanging="720"/>
      </w:pPr>
      <w:r>
        <w:t>Clark (2007). [Entrada placeholder adicionada automaticamente — substituir por referência completa]</w:t>
      </w:r>
    </w:p>
    <w:p>
      <w:pPr>
        <w:ind w:left="720" w:hanging="720"/>
      </w:pPr>
      <w:r>
        <w:t>Minton (2012). [Entrada placeholder adicionada automaticamente — substituir por referência completa]</w:t>
      </w:r>
    </w:p>
    <w:p>
      <w:pPr>
        <w:ind w:left="720" w:hanging="720"/>
      </w:pPr>
      <w:r>
        <w:t>Osborne (2017). [Entrada placeholder adicionada automaticamente — substituir por referência completa]</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Heading1"/>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pPr>
        <w:spacing w:after="120"/>
      </w:pPr>
      <w:r>
        <w:t>Para entender melhor essa dinâmica, cabe retomar brevemente os antecedentes históricos das ondas tecnológicas.</w:t>
      </w:r>
    </w:p>
    <w:p>
      <w:pPr>
        <w:spacing w:after="120" w:line="240" w:lineRule="auto"/>
        <w:jc w:val="both"/>
      </w:pPr>
      <w:r>
        <w:rPr>
          <w:rFonts w:ascii="Times New Roman" w:hAnsi="Times New Roman"/>
          <w:sz w:val="24"/>
        </w:rP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w:pPr>
        <w:spacing w:after="120"/>
      </w:pPr>
      <w:r>
        <w:t>Adicionalmente, é importante situar essas declarações no contexto amplo das dinâmicas organizacionais contemporâneas para melhor interpretação dos discursos.</w:t>
      </w:r>
    </w:p>
    <w:p>
      <w:pPr>
        <w:spacing w:after="120" w:line="240" w:lineRule="auto"/>
        <w:jc w:val="both"/>
      </w:pPr>
      <w:r>
        <w:rPr>
          <w:rFonts w:ascii="Times New Roman" w:hAnsi="Times New Roman"/>
          <w:sz w:val="24"/>
        </w:rP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Heading2"/>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pPr>
        <w:spacing w:after="120"/>
      </w:pPr>
      <w:r>
        <w:t>Antes de prosseguir, definimos termos-chave para evitar ambiguidade terminológica no restante do texto.</w:t>
      </w:r>
    </w:p>
    <w:p>
      <w:pPr>
        <w:spacing w:after="120" w:line="240" w:lineRule="auto"/>
        <w:jc w:val="both"/>
      </w:pPr>
      <w:r>
        <w:rPr>
          <w:rFonts w:ascii="Times New Roman" w:hAnsi="Times New Roman"/>
          <w:sz w:val="24"/>
        </w:rP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w:pPr>
        <w:spacing w:after="120"/>
      </w:pPr>
      <w:r>
        <w:t>Do ponto de vista dos recursos estratégicos, convém destacar contribuições clássicas que informam a análise presente.</w:t>
      </w:r>
    </w:p>
    <w:p>
      <w:pPr>
        <w:spacing w:after="120" w:line="240" w:lineRule="auto"/>
        <w:jc w:val="both"/>
      </w:pPr>
      <w:r>
        <w:rPr>
          <w:rFonts w:ascii="Times New Roman" w:hAnsi="Times New Roman"/>
          <w:sz w:val="24"/>
        </w:rP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w:pPr>
        <w:spacing w:after="120"/>
      </w:pPr>
      <w:r>
        <w:t>Complementando a análise de recursos, a teoria do capital humano fornece argumentos sobre a importância da requalificação.</w:t>
      </w:r>
    </w:p>
    <w:p>
      <w:pPr>
        <w:spacing w:after="120" w:line="240" w:lineRule="auto"/>
        <w:jc w:val="both"/>
      </w:pPr>
      <w:r>
        <w:rPr>
          <w:rFonts w:ascii="Times New Roman" w:hAnsi="Times New Roman"/>
          <w:sz w:val="24"/>
        </w:rP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w:pPr>
        <w:spacing w:after="120"/>
      </w:pPr>
      <w:r>
        <w:t>Em consonância com essas discussões empíricas, estudos recentes oferecem evidências relevantes para o presente caso.</w:t>
      </w:r>
    </w:p>
    <w:p>
      <w:pPr>
        <w:spacing w:after="120" w:line="240" w:lineRule="auto"/>
        <w:jc w:val="both"/>
      </w:pPr>
      <w:r>
        <w:rPr>
          <w:rFonts w:ascii="Times New Roman" w:hAnsi="Times New Roman"/>
          <w:sz w:val="24"/>
        </w:rP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w:rsidR="02740533" w:rsidP="46B80AED" w:rsidRDefault="02740533" w14:paraId="6A8DC8C5" w14:textId="49D64E0F">
      <w:pPr>
        <w:pStyle w:val="Heading1"/>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pPr>
        <w:spacing w:after="120" w:line="240" w:lineRule="auto"/>
        <w:jc w:val="both"/>
      </w:pPr>
      <w:r>
        <w:rPr>
          <w:rFonts w:ascii="Times New Roman" w:hAnsi="Times New Roman"/>
          <w:sz w:val="24"/>
        </w:rP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w:pPr>
        <w:spacing w:after="120" w:line="240" w:lineRule="auto"/>
        <w:jc w:val="both"/>
      </w:pPr>
      <w:r>
        <w:rPr>
          <w:rFonts w:ascii="Times New Roman" w:hAnsi="Times New Roman"/>
          <w:sz w:val="24"/>
        </w:rP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w:rsidR="02740533" w:rsidP="46B80AED" w:rsidRDefault="02740533" w14:paraId="64A2A775" w14:textId="776439EE">
      <w:pPr>
        <w:pStyle w:val="Heading2"/>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pPr>
        <w:spacing w:after="120" w:line="240" w:lineRule="auto"/>
        <w:jc w:val="both"/>
      </w:pPr>
      <w:r>
        <w:rPr>
          <w:rFonts w:ascii="Times New Roman" w:hAnsi="Times New Roman"/>
          <w:sz w:val="24"/>
        </w:rP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w:pPr>
        <w:spacing w:after="120" w:line="240" w:lineRule="auto"/>
        <w:jc w:val="both"/>
      </w:pPr>
      <w:r>
        <w:rPr>
          <w:rFonts w:ascii="Times New Roman" w:hAnsi="Times New Roman"/>
          <w:sz w:val="24"/>
        </w:rP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w:rsidR="185DE5E9" w:rsidP="46B80AED" w:rsidRDefault="185DE5E9" w14:paraId="7CE61C5C" w14:textId="016EF1D1">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pPr>
        <w:spacing w:after="120" w:line="240" w:lineRule="auto"/>
        <w:jc w:val="both"/>
      </w:pPr>
      <w:r>
        <w:rPr>
          <w:rFonts w:ascii="Times New Roman" w:hAnsi="Times New Roman"/>
          <w:sz w:val="24"/>
        </w:rP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w:pPr>
        <w:spacing w:after="120" w:line="240" w:lineRule="auto"/>
        <w:jc w:val="both"/>
      </w:pPr>
      <w:r>
        <w:rPr>
          <w:rFonts w:ascii="Times New Roman" w:hAnsi="Times New Roman"/>
          <w:sz w:val="24"/>
        </w:rP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w:rsidR="185DE5E9" w:rsidP="46B80AED" w:rsidRDefault="185DE5E9" w14:paraId="06ACF03A" w14:textId="1498465F">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pPr>
        <w:spacing w:after="120" w:line="240" w:lineRule="auto"/>
        <w:jc w:val="both"/>
      </w:pPr>
      <w:r>
        <w:rPr>
          <w:rFonts w:ascii="Times New Roman" w:hAnsi="Times New Roman"/>
          <w:sz w:val="24"/>
        </w:rP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Heading1"/>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pPr>
        <w:spacing w:after="120" w:line="240" w:lineRule="auto"/>
        <w:jc w:val="both"/>
      </w:pPr>
      <w:r>
        <w:rPr>
          <w:rFonts w:ascii="Times New Roman" w:hAnsi="Times New Roman"/>
          <w:sz w:val="24"/>
        </w:rP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w:rsidR="185DE5E9" w:rsidP="46B80AED" w:rsidRDefault="185DE5E9" w14:paraId="18D2FD50" w14:textId="339B97C7">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pPr>
        <w:spacing w:after="120" w:line="240" w:lineRule="auto"/>
        <w:jc w:val="both"/>
      </w:pPr>
      <w:r>
        <w:rPr>
          <w:rFonts w:ascii="Times New Roman" w:hAnsi="Times New Roman"/>
          <w:sz w:val="24"/>
        </w:rP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w:rsidR="185DE5E9" w:rsidP="46B80AED" w:rsidRDefault="185DE5E9" w14:paraId="02DD98F6" w14:textId="4B373ACC">
      <w:pPr>
        <w:pStyle w:val="Heading2"/>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