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ind w:left="0" w:firstLine="0"/>
        <w:jc w:val="center"/>
      </w:pPr>
      <w:r>
        <w:rPr>
          <w:rFonts w:ascii="Times New Roman" w:hAnsi="Times New Roman"/>
          <w:b/>
          <w:sz w:val="28"/>
        </w:rPr>
        <w:t>O PARADOXO DA PRODUTIVIDADE DA IA: ANÁLISE CRÍTICA DO DISCURSO CORPORATIVO SOBRE DEMISSÕES TECNOLÓGICAS</w:t>
      </w:r>
    </w:p>
    <w:p>
      <w:pPr>
        <w:spacing w:after="120" w:before="0"/>
        <w:ind w:left="0" w:firstLine="0"/>
        <w:jc w:val="center"/>
      </w:pPr>
      <w:r>
        <w:rPr>
          <w:rFonts w:ascii="Times New Roman" w:hAnsi="Times New Roman"/>
          <w:b/>
          <w:sz w:val="28"/>
        </w:rPr>
        <w:t>THE AI PRODUCTIVITY PARADOX: CRITICAL ANALYSIS OF CORPORATE DISCOURSE ON TECHNOLOGICAL LAYOFFS</w:t>
      </w:r>
    </w:p>
    <w:p>
      <w:pPr>
        <w:spacing w:after="120" w:before="0"/>
        <w:ind w:left="0" w:firstLine="0"/>
        <w:jc w:val="center"/>
      </w:pPr>
      <w:r>
        <w:rPr>
          <w:rFonts w:ascii="Times New Roman" w:hAnsi="Times New Roman"/>
          <w:b/>
          <w:sz w:val="28"/>
        </w:rPr>
        <w:t>EL PARADOJA DE LA PRODUCTIVIDAD DE LA IA: ANÁLISIS CRÍTICO DEL DISCURSO CORPORATIVO SOBRE DESPIDOS TECNOLÓGICOS</w:t>
      </w:r>
    </w:p>
    <w:p>
      <w:pPr>
        <w:spacing w:after="120" w:before="0"/>
        <w:ind w:left="0" w:firstLine="0"/>
        <w:jc w:val="center"/>
      </w:pPr>
      <w:r>
        <w:t>EL PARADOJA DE LA PRODUCTIVIDAD DE LA IA: ANÁLISIS CRÍTICO DEL DISCURSO CORPORATIVO SOBRE DESPIDOS TECNOLÓGICOS</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Normal"/>
        <w:spacing w:before="0" w:beforeAutospacing="off" w:after="120" w:afterAutospacing="off" w:line="240" w:lineRule="auto"/>
        <w:ind w:left="0" w:firstLine="0"/>
        <w:jc w:val="both"/>
        <w:rPr>
          <w:b w:val="1"/>
          <w:bCs w:val="1"/>
        </w:rPr>
      </w:pPr>
      <w:r w:rsidRPr="46B80AED" w:rsidR="3B081F0C">
        <w:rPr>
          <w:b w:val="1"/>
          <w:bCs w:val="1"/>
        </w:rPr>
        <w:t>1. Introdução</w:t>
      </w:r>
    </w:p>
    <w:p w:rsidR="7AB0BA00" w:rsidP="46B80AED" w:rsidRDefault="7AB0BA00" w14:paraId="4881702A" w14:textId="773F91FD">
      <w:pPr>
        <w:pStyle w:val="Normal"/>
        <w:spacing w:before="0" w:beforeAutospacing="off" w:after="120" w:afterAutospacing="off" w:line="240" w:lineRule="auto"/>
        <w:ind w:left="0" w:firstLine="0"/>
        <w:jc w:val="both"/>
      </w:pPr>
      <w:r w:rsidR="7AB0BA00">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left="0" w:firstLine="0"/>
        <w:jc w:val="both"/>
      </w:pPr>
      <w:r w:rsidR="7AB0BA00">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rsidR="7AB0BA00" w:rsidP="46B80AED" w:rsidRDefault="7AB0BA00" w14:paraId="5210E155" w14:textId="2DC635D5">
      <w:pPr>
        <w:pStyle w:val="Normal"/>
        <w:spacing w:before="0" w:beforeAutospacing="off" w:after="120" w:afterAutospacing="off" w:line="240" w:lineRule="auto"/>
        <w:ind w:left="0" w:firstLine="0"/>
        <w:jc w:val="both"/>
      </w:pPr>
      <w:r w:rsidR="7AB0BA00">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rsidR="7AB0BA00" w:rsidP="46B80AED" w:rsidRDefault="7AB0BA00" w14:paraId="31688C77" w14:textId="7361818B">
      <w:pPr>
        <w:pStyle w:val="Normal"/>
        <w:spacing w:before="0" w:beforeAutospacing="off" w:after="120" w:afterAutospacing="off" w:line="240" w:lineRule="auto"/>
        <w:ind w:left="0" w:firstLine="0"/>
        <w:jc w:val="both"/>
      </w:pPr>
      <w:r w:rsidR="7AB0BA00">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left="0" w:firstLine="0"/>
        <w:jc w:val="both"/>
      </w:pPr>
      <w:r w:rsidR="7AB0BA00">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Normal"/>
        <w:spacing w:before="0" w:beforeAutospacing="off" w:after="120" w:afterAutospacing="off" w:line="240" w:lineRule="auto"/>
        <w:ind w:left="0" w:firstLine="0"/>
        <w:jc w:val="both"/>
        <w:rPr>
          <w:b w:val="1"/>
          <w:bCs w:val="1"/>
        </w:rPr>
      </w:pPr>
      <w:r w:rsidRPr="46B80AED" w:rsidR="02740533">
        <w:rPr>
          <w:b w:val="1"/>
          <w:bCs w:val="1"/>
        </w:rPr>
        <w:t>2. Referencial Teórico</w:t>
      </w:r>
    </w:p>
    <w:p w:rsidR="68E487CD" w:rsidP="46B80AED" w:rsidRDefault="68E487CD" w14:paraId="0254FD94" w14:textId="395DDF91">
      <w:pPr>
        <w:pStyle w:val="Normal"/>
        <w:spacing w:before="0" w:beforeAutospacing="off" w:after="120" w:afterAutospacing="off" w:line="240" w:lineRule="auto"/>
        <w:ind w:left="0" w:firstLine="0"/>
        <w:jc w:val="both"/>
        <w:rPr>
          <w:b w:val="1"/>
          <w:bCs w:val="1"/>
        </w:rPr>
      </w:pPr>
      <w:r w:rsidRPr="46B80AED" w:rsidR="68E487CD">
        <w:rPr>
          <w:b w:val="1"/>
          <w:bCs w:val="1"/>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left="0" w:firstLine="0"/>
        <w:jc w:val="both"/>
        <w:rPr>
          <w:b w:val="0"/>
          <w:bCs w:val="0"/>
        </w:rPr>
      </w:pPr>
      <w:r w:rsidR="68E487CD">
        <w:rPr>
          <w:b w:val="0"/>
          <w:bCs w:val="0"/>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b w:val="0"/>
          <w:bCs w:val="0"/>
        </w:rPr>
        <w:t>Brynjolfsson</w:t>
      </w:r>
      <w:r w:rsidR="68E487CD">
        <w:rPr>
          <w:b w:val="0"/>
          <w:bCs w:val="0"/>
        </w:rPr>
        <w:t xml:space="preserve"> &amp; McAfee, 2014). Nessa perspectiva, o período contemporâneo vivencia a convergência de sistemas digitais, na qual a inteligência artificial (IA) assume centralidade na redefinição dos processos organizacionais (</w:t>
      </w:r>
      <w:r w:rsidR="68E487CD">
        <w:rPr>
          <w:b w:val="0"/>
          <w:bCs w:val="0"/>
        </w:rPr>
        <w:t>Felten</w:t>
      </w:r>
      <w:r w:rsidR="68E487CD">
        <w:rPr>
          <w:b w:val="0"/>
          <w:bCs w:val="0"/>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b w:val="0"/>
          <w:bCs w:val="0"/>
        </w:rPr>
        <w:t>Institute</w:t>
      </w:r>
      <w:r w:rsidR="68E487CD">
        <w:rPr>
          <w:b w:val="0"/>
          <w:bCs w:val="0"/>
        </w:rPr>
        <w:t xml:space="preserve"> </w:t>
      </w:r>
      <w:r w:rsidR="68E487CD">
        <w:rPr>
          <w:b w:val="0"/>
          <w:bCs w:val="0"/>
        </w:rPr>
        <w:t>of</w:t>
      </w:r>
      <w:r w:rsidR="68E487CD">
        <w:rPr>
          <w:b w:val="0"/>
          <w:bCs w:val="0"/>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left="0" w:firstLine="0"/>
        <w:jc w:val="both"/>
        <w:rPr>
          <w:b w:val="0"/>
          <w:bCs w:val="0"/>
        </w:rPr>
      </w:pPr>
      <w:r w:rsidR="68E487CD">
        <w:rPr>
          <w:b w:val="0"/>
          <w:bCs w:val="0"/>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b w:val="0"/>
          <w:bCs w:val="0"/>
        </w:rPr>
        <w:t>Brynjolfsson</w:t>
      </w:r>
      <w:r w:rsidR="68E487CD">
        <w:rPr>
          <w:b w:val="0"/>
          <w:bCs w:val="0"/>
        </w:rPr>
        <w:t xml:space="preserve">, 1993). Consequentemente, análises mais recentes indicam que esse fenômeno persiste no cenário atual de adoção de sistemas autônomos (Abel et al., 2022). Nesse sentido, </w:t>
      </w:r>
      <w:r w:rsidR="68E487CD">
        <w:rPr>
          <w:b w:val="0"/>
          <w:bCs w:val="0"/>
        </w:rPr>
        <w:t>Bäck</w:t>
      </w:r>
      <w:r w:rsidR="68E487CD">
        <w:rPr>
          <w:b w:val="0"/>
          <w:bCs w:val="0"/>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left="0" w:firstLine="0"/>
        <w:jc w:val="both"/>
        <w:rPr>
          <w:b w:val="0"/>
          <w:bCs w:val="0"/>
        </w:rPr>
      </w:pPr>
      <w:r w:rsidR="68E487CD">
        <w:rPr>
          <w:b w:val="0"/>
          <w:bCs w:val="0"/>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b w:val="0"/>
          <w:bCs w:val="0"/>
        </w:rPr>
        <w:t>Brynjolfsson</w:t>
      </w:r>
      <w:r w:rsidR="68E487CD">
        <w:rPr>
          <w:b w:val="0"/>
          <w:bCs w:val="0"/>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Normal"/>
        <w:spacing w:before="0" w:beforeAutospacing="off" w:after="120" w:afterAutospacing="off" w:line="240" w:lineRule="auto"/>
        <w:ind w:left="0" w:firstLine="0"/>
        <w:jc w:val="both"/>
        <w:rPr>
          <w:b w:val="1"/>
          <w:bCs w:val="1"/>
        </w:rPr>
      </w:pPr>
      <w:r w:rsidRPr="46B80AED" w:rsidR="68E487CD">
        <w:rPr>
          <w:b w:val="1"/>
          <w:bCs w:val="1"/>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left="0" w:firstLine="0"/>
        <w:jc w:val="both"/>
        <w:rPr>
          <w:b w:val="0"/>
          <w:bCs w:val="0"/>
        </w:rPr>
      </w:pPr>
      <w:r w:rsidR="68E487CD">
        <w:rPr>
          <w:b w:val="0"/>
          <w:bCs w:val="0"/>
        </w:rPr>
        <w:t xml:space="preserve">A Teoria da Agência descreve a dinâmica de delegação de autoridade entre acionistas, designados como principais, e os executivos, categorizados como agentes (Jensen &amp; </w:t>
      </w:r>
      <w:r w:rsidR="68E487CD">
        <w:rPr>
          <w:b w:val="0"/>
          <w:bCs w:val="0"/>
        </w:rPr>
        <w:t>Meckling</w:t>
      </w:r>
      <w:r w:rsidR="68E487CD">
        <w:rPr>
          <w:b w:val="0"/>
          <w:bCs w:val="0"/>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b w:val="0"/>
          <w:bCs w:val="0"/>
        </w:rPr>
        <w:t>Minton</w:t>
      </w:r>
      <w:r w:rsidR="68E487CD">
        <w:rPr>
          <w:b w:val="0"/>
          <w:bCs w:val="0"/>
        </w:rPr>
        <w:t>, 2012).</w:t>
      </w:r>
    </w:p>
    <w:p w:rsidR="68E487CD" w:rsidP="46B80AED" w:rsidRDefault="68E487CD" w14:paraId="09FEE000" w14:textId="0FB4242E">
      <w:pPr>
        <w:pStyle w:val="Normal"/>
        <w:spacing w:before="0" w:beforeAutospacing="off" w:after="120" w:afterAutospacing="off" w:line="240" w:lineRule="auto"/>
        <w:ind w:left="0" w:firstLine="0"/>
        <w:jc w:val="both"/>
        <w:rPr>
          <w:b w:val="0"/>
          <w:bCs w:val="0"/>
        </w:rPr>
      </w:pPr>
      <w:r w:rsidR="68E487CD">
        <w:rPr>
          <w:b w:val="0"/>
          <w:bCs w:val="0"/>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b w:val="0"/>
          <w:bCs w:val="0"/>
        </w:rPr>
        <w:t>free</w:t>
      </w:r>
      <w:r w:rsidR="68E487CD">
        <w:rPr>
          <w:b w:val="0"/>
          <w:bCs w:val="0"/>
        </w:rPr>
        <w:t xml:space="preserve"> cash </w:t>
      </w:r>
      <w:r w:rsidR="68E487CD">
        <w:rPr>
          <w:b w:val="0"/>
          <w:bCs w:val="0"/>
        </w:rPr>
        <w:t>flow</w:t>
      </w:r>
      <w:r w:rsidR="68E487CD">
        <w:rPr>
          <w:b w:val="0"/>
          <w:bCs w:val="0"/>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b w:val="0"/>
          <w:bCs w:val="0"/>
        </w:rPr>
        <w:t>Kenney</w:t>
      </w:r>
      <w:r w:rsidR="68E487CD">
        <w:rPr>
          <w:b w:val="0"/>
          <w:bCs w:val="0"/>
        </w:rPr>
        <w:t xml:space="preserve"> &amp; </w:t>
      </w:r>
      <w:r w:rsidR="68E487CD">
        <w:rPr>
          <w:b w:val="0"/>
          <w:bCs w:val="0"/>
        </w:rPr>
        <w:t>Zysman</w:t>
      </w:r>
      <w:r w:rsidR="68E487CD">
        <w:rPr>
          <w:b w:val="0"/>
          <w:bCs w:val="0"/>
        </w:rPr>
        <w:t>, 2016).</w:t>
      </w:r>
    </w:p>
    <w:p w:rsidR="68E487CD" w:rsidP="46B80AED" w:rsidRDefault="68E487CD" w14:paraId="297303D3" w14:textId="5398ABB7">
      <w:pPr>
        <w:pStyle w:val="Normal"/>
        <w:spacing w:before="0" w:beforeAutospacing="off" w:after="120" w:afterAutospacing="off" w:line="240" w:lineRule="auto"/>
        <w:ind w:left="0" w:firstLine="0"/>
        <w:jc w:val="both"/>
        <w:rPr>
          <w:b w:val="0"/>
          <w:bCs w:val="0"/>
        </w:rPr>
      </w:pPr>
      <w:r w:rsidR="68E487CD">
        <w:rPr>
          <w:b w:val="0"/>
          <w:bCs w:val="0"/>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b w:val="0"/>
          <w:bCs w:val="0"/>
        </w:rPr>
        <w:t>Meckling</w:t>
      </w:r>
      <w:r w:rsidR="68E487CD">
        <w:rPr>
          <w:b w:val="0"/>
          <w:bCs w:val="0"/>
        </w:rPr>
        <w:t>, 1976). Simultaneamente, a adoção desse discurso posiciona a corporação como uma entidade tecnologicamente atualizada perante os acionistas (</w:t>
      </w:r>
      <w:r w:rsidR="68E487CD">
        <w:rPr>
          <w:b w:val="0"/>
          <w:bCs w:val="0"/>
        </w:rPr>
        <w:t>Kenney</w:t>
      </w:r>
      <w:r w:rsidR="68E487CD">
        <w:rPr>
          <w:b w:val="0"/>
          <w:bCs w:val="0"/>
        </w:rPr>
        <w:t xml:space="preserve"> &amp; </w:t>
      </w:r>
      <w:r w:rsidR="68E487CD">
        <w:rPr>
          <w:b w:val="0"/>
          <w:bCs w:val="0"/>
        </w:rPr>
        <w:t>Zysman</w:t>
      </w:r>
      <w:r w:rsidR="68E487CD">
        <w:rPr>
          <w:b w:val="0"/>
          <w:bCs w:val="0"/>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Normal"/>
        <w:spacing w:before="0" w:beforeAutospacing="off" w:after="120" w:afterAutospacing="off" w:line="240" w:lineRule="auto"/>
        <w:ind w:left="0" w:firstLine="0"/>
        <w:jc w:val="both"/>
        <w:rPr>
          <w:b w:val="1"/>
          <w:bCs w:val="1"/>
        </w:rPr>
      </w:pPr>
      <w:r w:rsidRPr="46B80AED" w:rsidR="68E487CD">
        <w:rPr>
          <w:b w:val="1"/>
          <w:bCs w:val="1"/>
        </w:rPr>
        <w:t xml:space="preserve">2.3 Visão Baseada em Recursos e a Instrumentação Discursiva (AI </w:t>
      </w:r>
      <w:r w:rsidRPr="46B80AED" w:rsidR="68E487CD">
        <w:rPr>
          <w:b w:val="1"/>
          <w:bCs w:val="1"/>
        </w:rPr>
        <w:t>Scapegoating</w:t>
      </w:r>
      <w:r w:rsidRPr="46B80AED" w:rsidR="68E487CD">
        <w:rPr>
          <w:b w:val="1"/>
          <w:bCs w:val="1"/>
        </w:rPr>
        <w:t>)</w:t>
      </w:r>
    </w:p>
    <w:p w:rsidR="68E487CD" w:rsidP="46B80AED" w:rsidRDefault="68E487CD" w14:paraId="5C9462A7" w14:textId="3D8465EF">
      <w:pPr>
        <w:pStyle w:val="Normal"/>
        <w:spacing w:before="0" w:beforeAutospacing="off" w:after="120" w:afterAutospacing="off" w:line="240" w:lineRule="auto"/>
        <w:ind w:left="0" w:firstLine="0"/>
        <w:jc w:val="both"/>
        <w:rPr>
          <w:b w:val="0"/>
          <w:bCs w:val="0"/>
        </w:rPr>
      </w:pPr>
      <w:r w:rsidR="68E487CD">
        <w:rPr>
          <w:b w:val="0"/>
          <w:bCs w:val="0"/>
        </w:rPr>
        <w:t>A Visão Baseada em Recursos, reconhecida pela sigla em inglês RBV (</w:t>
      </w:r>
      <w:r w:rsidR="68E487CD">
        <w:rPr>
          <w:b w:val="0"/>
          <w:bCs w:val="0"/>
        </w:rPr>
        <w:t>Resource-Based</w:t>
      </w:r>
      <w:r w:rsidR="68E487CD">
        <w:rPr>
          <w:b w:val="0"/>
          <w:bCs w:val="0"/>
        </w:rPr>
        <w:t xml:space="preserve"> </w:t>
      </w:r>
      <w:r w:rsidR="68E487CD">
        <w:rPr>
          <w:b w:val="0"/>
          <w:bCs w:val="0"/>
        </w:rPr>
        <w:t>View</w:t>
      </w:r>
      <w:r w:rsidR="68E487CD">
        <w:rPr>
          <w:b w:val="0"/>
          <w:bCs w:val="0"/>
        </w:rPr>
        <w:t>), postula que as vantagens competitivas das organizações derivam de ativos internos específicos e de difícil replicação (</w:t>
      </w:r>
      <w:r w:rsidR="68E487CD">
        <w:rPr>
          <w:b w:val="0"/>
          <w:bCs w:val="0"/>
        </w:rPr>
        <w:t>Penrose</w:t>
      </w:r>
      <w:r w:rsidR="68E487CD">
        <w:rPr>
          <w:b w:val="0"/>
          <w:bCs w:val="0"/>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b w:val="0"/>
          <w:bCs w:val="0"/>
        </w:rPr>
        <w:t>Brynjolfsson</w:t>
      </w:r>
      <w:r w:rsidR="68E487CD">
        <w:rPr>
          <w:b w:val="0"/>
          <w:bCs w:val="0"/>
        </w:rPr>
        <w:t xml:space="preserve"> &amp; McAfee, 2014).</w:t>
      </w:r>
    </w:p>
    <w:p w:rsidR="68E487CD" w:rsidP="46B80AED" w:rsidRDefault="68E487CD" w14:paraId="16F94EF4" w14:textId="49DD9975">
      <w:pPr>
        <w:pStyle w:val="Normal"/>
        <w:spacing w:before="0" w:beforeAutospacing="off" w:after="120" w:afterAutospacing="off" w:line="240" w:lineRule="auto"/>
        <w:ind w:left="0" w:firstLine="0"/>
        <w:jc w:val="both"/>
        <w:rPr>
          <w:b w:val="0"/>
          <w:bCs w:val="0"/>
        </w:rPr>
      </w:pPr>
      <w:r w:rsidR="68E487CD">
        <w:rPr>
          <w:b w:val="0"/>
          <w:bCs w:val="0"/>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b w:val="0"/>
          <w:bCs w:val="0"/>
        </w:rPr>
        <w:t>task-based</w:t>
      </w:r>
      <w:r w:rsidR="68E487CD">
        <w:rPr>
          <w:b w:val="0"/>
          <w:bCs w:val="0"/>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b w:val="0"/>
          <w:bCs w:val="0"/>
        </w:rPr>
        <w:t>Felten</w:t>
      </w:r>
      <w:r w:rsidR="68E487CD">
        <w:rPr>
          <w:b w:val="0"/>
          <w:bCs w:val="0"/>
        </w:rPr>
        <w:t xml:space="preserve"> et al., 2023).</w:t>
      </w:r>
    </w:p>
    <w:p w:rsidR="68E487CD" w:rsidP="46B80AED" w:rsidRDefault="68E487CD" w14:paraId="6A6F6A41" w14:textId="29DAA627">
      <w:pPr>
        <w:pStyle w:val="Normal"/>
        <w:spacing w:before="0" w:beforeAutospacing="off" w:after="120" w:afterAutospacing="off" w:line="240" w:lineRule="auto"/>
        <w:ind w:left="0" w:firstLine="0"/>
        <w:jc w:val="both"/>
        <w:rPr>
          <w:b w:val="0"/>
          <w:bCs w:val="0"/>
        </w:rPr>
      </w:pPr>
      <w:r w:rsidR="68E487CD">
        <w:rPr>
          <w:b w:val="0"/>
          <w:bCs w:val="0"/>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b w:val="0"/>
          <w:bCs w:val="0"/>
        </w:rPr>
        <w:t>Felten</w:t>
      </w:r>
      <w:r w:rsidR="68E487CD">
        <w:rPr>
          <w:b w:val="0"/>
          <w:bCs w:val="0"/>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b w:val="0"/>
          <w:bCs w:val="0"/>
        </w:rPr>
        <w:t>Scapegoating</w:t>
      </w:r>
      <w:r w:rsidR="68E487CD">
        <w:rPr>
          <w:b w:val="0"/>
          <w:bCs w:val="0"/>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rsidR="02740533" w:rsidP="46B80AED" w:rsidRDefault="02740533" w14:paraId="6A8DC8C5" w14:textId="49D64E0F">
      <w:pPr>
        <w:pStyle w:val="Normal"/>
        <w:spacing w:before="0" w:beforeAutospacing="off" w:after="120" w:afterAutospacing="off" w:line="240" w:lineRule="auto"/>
        <w:ind w:left="0" w:firstLine="0"/>
        <w:jc w:val="both"/>
        <w:rPr>
          <w:b w:val="1"/>
          <w:bCs w:val="1"/>
        </w:rPr>
      </w:pPr>
      <w:r w:rsidRPr="46B80AED" w:rsidR="02740533">
        <w:rPr>
          <w:b w:val="1"/>
          <w:bCs w:val="1"/>
        </w:rPr>
        <w:t>3. Procedimentos Metodológicos</w:t>
      </w:r>
    </w:p>
    <w:p w:rsidR="02740533" w:rsidP="46B80AED" w:rsidRDefault="02740533" w14:paraId="6B178B07" w14:textId="68DA5691">
      <w:pPr>
        <w:pStyle w:val="Normal"/>
        <w:spacing w:before="0" w:beforeAutospacing="off" w:after="120" w:afterAutospacing="off" w:line="240" w:lineRule="auto"/>
        <w:ind w:left="0" w:firstLine="0"/>
        <w:jc w:val="both"/>
        <w:rPr>
          <w:b w:val="1"/>
          <w:bCs w:val="1"/>
        </w:rPr>
      </w:pPr>
      <w:r w:rsidRPr="46B80AED" w:rsidR="02740533">
        <w:rPr>
          <w:b w:val="1"/>
          <w:bCs w:val="1"/>
        </w:rPr>
        <w:t xml:space="preserve">3.1 Enquadramento da Pesquisa </w:t>
      </w:r>
    </w:p>
    <w:p w:rsidR="02740533" w:rsidP="46B80AED" w:rsidRDefault="02740533" w14:paraId="5541053F" w14:textId="0639234D">
      <w:pPr>
        <w:pStyle w:val="Normal"/>
        <w:spacing w:before="0" w:beforeAutospacing="off" w:after="120" w:afterAutospacing="off" w:line="240" w:lineRule="auto"/>
        <w:ind w:left="0" w:firstLine="0"/>
        <w:jc w:val="both"/>
      </w:pPr>
      <w:r w:rsidR="02740533">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t>interpretativista</w:t>
      </w:r>
      <w:r w:rsidR="02740533">
        <w:rPr/>
        <w:t xml:space="preserve"> (</w:t>
      </w:r>
      <w:r w:rsidR="02740533">
        <w:rPr/>
        <w:t>Creswell</w:t>
      </w:r>
      <w:r w:rsidR="02740533">
        <w:rPr/>
        <w:t xml:space="preserve"> &amp; </w:t>
      </w:r>
      <w:r w:rsidR="02740533">
        <w:rPr/>
        <w:t>Creswell</w:t>
      </w:r>
      <w:r w:rsidR="02740533">
        <w:rPr/>
        <w:t>, 2018). A partir desse enquadramento, assume-se que as declarações financeiras operam como instrumentos diretos de legitimação institucional (</w:t>
      </w:r>
      <w:r w:rsidR="02740533">
        <w:rPr/>
        <w:t>Fairclough</w:t>
      </w:r>
      <w:r w:rsidR="02740533">
        <w:rPr/>
        <w:t>, 2003).</w:t>
      </w:r>
    </w:p>
    <w:p w:rsidR="02740533" w:rsidP="46B80AED" w:rsidRDefault="02740533" w14:paraId="29FA856F" w14:textId="2AD243CD">
      <w:pPr>
        <w:pStyle w:val="Normal"/>
        <w:spacing w:before="0" w:beforeAutospacing="off" w:after="120" w:afterAutospacing="off" w:line="240" w:lineRule="auto"/>
        <w:ind w:left="0" w:firstLine="0"/>
        <w:jc w:val="both"/>
        <w:rPr>
          <w:b w:val="1"/>
          <w:bCs w:val="1"/>
        </w:rPr>
      </w:pPr>
      <w:r w:rsidRPr="46B80AED" w:rsidR="02740533">
        <w:rPr>
          <w:b w:val="1"/>
          <w:bCs w:val="1"/>
        </w:rPr>
        <w:t xml:space="preserve">3.2 Coleta de Dados </w:t>
      </w:r>
    </w:p>
    <w:p w:rsidR="02740533" w:rsidP="46B80AED" w:rsidRDefault="02740533" w14:paraId="108C4C27" w14:textId="04F7A828">
      <w:pPr>
        <w:pStyle w:val="Normal"/>
        <w:spacing w:before="0" w:beforeAutospacing="off" w:after="120" w:afterAutospacing="off" w:line="240" w:lineRule="auto"/>
        <w:ind w:left="0" w:firstLine="0"/>
        <w:jc w:val="both"/>
      </w:pPr>
      <w:r w:rsidR="02740533">
        <w:rPr/>
        <w:t>A delimitação temporal do estudo abrangeu os anos de 2023 a 2026, período marcado pela difusão de redes neurais corporativas (</w:t>
      </w:r>
      <w:r w:rsidR="02740533">
        <w:rPr/>
        <w:t>Felten</w:t>
      </w:r>
      <w:r w:rsidR="02740533">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t>Salesforce</w:t>
      </w:r>
      <w:r w:rsidR="02740533">
        <w:rPr/>
        <w:t xml:space="preserve">, </w:t>
      </w:r>
      <w:r w:rsidR="02740533">
        <w:rPr/>
        <w:t>Intuit</w:t>
      </w:r>
      <w:r w:rsidR="02740533">
        <w:rPr/>
        <w:t xml:space="preserve">, Dropbox, Block, Cisco e IBM. Adicionalmente, os indicadores financeiros e as métricas laborais foram extraídos dos registros contábeis obrigatórios depositados no órgão regulador de capitais dos Estados Unidos, a </w:t>
      </w:r>
      <w:r w:rsidR="02740533">
        <w:rPr/>
        <w:t>Securities</w:t>
      </w:r>
      <w:r w:rsidR="02740533">
        <w:rPr/>
        <w:t xml:space="preserve"> </w:t>
      </w:r>
      <w:r w:rsidR="02740533">
        <w:rPr/>
        <w:t>and</w:t>
      </w:r>
      <w:r w:rsidR="02740533">
        <w:rPr/>
        <w:t xml:space="preserve"> Exchange Commission (SEC).</w:t>
      </w:r>
    </w:p>
    <w:p w:rsidR="02740533" w:rsidP="46B80AED" w:rsidRDefault="02740533" w14:paraId="64A2A775" w14:textId="776439EE">
      <w:pPr>
        <w:pStyle w:val="Normal"/>
        <w:spacing w:before="0" w:beforeAutospacing="off" w:after="120" w:afterAutospacing="off" w:line="240" w:lineRule="auto"/>
        <w:ind w:left="0" w:firstLine="0"/>
        <w:jc w:val="both"/>
        <w:rPr>
          <w:b w:val="1"/>
          <w:bCs w:val="1"/>
        </w:rPr>
      </w:pPr>
      <w:r w:rsidRPr="46B80AED" w:rsidR="02740533">
        <w:rPr>
          <w:b w:val="1"/>
          <w:bCs w:val="1"/>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left="0" w:firstLine="0"/>
        <w:jc w:val="both"/>
      </w:pPr>
      <w:r w:rsidR="02740533">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t>Fairclough</w:t>
      </w:r>
      <w:r w:rsidR="02740533">
        <w:rPr/>
        <w:t>, 2003). No que tange ao rigor científico, registra-se que o procedimento de codificação operou por meio de pesquisador único (</w:t>
      </w:r>
      <w:r w:rsidR="02740533">
        <w:rPr/>
        <w:t>Creswell</w:t>
      </w:r>
      <w:r w:rsidR="02740533">
        <w:rPr/>
        <w:t xml:space="preserve"> &amp; </w:t>
      </w:r>
      <w:r w:rsidR="02740533">
        <w:rPr/>
        <w:t>Creswell</w:t>
      </w:r>
      <w:r w:rsidR="02740533">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rsidR="185DE5E9" w:rsidP="46B80AED" w:rsidRDefault="185DE5E9" w14:paraId="7CE61C5C" w14:textId="016EF1D1">
      <w:pPr>
        <w:pStyle w:val="Normal"/>
        <w:spacing w:before="0" w:beforeAutospacing="off" w:after="120" w:afterAutospacing="off" w:line="240" w:lineRule="auto"/>
        <w:ind w:left="0" w:firstLine="0"/>
        <w:jc w:val="both"/>
        <w:rPr>
          <w:b w:val="1"/>
          <w:bCs w:val="1"/>
        </w:rPr>
      </w:pPr>
      <w:r w:rsidRPr="46B80AED" w:rsidR="185DE5E9">
        <w:rPr>
          <w:b w:val="1"/>
          <w:bCs w:val="1"/>
        </w:rPr>
        <w:t>4. Resultados e Discussões</w:t>
      </w:r>
    </w:p>
    <w:p w:rsidR="185DE5E9" w:rsidP="46B80AED" w:rsidRDefault="185DE5E9" w14:paraId="3BDF73B1" w14:textId="1DECE095">
      <w:pPr>
        <w:pStyle w:val="Normal"/>
        <w:spacing w:before="0" w:beforeAutospacing="off" w:after="120" w:afterAutospacing="off" w:line="240" w:lineRule="auto"/>
        <w:ind w:left="0" w:firstLine="0"/>
        <w:jc w:val="both"/>
        <w:rPr>
          <w:b w:val="1"/>
          <w:bCs w:val="1"/>
        </w:rPr>
      </w:pPr>
      <w:r w:rsidRPr="46B80AED" w:rsidR="185DE5E9">
        <w:rPr>
          <w:b w:val="1"/>
          <w:bCs w:val="1"/>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left="0" w:firstLine="0"/>
        <w:jc w:val="both"/>
      </w:pPr>
      <w:r w:rsidR="185DE5E9">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left="0"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left="0"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ind w:firstLine="0" w:left="0"/>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ind w:firstLine="0" w:left="0"/>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ind w:firstLine="0" w:left="0"/>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ind w:firstLine="0" w:left="0"/>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ind w:firstLine="0" w:left="0"/>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ind w:firstLine="0" w:left="0"/>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ind w:firstLine="0" w:left="0"/>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ind w:firstLine="0" w:left="0"/>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ind w:firstLine="0" w:left="0"/>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ind w:firstLine="0" w:left="0"/>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ind w:firstLine="0" w:left="0"/>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ind w:firstLine="0" w:left="0"/>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ind w:firstLine="0" w:left="0"/>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ind w:firstLine="0" w:left="0"/>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ind w:firstLine="0" w:left="0"/>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ind w:firstLine="0" w:left="0"/>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ind w:firstLine="0" w:left="0"/>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ind w:firstLine="0" w:left="0"/>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ind w:firstLine="0" w:left="0"/>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ind w:firstLine="0" w:left="0"/>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ind w:firstLine="0" w:left="0"/>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ind w:firstLine="0" w:left="0"/>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ind w:firstLine="0" w:left="0"/>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ind w:firstLine="0" w:left="0"/>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ind w:firstLine="0" w:left="0"/>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ind w:firstLine="0" w:left="0"/>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ind w:firstLine="0" w:left="0"/>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ind w:firstLine="0" w:left="0"/>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ind w:firstLine="0" w:left="0"/>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ind w:firstLine="0" w:left="0"/>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ind w:firstLine="0" w:left="0"/>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ind w:firstLine="0" w:left="0"/>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ind w:firstLine="0" w:left="0"/>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ind w:firstLine="0" w:left="0"/>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ind w:firstLine="0" w:left="0"/>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ind w:firstLine="0" w:left="0"/>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ind w:firstLine="0" w:left="0"/>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ind w:firstLine="0" w:left="0"/>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ind w:firstLine="0" w:left="0"/>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ind w:firstLine="0" w:left="0"/>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ind w:firstLine="0" w:left="0"/>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ind w:firstLine="0" w:left="0"/>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left="0" w:firstLine="0"/>
        <w:jc w:val="both"/>
        <w:rPr>
          <w:sz w:val="18"/>
          <w:szCs w:val="18"/>
        </w:rPr>
      </w:pPr>
      <w:r w:rsidRPr="46B80AED" w:rsidR="7645FF3E">
        <w:rPr>
          <w:sz w:val="20"/>
          <w:szCs w:val="20"/>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rsidR="185DE5E9" w:rsidP="46B80AED" w:rsidRDefault="185DE5E9" w14:paraId="5C6210CE" w14:textId="4E3B3A1F">
      <w:pPr>
        <w:pStyle w:val="Normal"/>
        <w:spacing w:before="0" w:beforeAutospacing="off" w:after="120" w:afterAutospacing="off" w:line="240" w:lineRule="auto"/>
        <w:ind w:left="0" w:firstLine="0"/>
        <w:jc w:val="both"/>
      </w:pPr>
      <w:r w:rsidR="185DE5E9">
        <w:rPr/>
        <w:t>A análise do discurso executivo revelou a prevalência de linguagem pautada no determinismo tecnológico (</w:t>
      </w:r>
      <w:r w:rsidR="185DE5E9">
        <w:rPr/>
        <w:t>Fairclough</w:t>
      </w:r>
      <w:r w:rsidR="185DE5E9">
        <w:rPr/>
        <w:t>, 2003). De fato, quatro das seis corporações (</w:t>
      </w:r>
      <w:r w:rsidR="185DE5E9">
        <w:rPr/>
        <w:t>Salesforce</w:t>
      </w:r>
      <w:r w:rsidR="185DE5E9">
        <w:rPr/>
        <w:t xml:space="preserve">, Dropbox, Block e IBM) estruturaram suas comunicações apresentando a inteligência artificial (IA) como uma força exógena e inevitável. Como evidência disso, o executivo da </w:t>
      </w:r>
      <w:r w:rsidR="185DE5E9">
        <w:rPr/>
        <w:t>Salesforce</w:t>
      </w:r>
      <w:r w:rsidR="185DE5E9">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t>Meckling</w:t>
      </w:r>
      <w:r w:rsidR="185DE5E9">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t>Kenney</w:t>
      </w:r>
      <w:r w:rsidR="185DE5E9">
        <w:rPr/>
        <w:t xml:space="preserve"> &amp; </w:t>
      </w:r>
      <w:r w:rsidR="185DE5E9">
        <w:rPr/>
        <w:t>Zysman</w:t>
      </w:r>
      <w:r w:rsidR="185DE5E9">
        <w:rPr/>
        <w:t>, 2016).</w:t>
      </w:r>
    </w:p>
    <w:p w:rsidR="185DE5E9" w:rsidP="46B80AED" w:rsidRDefault="185DE5E9" w14:paraId="06ACF03A" w14:textId="1498465F">
      <w:pPr>
        <w:pStyle w:val="Normal"/>
        <w:spacing w:before="0" w:beforeAutospacing="off" w:after="120" w:afterAutospacing="off" w:line="240" w:lineRule="auto"/>
        <w:ind w:left="0" w:firstLine="0"/>
        <w:jc w:val="both"/>
        <w:rPr>
          <w:b w:val="1"/>
          <w:bCs w:val="1"/>
        </w:rPr>
      </w:pPr>
      <w:r w:rsidRPr="46B80AED" w:rsidR="185DE5E9">
        <w:rPr>
          <w:b w:val="1"/>
          <w:bCs w:val="1"/>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left="0" w:firstLine="0"/>
        <w:jc w:val="both"/>
      </w:pPr>
      <w:r w:rsidR="185DE5E9">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t>Bäck</w:t>
      </w:r>
      <w:r w:rsidR="185DE5E9">
        <w:rPr/>
        <w:t xml:space="preserve"> et al. (2025) sugerem que a adoção de sistemas autônomos raramente se traduz em expansão imediata de output nas demonstrações contábeis.</w:t>
      </w:r>
    </w:p>
    <w:p w:rsidR="185DE5E9" w:rsidP="46B80AED" w:rsidRDefault="185DE5E9" w14:paraId="22E44A98" w14:textId="26CE3A65">
      <w:pPr>
        <w:pStyle w:val="Normal"/>
        <w:spacing w:before="0" w:beforeAutospacing="off" w:after="120" w:afterAutospacing="off" w:line="240" w:lineRule="auto"/>
        <w:ind w:left="0" w:firstLine="0"/>
        <w:jc w:val="both"/>
      </w:pPr>
      <w:r w:rsidR="185DE5E9">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left="0"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left="0"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ind w:firstLine="0" w:left="0"/>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ind w:firstLine="0" w:left="0"/>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ind w:firstLine="0" w:left="0"/>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ind w:firstLine="0" w:left="0"/>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ind w:firstLine="0" w:left="0"/>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ind w:firstLine="0" w:left="0"/>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ind w:firstLine="0" w:left="0"/>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ind w:firstLine="0" w:left="0"/>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ind w:firstLine="0" w:left="0"/>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ind w:firstLine="0" w:left="0"/>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ind w:firstLine="0" w:left="0"/>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ind w:firstLine="0" w:left="0"/>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ind w:firstLine="0" w:left="0"/>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ind w:firstLine="0" w:left="0"/>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ind w:firstLine="0" w:left="0"/>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ind w:firstLine="0" w:left="0"/>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ind w:firstLine="0" w:left="0"/>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ind w:firstLine="0" w:left="0"/>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ind w:firstLine="0" w:left="0"/>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ind w:firstLine="0" w:left="0"/>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ind w:firstLine="0" w:left="0"/>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ind w:firstLine="0" w:left="0"/>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ind w:firstLine="0" w:left="0"/>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ind w:firstLine="0" w:left="0"/>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ind w:firstLine="0" w:left="0"/>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ind w:firstLine="0" w:left="0"/>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ind w:firstLine="0" w:left="0"/>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ind w:firstLine="0" w:left="0"/>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ind w:firstLine="0" w:left="0"/>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ind w:firstLine="0" w:left="0"/>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ind w:firstLine="0" w:left="0"/>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ind w:firstLine="0" w:left="0"/>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ind w:firstLine="0" w:left="0"/>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ind w:firstLine="0" w:left="0"/>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ind w:firstLine="0" w:left="0"/>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left="0" w:firstLine="0"/>
        <w:jc w:val="both"/>
        <w:rPr>
          <w:sz w:val="18"/>
          <w:szCs w:val="18"/>
        </w:rPr>
      </w:pPr>
      <w:r w:rsidRPr="46B80AED" w:rsidR="26D5C90A">
        <w:rPr>
          <w:sz w:val="20"/>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left="0" w:firstLine="0"/>
        <w:jc w:val="both"/>
      </w:pPr>
      <w:r w:rsidR="185DE5E9">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t>Minton</w:t>
      </w:r>
      <w:r w:rsidR="185DE5E9">
        <w:rPr/>
        <w:t xml:space="preserve">, 2012). Portanto, as decisões de desligamento parecem responder primariamente à necessidade gerencial de maximização do </w:t>
      </w:r>
      <w:r w:rsidR="185DE5E9">
        <w:rPr/>
        <w:t>free</w:t>
      </w:r>
      <w:r w:rsidR="185DE5E9">
        <w:rPr/>
        <w:t xml:space="preserve"> cash </w:t>
      </w:r>
      <w:r w:rsidR="185DE5E9">
        <w:rPr/>
        <w:t>flow</w:t>
      </w:r>
      <w:r w:rsidR="185DE5E9">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left="0" w:firstLine="0"/>
        <w:jc w:val="both"/>
      </w:pPr>
      <w:r w:rsidR="185DE5E9">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left="0" w:firstLine="0"/>
        <w:jc w:val="both"/>
        <w:rPr>
          <w:b w:val="1"/>
          <w:bCs w:val="1"/>
          <w:sz w:val="20"/>
          <w:szCs w:val="20"/>
        </w:rPr>
      </w:pPr>
      <w:r w:rsidRPr="46B80AED" w:rsidR="284A3AF5">
        <w:rPr>
          <w:b w:val="1"/>
          <w:bCs w:val="1"/>
          <w:sz w:val="20"/>
          <w:szCs w:val="20"/>
        </w:rPr>
        <w:t xml:space="preserve">Figura 1 </w:t>
      </w:r>
    </w:p>
    <w:p w:rsidR="284A3AF5" w:rsidP="46B80AED" w:rsidRDefault="284A3AF5" w14:paraId="0E7FE545" w14:textId="231B6962">
      <w:pPr>
        <w:pStyle w:val="Normal"/>
        <w:spacing w:before="0" w:beforeAutospacing="off" w:after="120" w:afterAutospacing="off" w:line="240" w:lineRule="auto"/>
        <w:ind w:left="0" w:firstLine="0"/>
        <w:jc w:val="both"/>
        <w:rPr>
          <w:i w:val="1"/>
          <w:iCs w:val="1"/>
          <w:sz w:val="20"/>
          <w:szCs w:val="20"/>
        </w:rPr>
      </w:pPr>
      <w:r w:rsidRPr="46B80AED" w:rsidR="284A3AF5">
        <w:rPr>
          <w:i w:val="1"/>
          <w:iCs w:val="1"/>
          <w:sz w:val="20"/>
          <w:szCs w:val="20"/>
        </w:rPr>
        <w:t>Relação Percentual entre Redução Funcional e Faturamento Corporativo</w:t>
      </w:r>
    </w:p>
    <w:p xmlns:a="http://schemas.openxmlformats.org/drawingml/2006/main" w:rsidR="464375D5" w:rsidP="46B80AED" w:rsidRDefault="464375D5" w14:paraId="73792FBB" w14:textId="25A7F903">
      <w:pPr>
        <w:pStyle w:val="Normal"/>
        <w:spacing w:before="0" w:beforeAutospacing="off" w:after="120" w:afterAutospacing="off" w:line="240" w:lineRule="auto"/>
        <w:ind w:left="0" w:firstLine="0"/>
        <w:jc w:val="both"/>
        <w:rPr>
          <w:sz w:val="20"/>
          <w:szCs w:val="20"/>
        </w:rPr>
      </w:pPr>
      <w:r w:rsidR="464375D5">
        <w:drawing>
          <wp:inline wp14:editId="206F7498" wp14:anchorId="0929772C">
            <wp:extent cx="5695950" cy="2841688"/>
            <wp:effectExtent l="0" t="0" r="0" b="0"/>
            <wp:docPr id="1351827772" name="drawing"/>
            <wp:cNvGraphicFramePr>
              <a:graphicFrameLocks noChangeAspect="1"/>
            </wp:cNvGraphicFramePr>
            <a:graphic>
              <a:graphicData uri="http://schemas.openxmlformats.org/drawingml/2006/picture">
                <pic:pic xmlns:pic="http://schemas.openxmlformats.org/drawingml/2006/picture">
                  <pic:nvPicPr>
                    <pic:cNvPr id="1351827772" name="Picture 1351827772"/>
                    <pic:cNvPicPr/>
                  </pic:nvPicPr>
                  <pic:blipFill>
                    <a:blip r:embed="rId237153221">
                      <a:extLst>
                        <a:ext uri="{28A0092B-C50C-407E-A947-70E740481C1C}">
                          <a14:useLocalDpi xmlns:a14="http://schemas.microsoft.com/office/drawing/2010/main"/>
                        </a:ext>
                      </a:extLst>
                    </a:blip>
                    <a:stretch>
                      <a:fillRect/>
                    </a:stretch>
                  </pic:blipFill>
                  <pic:spPr>
                    <a:xfrm rot="0">
                      <a:off x="0" y="0"/>
                      <a:ext cx="5695950" cy="2841688"/>
                    </a:xfrm>
                    <a:prstGeom prst="rect">
                      <a:avLst/>
                    </a:prstGeom>
                  </pic:spPr>
                </pic:pic>
              </a:graphicData>
            </a:graphic>
          </wp:inline>
        </w:drawing>
      </w:r>
      <w:r w:rsidRPr="46B80AED" w:rsidR="185DE5E9">
        <w:rPr>
          <w:sz w:val="20"/>
          <w:szCs w:val="20"/>
        </w:rPr>
        <w:t>Fonte: Elaborada pelo autor (2026).</w:t>
      </w:r>
    </w:p>
    <w:p w:rsidR="185DE5E9" w:rsidP="46B80AED" w:rsidRDefault="185DE5E9" w14:paraId="35CBDAE5" w14:textId="00CC9157">
      <w:pPr>
        <w:pStyle w:val="Normal"/>
        <w:spacing w:before="0" w:beforeAutospacing="off" w:after="120" w:afterAutospacing="off" w:line="240" w:lineRule="auto"/>
        <w:ind w:left="0" w:firstLine="0"/>
        <w:jc w:val="both"/>
      </w:pPr>
      <w:r w:rsidR="185DE5E9">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Normal"/>
        <w:spacing w:before="0" w:beforeAutospacing="off" w:after="120" w:afterAutospacing="off" w:line="240" w:lineRule="auto"/>
        <w:ind w:left="0" w:firstLine="0"/>
        <w:jc w:val="both"/>
        <w:rPr>
          <w:b w:val="1"/>
          <w:bCs w:val="1"/>
        </w:rPr>
      </w:pPr>
      <w:r w:rsidRPr="46B80AED" w:rsidR="185DE5E9">
        <w:rPr>
          <w:b w:val="1"/>
          <w:bCs w:val="1"/>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left="0" w:firstLine="0"/>
        <w:jc w:val="both"/>
      </w:pPr>
      <w:r w:rsidR="185DE5E9">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t>headcount</w:t>
      </w:r>
      <w:r w:rsidR="185DE5E9">
        <w:rPr/>
        <w:t>.</w:t>
      </w:r>
    </w:p>
    <w:p w:rsidR="7F2F182A" w:rsidP="46B80AED" w:rsidRDefault="7F2F182A" w14:paraId="04E2FBA0" w14:textId="55FE49D1">
      <w:pPr>
        <w:spacing w:before="0" w:beforeAutospacing="off" w:after="120" w:afterAutospacing="off" w:line="240" w:lineRule="auto"/>
        <w:ind w:left="0"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left="0"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ind w:firstLine="0" w:left="0"/>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ind w:firstLine="0" w:left="0"/>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ind w:firstLine="0" w:left="0"/>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ind w:firstLine="0" w:left="0"/>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ind w:firstLine="0" w:left="0"/>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ind w:firstLine="0" w:left="0"/>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ind w:firstLine="0" w:left="0"/>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ind w:firstLine="0" w:left="0"/>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ind w:firstLine="0" w:left="0"/>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ind w:firstLine="0" w:left="0"/>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ind w:firstLine="0" w:left="0"/>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ind w:firstLine="0" w:left="0"/>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ind w:firstLine="0" w:left="0"/>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ind w:firstLine="0" w:left="0"/>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ind w:firstLine="0" w:left="0"/>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ind w:firstLine="0" w:left="0"/>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ind w:firstLine="0" w:left="0"/>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ind w:firstLine="0" w:left="0"/>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ind w:firstLine="0" w:left="0"/>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ind w:firstLine="0" w:left="0"/>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ind w:firstLine="0" w:left="0"/>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ind w:firstLine="0" w:left="0"/>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ind w:firstLine="0" w:left="0"/>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ind w:firstLine="0" w:left="0"/>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ind w:firstLine="0" w:left="0"/>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ind w:firstLine="0" w:left="0"/>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ind w:firstLine="0" w:left="0"/>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ind w:firstLine="0" w:left="0"/>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ind w:firstLine="0" w:left="0"/>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ind w:firstLine="0" w:left="0"/>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ind w:firstLine="0" w:left="0"/>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ind w:firstLine="0" w:left="0"/>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ind w:firstLine="0" w:left="0"/>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ind w:firstLine="0" w:left="0"/>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ind w:firstLine="0" w:left="0"/>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ind w:firstLine="0" w:left="0"/>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ind w:firstLine="0" w:left="0"/>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ind w:firstLine="0" w:left="0"/>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ind w:firstLine="0" w:left="0"/>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ind w:firstLine="0" w:left="0"/>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ind w:firstLine="0" w:left="0"/>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ind w:firstLine="0" w:left="0"/>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left="0" w:firstLine="0"/>
        <w:jc w:val="both"/>
        <w:rPr>
          <w:sz w:val="18"/>
          <w:szCs w:val="18"/>
        </w:rPr>
      </w:pPr>
      <w:r w:rsidRPr="46B80AED" w:rsidR="3134EF7E">
        <w:rPr>
          <w:sz w:val="20"/>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left="0" w:firstLine="0"/>
        <w:jc w:val="both"/>
        <w:rPr>
          <w:b w:val="1"/>
          <w:bCs w:val="1"/>
          <w:sz w:val="20"/>
          <w:szCs w:val="20"/>
        </w:rPr>
      </w:pPr>
      <w:r w:rsidRPr="46B80AED" w:rsidR="185DE5E9">
        <w:rPr>
          <w:b w:val="1"/>
          <w:bCs w:val="1"/>
          <w:sz w:val="20"/>
          <w:szCs w:val="20"/>
        </w:rPr>
        <w:t xml:space="preserve">Figura 2 </w:t>
      </w:r>
    </w:p>
    <w:p w:rsidR="185DE5E9" w:rsidP="46B80AED" w:rsidRDefault="185DE5E9" w14:paraId="2F9B5486" w14:textId="1960F50E">
      <w:pPr>
        <w:pStyle w:val="Normal"/>
        <w:spacing w:before="0" w:beforeAutospacing="off" w:after="120" w:afterAutospacing="off" w:line="240" w:lineRule="auto"/>
        <w:ind w:left="0" w:firstLine="0"/>
        <w:jc w:val="both"/>
        <w:rPr>
          <w:i w:val="1"/>
          <w:iCs w:val="1"/>
          <w:sz w:val="20"/>
          <w:szCs w:val="20"/>
        </w:rPr>
      </w:pPr>
      <w:r w:rsidRPr="46B80AED" w:rsidR="185DE5E9">
        <w:rPr>
          <w:i w:val="1"/>
          <w:iCs w:val="1"/>
          <w:sz w:val="20"/>
          <w:szCs w:val="20"/>
        </w:rPr>
        <w:t xml:space="preserve">Evolução do Quadro de Colaboradores: </w:t>
      </w:r>
      <w:r w:rsidRPr="46B80AED" w:rsidR="185DE5E9">
        <w:rPr>
          <w:i w:val="1"/>
          <w:iCs w:val="1"/>
          <w:sz w:val="20"/>
          <w:szCs w:val="20"/>
        </w:rPr>
        <w:t>Pré</w:t>
      </w:r>
      <w:r w:rsidRPr="46B80AED" w:rsidR="185DE5E9">
        <w:rPr>
          <w:i w:val="1"/>
          <w:iCs w:val="1"/>
          <w:sz w:val="20"/>
          <w:szCs w:val="20"/>
        </w:rPr>
        <w:t>-pandemia, Pico e Pós-demissão</w:t>
      </w:r>
    </w:p>
    <w:p w:rsidR="185DE5E9" w:rsidP="46B80AED" w:rsidRDefault="185DE5E9" w14:paraId="1C2D7914" w14:textId="349C37FD">
      <w:pPr>
        <w:pStyle w:val="Normal"/>
        <w:spacing w:before="0" w:beforeAutospacing="off" w:after="120" w:afterAutospacing="off" w:line="240" w:lineRule="auto"/>
        <w:ind w:left="0" w:firstLine="0"/>
        <w:jc w:val="both"/>
        <w:rPr>
          <w:sz w:val="20"/>
          <w:szCs w:val="20"/>
        </w:rPr>
      </w:pPr>
      <w:r w:rsidRPr="46B80AED" w:rsidR="185DE5E9">
        <w:rPr>
          <w:sz w:val="20"/>
          <w:szCs w:val="20"/>
        </w:rPr>
        <w:t>Fonte: Elaborada pelo autor (2026).</w:t>
      </w:r>
    </w:p>
    <w:p w:rsidR="185DE5E9" w:rsidP="46B80AED" w:rsidRDefault="185DE5E9" w14:paraId="5EB2C2A6" w14:textId="5D1D53F9">
      <w:pPr>
        <w:pStyle w:val="Normal"/>
        <w:spacing w:before="0" w:beforeAutospacing="off" w:after="120" w:afterAutospacing="off" w:line="240" w:lineRule="auto"/>
        <w:ind w:left="0" w:firstLine="0"/>
        <w:jc w:val="both"/>
      </w:pPr>
      <w:r w:rsidR="185DE5E9">
        <w:rPr/>
        <w:t xml:space="preserve">Os registros indicam que a maioria das corporações encerrou o ciclo de desligamentos mantendo contingentes superiores aos reportados em 2019. Como evidência disso, a </w:t>
      </w:r>
      <w:r w:rsidR="185DE5E9">
        <w:rPr/>
        <w:t>Salesforce</w:t>
      </w:r>
      <w:r w:rsidR="185DE5E9">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left="0" w:firstLine="0"/>
        <w:jc w:val="both"/>
      </w:pPr>
      <w:r w:rsidR="185DE5E9">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ind w:left="0"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0"/>
          <w:szCs w:val="20"/>
          <w:lang w:val="pt-BR"/>
        </w:rPr>
        <w:t>Tabela 4</w:t>
      </w:r>
    </w:p>
    <w:p w:rsidR="60DF2635" w:rsidP="46B80AED" w:rsidRDefault="60DF2635" w14:paraId="04F9FCE3" w14:textId="333A31EB">
      <w:pPr>
        <w:spacing w:before="0" w:beforeAutospacing="off" w:after="120" w:afterAutospacing="off"/>
        <w:ind w:left="0"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0"/>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ind w:firstLine="0" w:left="0"/>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ind w:firstLine="0" w:left="0"/>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ind w:firstLine="0" w:left="0"/>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ind w:firstLine="0" w:left="0"/>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ind w:firstLine="0" w:left="0"/>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ind w:firstLine="0" w:left="0"/>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ind w:firstLine="0" w:left="0"/>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ind w:firstLine="0" w:left="0"/>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ind w:firstLine="0" w:left="0"/>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ind w:firstLine="0" w:left="0"/>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ind w:firstLine="0" w:left="0"/>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ind w:firstLine="0" w:left="0"/>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ind w:firstLine="0" w:left="0"/>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ind w:firstLine="0" w:left="0"/>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ind w:firstLine="0" w:left="0"/>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ind w:firstLine="0" w:left="0"/>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ind w:firstLine="0" w:left="0"/>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ind w:firstLine="0" w:left="0"/>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ind w:firstLine="0" w:left="0"/>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ind w:firstLine="0" w:left="0"/>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ind w:firstLine="0" w:left="0"/>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left="0" w:firstLine="0"/>
        <w:jc w:val="both"/>
        <w:rPr>
          <w:sz w:val="18"/>
          <w:szCs w:val="18"/>
        </w:rPr>
      </w:pPr>
      <w:r w:rsidRPr="46B80AED" w:rsidR="185DE5E9">
        <w:rPr>
          <w:sz w:val="20"/>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left="0" w:firstLine="0"/>
        <w:jc w:val="both"/>
      </w:pPr>
      <w:r w:rsidR="185DE5E9">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Normal"/>
        <w:spacing w:before="0" w:beforeAutospacing="off" w:after="120" w:afterAutospacing="off" w:line="240" w:lineRule="auto"/>
        <w:ind w:left="0" w:firstLine="0"/>
        <w:jc w:val="both"/>
        <w:rPr>
          <w:b w:val="1"/>
          <w:bCs w:val="1"/>
        </w:rPr>
      </w:pPr>
      <w:r w:rsidRPr="46B80AED" w:rsidR="185DE5E9">
        <w:rPr>
          <w:b w:val="1"/>
          <w:bCs w:val="1"/>
        </w:rPr>
        <w:t xml:space="preserve">4.4 Heterogeneidade do Fenômeno: Níveis de AI </w:t>
      </w:r>
      <w:r w:rsidRPr="46B80AED" w:rsidR="185DE5E9">
        <w:rPr>
          <w:b w:val="1"/>
          <w:bCs w:val="1"/>
        </w:rPr>
        <w:t>Scapegoating</w:t>
      </w:r>
      <w:r w:rsidRPr="46B80AED" w:rsidR="185DE5E9">
        <w:rPr>
          <w:b w:val="1"/>
          <w:bCs w:val="1"/>
        </w:rPr>
        <w:t xml:space="preserve"> </w:t>
      </w:r>
    </w:p>
    <w:p w:rsidR="185DE5E9" w:rsidP="46B80AED" w:rsidRDefault="185DE5E9" w14:paraId="07F44EE7" w14:textId="016BA19F">
      <w:pPr>
        <w:pStyle w:val="Normal"/>
        <w:spacing w:before="0" w:beforeAutospacing="off" w:after="120" w:afterAutospacing="off" w:line="240" w:lineRule="auto"/>
        <w:ind w:left="0" w:firstLine="0"/>
        <w:jc w:val="both"/>
      </w:pPr>
      <w:r w:rsidR="185DE5E9">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t>Scapegoating</w:t>
      </w:r>
      <w:r w:rsidR="185DE5E9">
        <w:rPr/>
        <w:t xml:space="preserve"> Forte, compreende a </w:t>
      </w:r>
      <w:r w:rsidR="185DE5E9">
        <w:rPr/>
        <w:t>Salesforce</w:t>
      </w:r>
      <w:r w:rsidR="185DE5E9">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left="0" w:firstLine="0"/>
        <w:jc w:val="both"/>
      </w:pPr>
      <w:r w:rsidR="185DE5E9">
        <w:rPr/>
        <w:t xml:space="preserve">O segundo grupo, definido como AI </w:t>
      </w:r>
      <w:r w:rsidR="185DE5E9">
        <w:rPr/>
        <w:t>Scapegoating</w:t>
      </w:r>
      <w:r w:rsidR="185DE5E9">
        <w:rPr/>
        <w:t xml:space="preserve"> Moderado, abarca a Cisco, a </w:t>
      </w:r>
      <w:r w:rsidR="185DE5E9">
        <w:rPr/>
        <w:t>Intuit</w:t>
      </w:r>
      <w:r w:rsidR="185DE5E9">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t xml:space="preserve">como </w:t>
      </w:r>
      <w:r w:rsidR="7879AC91">
        <w:rPr/>
        <w:t>“a</w:t>
      </w:r>
      <w:r w:rsidR="185DE5E9">
        <w:rPr/>
        <w:t>mbíguo</w:t>
      </w:r>
      <w:r w:rsidR="7907F65C">
        <w:rPr/>
        <w:t>”</w:t>
      </w:r>
      <w:r w:rsidR="185DE5E9">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t>Watsonx</w:t>
      </w:r>
      <w:r w:rsidR="185DE5E9">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Normal"/>
        <w:spacing w:before="0" w:beforeAutospacing="off" w:after="120" w:afterAutospacing="off" w:line="240" w:lineRule="auto"/>
        <w:ind w:left="0" w:firstLine="0"/>
        <w:jc w:val="both"/>
        <w:rPr>
          <w:b w:val="1"/>
          <w:bCs w:val="1"/>
        </w:rPr>
      </w:pPr>
      <w:r w:rsidRPr="46B80AED" w:rsidR="185DE5E9">
        <w:rPr>
          <w:b w:val="1"/>
          <w:bCs w:val="1"/>
        </w:rPr>
        <w:t>5. Conclusão</w:t>
      </w:r>
    </w:p>
    <w:p w:rsidR="185DE5E9" w:rsidP="46B80AED" w:rsidRDefault="185DE5E9" w14:paraId="72DE21DE" w14:textId="05615598">
      <w:pPr>
        <w:pStyle w:val="Normal"/>
        <w:spacing w:before="0" w:beforeAutospacing="off" w:after="120" w:afterAutospacing="off" w:line="240" w:lineRule="auto"/>
        <w:ind w:left="0" w:firstLine="0"/>
        <w:jc w:val="both"/>
        <w:rPr>
          <w:b w:val="1"/>
          <w:bCs w:val="1"/>
        </w:rPr>
      </w:pPr>
      <w:r w:rsidRPr="46B80AED" w:rsidR="185DE5E9">
        <w:rPr>
          <w:b w:val="1"/>
          <w:bCs w:val="1"/>
        </w:rPr>
        <w:t xml:space="preserve">5.1 Síntese e Contribuições </w:t>
      </w:r>
    </w:p>
    <w:p w:rsidR="185DE5E9" w:rsidP="46B80AED" w:rsidRDefault="185DE5E9" w14:paraId="13616D22" w14:textId="506A955E">
      <w:pPr>
        <w:pStyle w:val="Normal"/>
        <w:spacing w:before="0" w:beforeAutospacing="off" w:after="120" w:afterAutospacing="off" w:line="240" w:lineRule="auto"/>
        <w:ind w:left="0" w:firstLine="0"/>
        <w:jc w:val="both"/>
      </w:pPr>
      <w:r w:rsidR="185DE5E9">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left="0" w:firstLine="0"/>
        <w:jc w:val="both"/>
      </w:pPr>
      <w:r w:rsidR="185DE5E9">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t>Scapegoating</w:t>
      </w:r>
      <w:r w:rsidR="185DE5E9">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rsidR="185DE5E9" w:rsidP="46B80AED" w:rsidRDefault="185DE5E9" w14:paraId="18D2FD50" w14:textId="339B97C7">
      <w:pPr>
        <w:pStyle w:val="Normal"/>
        <w:spacing w:before="0" w:beforeAutospacing="off" w:after="120" w:afterAutospacing="off" w:line="240" w:lineRule="auto"/>
        <w:ind w:left="0" w:firstLine="0"/>
        <w:jc w:val="both"/>
        <w:rPr>
          <w:b w:val="1"/>
          <w:bCs w:val="1"/>
        </w:rPr>
      </w:pPr>
      <w:r w:rsidRPr="46B80AED" w:rsidR="185DE5E9">
        <w:rPr>
          <w:b w:val="1"/>
          <w:bCs w:val="1"/>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left="0" w:firstLine="0"/>
        <w:jc w:val="both"/>
      </w:pPr>
      <w:r w:rsidR="185DE5E9">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left="0" w:firstLine="0"/>
        <w:jc w:val="both"/>
      </w:pPr>
      <w:r w:rsidR="185DE5E9">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rsidR="185DE5E9" w:rsidP="46B80AED" w:rsidRDefault="185DE5E9" w14:paraId="02DD98F6" w14:textId="4B373ACC">
      <w:pPr>
        <w:pStyle w:val="Normal"/>
        <w:spacing w:before="0" w:beforeAutospacing="off" w:after="120" w:afterAutospacing="off" w:line="240" w:lineRule="auto"/>
        <w:ind w:left="0" w:firstLine="0"/>
        <w:jc w:val="both"/>
        <w:rPr>
          <w:b w:val="1"/>
          <w:bCs w:val="1"/>
        </w:rPr>
      </w:pPr>
      <w:r w:rsidRPr="46B80AED" w:rsidR="185DE5E9">
        <w:rPr>
          <w:b w:val="1"/>
          <w:bCs w:val="1"/>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left="0" w:firstLine="0"/>
        <w:jc w:val="both"/>
      </w:pPr>
      <w:r w:rsidR="185DE5E9">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b w:val="1"/>
          <w:bCs w:val="1"/>
        </w:rPr>
        <w:t>Referências</w:t>
      </w:r>
    </w:p>
    <w:p w:rsidR="465684DF" w:rsidP="46B80AED" w:rsidRDefault="465684DF" w14:paraId="01D4B341" w14:textId="3F5641D0">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0" w:beforeAutospacing="off" w:after="120" w:afterAutospacing="off"/>
        <w:ind w:left="0" w:firstLine="0"/>
        <w:jc w:val="both"/>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