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4803718" w14:textId="28353B0A">
      <w:pPr>
        <w:pBdr/>
        <w:spacing/>
        <w:ind/>
        <w:jc w:val="center"/>
        <w:rPr>
          <w:rFonts w:ascii="Times New Roman" w:hAnsi="Times New Roman" w:eastAsia="Times New Roman" w:cs="Times New Roman"/>
          <w:b/>
          <w:bCs/>
          <w:highlight w:val="none"/>
        </w:rPr>
      </w:pPr>
      <w:r>
        <w:rPr>
          <w:rFonts w:ascii="Times New Roman" w:hAnsi="Times New Roman" w:eastAsia="Times New Roman" w:cs="Times New Roman"/>
        </w:rPr>
      </w:r>
      <w:r>
        <w:rPr>
          <w:rFonts w:ascii="Times New Roman" w:hAnsi="Times New Roman" w:eastAsia="Times New Roman" w:cs="Times New Roman"/>
          <w:b/>
          <w:bCs/>
        </w:rPr>
        <w:t xml:space="preserve">COMPLIANCE ALGORÍTMICO EM COMPRAS PÚBLICAS DE INOVAÇÃO</w:t>
      </w:r>
      <w:r>
        <w:rPr>
          <w:rFonts w:ascii="Times New Roman" w:hAnsi="Times New Roman" w:eastAsia="Times New Roman" w:cs="Times New Roman"/>
          <w:b/>
          <w:bCs/>
        </w:rPr>
      </w:r>
      <w:r>
        <w:rPr>
          <w:rFonts w:ascii="Times New Roman" w:hAnsi="Times New Roman" w:cs="Times New Roman"/>
          <w:b/>
          <w:bCs/>
        </w:rPr>
      </w:r>
    </w:p>
    <w:p w14:paraId="0897CE39">
      <w:pPr>
        <w:pBdr/>
        <w:spacing/>
        <w:ind/>
        <w:jc w:val="center"/>
        <w:rPr>
          <w:rFonts w:ascii="Times New Roman" w:hAnsi="Times New Roman" w:cs="Times New Roman"/>
          <w:b/>
          <w:bCs/>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1624F437" w14:textId="17FAA192">
      <w:pPr>
        <w:pBdr/>
        <w:spacing w:after="0"/>
        <w:ind/>
        <w:jc w:val="right"/>
        <w:rPr>
          <w:rFonts w:ascii="Times New Roman" w:hAnsi="Times New Roman" w:cs="Times New Roman"/>
          <w:b/>
          <w:bCs/>
          <w:sz w:val="20"/>
          <w:szCs w:val="20"/>
          <w:vertAlign w:val="superscript"/>
        </w:rPr>
      </w:pPr>
      <w:r>
        <w:rPr>
          <w:rFonts w:ascii="Times New Roman" w:hAnsi="Times New Roman" w:eastAsia="Times New Roman" w:cs="Times New Roman"/>
          <w:b/>
          <w:bCs/>
          <w:sz w:val="20"/>
          <w:szCs w:val="20"/>
        </w:rPr>
        <w:t xml:space="preserve">Renato de Oliveira Rosa</w:t>
      </w:r>
      <w:r>
        <w:rPr>
          <w:rFonts w:ascii="Times New Roman" w:hAnsi="Times New Roman" w:eastAsia="Times New Roman" w:cs="Times New Roman"/>
          <w:b/>
          <w:bCs/>
          <w:sz w:val="20"/>
          <w:szCs w:val="20"/>
          <w:vertAlign w:val="superscript"/>
        </w:rPr>
        <w:t xml:space="preserve">1</w:t>
      </w:r>
      <w:r>
        <w:rPr>
          <w:rFonts w:ascii="Times New Roman" w:hAnsi="Times New Roman" w:eastAsia="Times New Roman" w:cs="Times New Roman"/>
          <w:b/>
          <w:bCs/>
          <w:sz w:val="20"/>
          <w:szCs w:val="20"/>
          <w:vertAlign w:val="superscript"/>
        </w:rPr>
      </w:r>
      <w:r>
        <w:rPr>
          <w:rFonts w:ascii="Times New Roman" w:hAnsi="Times New Roman" w:cs="Times New Roman"/>
          <w:b/>
          <w:bCs/>
          <w:sz w:val="20"/>
          <w:szCs w:val="20"/>
          <w:vertAlign w:val="superscript"/>
        </w:rPr>
      </w:r>
    </w:p>
    <w:p w14:paraId="176CE2AD" w14:textId="6DF4B4C2">
      <w:pPr>
        <w:pBdr/>
        <w:spacing w:after="0"/>
        <w:ind/>
        <w:jc w:val="right"/>
        <w:rPr>
          <w:rFonts w:ascii="Times New Roman" w:hAnsi="Times New Roman" w:cs="Times New Roman"/>
          <w:b/>
          <w:bCs/>
          <w:sz w:val="20"/>
          <w:szCs w:val="20"/>
          <w:vertAlign w:val="superscript"/>
        </w:rPr>
      </w:pPr>
      <w:r>
        <w:rPr>
          <w:rFonts w:ascii="Times New Roman" w:hAnsi="Times New Roman" w:eastAsia="Times New Roman" w:cs="Times New Roman"/>
          <w:b/>
          <w:bCs/>
          <w:sz w:val="20"/>
          <w:szCs w:val="20"/>
        </w:rPr>
        <w:t xml:space="preserve">Walter Reis Cabral</w:t>
      </w:r>
      <w:r>
        <w:rPr>
          <w:rFonts w:ascii="Times New Roman" w:hAnsi="Times New Roman" w:eastAsia="Times New Roman" w:cs="Times New Roman"/>
          <w:b/>
          <w:bCs/>
          <w:sz w:val="20"/>
          <w:szCs w:val="20"/>
          <w:vertAlign w:val="superscript"/>
        </w:rPr>
        <w:t xml:space="preserve">2</w:t>
      </w:r>
      <w:r>
        <w:rPr>
          <w:rFonts w:ascii="Times New Roman" w:hAnsi="Times New Roman" w:eastAsia="Times New Roman" w:cs="Times New Roman"/>
          <w:b/>
          <w:bCs/>
          <w:sz w:val="20"/>
          <w:szCs w:val="20"/>
          <w:vertAlign w:val="superscript"/>
        </w:rPr>
      </w:r>
      <w:r>
        <w:rPr>
          <w:rFonts w:ascii="Times New Roman" w:hAnsi="Times New Roman" w:cs="Times New Roman"/>
          <w:b/>
          <w:bCs/>
          <w:sz w:val="20"/>
          <w:szCs w:val="20"/>
          <w:vertAlign w:val="superscript"/>
        </w:rPr>
      </w:r>
    </w:p>
    <w:p w14:paraId="672A6659" w14:textId="77777777">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62DD76C1" w14:textId="77777777">
      <w:pPr>
        <w:pBdr/>
        <w:spacing w:after="0"/>
        <w:ind/>
        <w:jc w:val="both"/>
        <w:rPr>
          <w:rFonts w:ascii="Times New Roman" w:hAnsi="Times New Roman" w:cs="Times New Roman"/>
          <w:b/>
          <w:bCs/>
        </w:rPr>
      </w:pPr>
      <w:r>
        <w:rPr>
          <w:rFonts w:ascii="Times New Roman" w:hAnsi="Times New Roman" w:eastAsia="Times New Roman" w:cs="Times New Roman"/>
        </w:rPr>
      </w:r>
      <w:bookmarkStart w:id="1" w:name="resumo"/>
      <w:r>
        <w:rPr>
          <w:rFonts w:ascii="Times New Roman" w:hAnsi="Times New Roman" w:eastAsia="Times New Roman" w:cs="Times New Roman"/>
          <w:b/>
          <w:bCs/>
        </w:rPr>
        <w:t xml:space="preserve">Resumo</w:t>
      </w:r>
      <w:r>
        <w:rPr>
          <w:rFonts w:ascii="Times New Roman" w:hAnsi="Times New Roman" w:eastAsia="Times New Roman" w:cs="Times New Roman"/>
          <w:b/>
          <w:bCs/>
        </w:rPr>
      </w:r>
      <w:r>
        <w:rPr>
          <w:rFonts w:ascii="Times New Roman" w:hAnsi="Times New Roman" w:cs="Times New Roman"/>
          <w:b/>
          <w:bCs/>
        </w:rPr>
      </w:r>
    </w:p>
    <w:p w14:paraId="2B283739" w14:textId="77777777">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E</w:t>
      </w:r>
      <w:r>
        <w:rPr>
          <w:rFonts w:ascii="Times New Roman" w:hAnsi="Times New Roman" w:eastAsia="Times New Roman" w:cs="Times New Roman"/>
        </w:rPr>
        <w:t xml:space="preserve">ste artigo propõe e valida uma estrutura de compliance algorítmico para compras públicas de inovação no Brasil, articulando Inteligência Artificial Explicável (XAI) e trilhas de auditoria baseadas em blockchain. Nesse contexto, a pesquisa parte do problema</w:t>
      </w:r>
      <w:r>
        <w:rPr>
          <w:rFonts w:ascii="Times New Roman" w:hAnsi="Times New Roman" w:eastAsia="Times New Roman" w:cs="Times New Roman"/>
        </w:rPr>
        <w:t xml:space="preserve"> </w:t>
      </w:r>
      <w:r>
        <w:rPr>
          <w:rFonts w:ascii="Times New Roman" w:hAnsi="Times New Roman" w:eastAsia="Times New Roman" w:cs="Times New Roman"/>
        </w:rPr>
        <w:t xml:space="preserve">do "apagão das canetas", conceituado como a retração decisória de gestores públicos diante da incerteza jurídica, da complexidade normativa e do risco de responsabilização pessoal em contratações não padronizadas. Em contrapartida à adoção de abordagens fo</w:t>
      </w:r>
      <w:r>
        <w:rPr>
          <w:rFonts w:ascii="Times New Roman" w:hAnsi="Times New Roman" w:eastAsia="Times New Roman" w:cs="Times New Roman"/>
        </w:rPr>
        <w:t xml:space="preserve">c</w:t>
      </w:r>
      <w:r>
        <w:rPr>
          <w:rFonts w:ascii="Times New Roman" w:hAnsi="Times New Roman" w:eastAsia="Times New Roman" w:cs="Times New Roman"/>
        </w:rPr>
        <w:t xml:space="preserve">adas na detecção automática de irregularidades, o trabalho desenvolve uma arquitetura de apoio à decisão orientada à classificação explicável de risco processual e à rastreabilidade das justificativas administrativas. Para tanto, a investigação empírica ut</w:t>
      </w:r>
      <w:r>
        <w:rPr>
          <w:rFonts w:ascii="Times New Roman" w:hAnsi="Times New Roman" w:eastAsia="Times New Roman" w:cs="Times New Roman"/>
        </w:rPr>
        <w:t xml:space="preserve">i</w:t>
      </w:r>
      <w:r>
        <w:rPr>
          <w:rFonts w:ascii="Times New Roman" w:hAnsi="Times New Roman" w:eastAsia="Times New Roman" w:cs="Times New Roman"/>
        </w:rPr>
        <w:t xml:space="preserve">liza dados do Portal Nacional de Contratações Públicas (PNCP) referentes ao exercício financeiro de 2024, totalizando 273.309 registros após auditoria e saneamento do conjunto informacional. A partir dessa base, construiu-se um escore ordinal de risco proc</w:t>
      </w:r>
      <w:r>
        <w:rPr>
          <w:rFonts w:ascii="Times New Roman" w:hAnsi="Times New Roman" w:eastAsia="Times New Roman" w:cs="Times New Roman"/>
        </w:rPr>
        <w:t xml:space="preserve">e</w:t>
      </w:r>
      <w:r>
        <w:rPr>
          <w:rFonts w:ascii="Times New Roman" w:hAnsi="Times New Roman" w:eastAsia="Times New Roman" w:cs="Times New Roman"/>
        </w:rPr>
        <w:t xml:space="preserve">ssual para atuar como proxy de atenção regulatória, seguido da realização de uma modelagem comparativa para testar os limites do sistema. Consequentemente, os resultados atestam que o algoritmo de floresta aleatória (random forest) reproduz o escore com ac</w:t>
      </w:r>
      <w:r>
        <w:rPr>
          <w:rFonts w:ascii="Times New Roman" w:hAnsi="Times New Roman" w:eastAsia="Times New Roman" w:cs="Times New Roman"/>
        </w:rPr>
        <w:t xml:space="preserve">u</w:t>
      </w:r>
      <w:r>
        <w:rPr>
          <w:rFonts w:ascii="Times New Roman" w:hAnsi="Times New Roman" w:eastAsia="Times New Roman" w:cs="Times New Roman"/>
        </w:rPr>
        <w:t xml:space="preserve">rácia plena de 1,0000 quando incorpora as variáveis constitutivas da regra, ao passo que a capacidade preditiva da regressão linear múltipla recua para 0,3213 quando tais variáveis são excluídas, evidenciando as restrições inferenciais dos dados observávei</w:t>
      </w:r>
      <w:r>
        <w:rPr>
          <w:rFonts w:ascii="Times New Roman" w:hAnsi="Times New Roman" w:eastAsia="Times New Roman" w:cs="Times New Roman"/>
        </w:rPr>
        <w:t xml:space="preserve">s</w:t>
      </w:r>
      <w:r>
        <w:rPr>
          <w:rFonts w:ascii="Times New Roman" w:hAnsi="Times New Roman" w:eastAsia="Times New Roman" w:cs="Times New Roman"/>
        </w:rPr>
        <w:t xml:space="preserve">. Diante do exposto, conclui-se que a contribuição central do framework não reside na detecção autônoma de ilegalidades, mas na operacionalização e documentação de uma lógica de risco processual capaz de mitigar a incerteza decisória e fortalecer os mecani</w:t>
      </w:r>
      <w:r>
        <w:rPr>
          <w:rFonts w:ascii="Times New Roman" w:hAnsi="Times New Roman" w:eastAsia="Times New Roman" w:cs="Times New Roman"/>
        </w:rPr>
        <w:t xml:space="preserve">smos de accountability nas compras governamentais.</w:t>
      </w:r>
      <w:r>
        <w:rPr>
          <w:rFonts w:ascii="Times New Roman" w:hAnsi="Times New Roman" w:eastAsia="Times New Roman" w:cs="Times New Roman"/>
        </w:rPr>
      </w:r>
      <w:r>
        <w:rPr>
          <w:rFonts w:ascii="Times New Roman" w:hAnsi="Times New Roman" w:cs="Times New Roman"/>
        </w:rPr>
      </w:r>
    </w:p>
    <w:p w14:paraId="39C940A9" w14:textId="78368CB8">
      <w:pPr>
        <w:pBdr/>
        <w:spacing w:after="0"/>
        <w:ind/>
        <w:jc w:val="both"/>
        <w:rPr>
          <w:rFonts w:ascii="Times New Roman" w:hAnsi="Times New Roman" w:cs="Times New Roman"/>
          <w:b/>
          <w:bCs/>
        </w:rPr>
      </w:pPr>
      <w:r>
        <w:rPr>
          <w:rFonts w:ascii="Times New Roman" w:hAnsi="Times New Roman" w:eastAsia="Times New Roman" w:cs="Times New Roman"/>
          <w:b/>
          <w:bCs/>
        </w:rPr>
      </w:r>
      <w:r>
        <w:rPr>
          <w:rFonts w:ascii="Times New Roman" w:hAnsi="Times New Roman" w:eastAsia="Times New Roman" w:cs="Times New Roman"/>
          <w:b/>
          <w:bCs/>
        </w:rPr>
      </w:r>
      <w:r>
        <w:rPr>
          <w:rFonts w:ascii="Times New Roman" w:hAnsi="Times New Roman" w:cs="Times New Roman"/>
          <w:b/>
          <w:bCs/>
        </w:rPr>
      </w:r>
    </w:p>
    <w:p w14:paraId="160CC3AB" w14:textId="598C13A1">
      <w:pPr>
        <w:pBdr/>
        <w:spacing w:after="0"/>
        <w:ind/>
        <w:jc w:val="both"/>
        <w:rPr>
          <w:rFonts w:ascii="Times New Roman" w:hAnsi="Times New Roman" w:cs="Times New Roman"/>
        </w:rPr>
      </w:pPr>
      <w:r>
        <w:rPr>
          <w:rFonts w:ascii="Times New Roman" w:hAnsi="Times New Roman" w:eastAsia="Times New Roman" w:cs="Times New Roman"/>
          <w:b/>
          <w:bCs/>
        </w:rPr>
        <w:t xml:space="preserve">Palavras-chave:</w:t>
      </w:r>
      <w:r>
        <w:rPr>
          <w:rFonts w:ascii="Times New Roman" w:hAnsi="Times New Roman" w:eastAsia="Times New Roman" w:cs="Times New Roman"/>
        </w:rPr>
        <w:t xml:space="preserve"> </w:t>
      </w:r>
      <w:r>
        <w:rPr>
          <w:rFonts w:ascii="Times New Roman" w:hAnsi="Times New Roman" w:eastAsia="Times New Roman" w:cs="Times New Roman"/>
        </w:rPr>
        <w:t xml:space="preserve">Compras públicas de inovação; Compliance algorítmico; Inteligência Artificial Explicável; Risco processual; Retração decisória; Governança de contratações; Política industrial.</w:t>
      </w:r>
      <w:r>
        <w:rPr>
          <w:rFonts w:ascii="Times New Roman" w:hAnsi="Times New Roman" w:eastAsia="Times New Roman" w:cs="Times New Roman"/>
        </w:rPr>
      </w:r>
      <w:r>
        <w:rPr>
          <w:rFonts w:ascii="Times New Roman" w:hAnsi="Times New Roman" w:cs="Times New Roman"/>
        </w:rPr>
      </w:r>
    </w:p>
    <w:p w14:paraId="60600262" w14:textId="0E8A8182">
      <w:pPr>
        <w:pBdr/>
        <w:spacing w:after="0"/>
        <w:ind/>
        <w:jc w:val="both"/>
        <w:rPr>
          <w:rFonts w:ascii="Times New Roman" w:hAnsi="Times New Roman" w:cs="Times New Roman"/>
        </w:rPr>
      </w:pPr>
      <w:r>
        <w:rPr>
          <w:rFonts w:ascii="Times New Roman" w:hAnsi="Times New Roman" w:eastAsia="Times New Roman" w:cs="Times New Roman"/>
        </w:rPr>
      </w:r>
      <w:bookmarkStart w:id="2" w:name="introdução"/>
      <w:r>
        <w:rPr>
          <w:rFonts w:ascii="Times New Roman" w:hAnsi="Times New Roman" w:eastAsia="Times New Roman" w:cs="Times New Roman"/>
        </w:rPr>
      </w:r>
      <w:bookmarkEnd w:id="1"/>
      <w:r>
        <w:rPr>
          <w:rFonts w:ascii="Times New Roman" w:hAnsi="Times New Roman" w:eastAsia="Times New Roman" w:cs="Times New Roman"/>
        </w:rPr>
      </w:r>
      <w:r>
        <w:rPr>
          <w:rFonts w:ascii="Times New Roman" w:hAnsi="Times New Roman" w:cs="Times New Roman"/>
        </w:rPr>
      </w:r>
    </w:p>
    <w:p w14:paraId="0C4D7865" w14:textId="77777777">
      <w:pPr>
        <w:pBdr/>
        <w:spacing w:after="0"/>
        <w:ind/>
        <w:jc w:val="both"/>
        <w:rPr>
          <w:rFonts w:ascii="Times New Roman" w:hAnsi="Times New Roman" w:cs="Times New Roman"/>
          <w:b/>
          <w:bCs/>
        </w:rPr>
      </w:pPr>
      <w:r>
        <w:rPr>
          <w:rFonts w:ascii="Times New Roman" w:hAnsi="Times New Roman" w:eastAsia="Times New Roman" w:cs="Times New Roman"/>
          <w:b/>
          <w:bCs/>
        </w:rPr>
        <w:t xml:space="preserve">1. INTRODUÇÃO</w:t>
      </w:r>
      <w:r>
        <w:rPr>
          <w:rFonts w:ascii="Times New Roman" w:hAnsi="Times New Roman" w:eastAsia="Times New Roman" w:cs="Times New Roman"/>
          <w:b/>
          <w:bCs/>
        </w:rPr>
      </w:r>
      <w:r>
        <w:rPr>
          <w:rFonts w:ascii="Times New Roman" w:hAnsi="Times New Roman" w:cs="Times New Roman"/>
          <w:b/>
          <w:bCs/>
        </w:rPr>
      </w:r>
    </w:p>
    <w:p w14:paraId="7ED072D8" w14:textId="77777777">
      <w:pPr>
        <w:pBdr/>
        <w:spacing w:after="0"/>
        <w:ind/>
        <w:jc w:val="both"/>
        <w:rPr>
          <w:rFonts w:ascii="Times New Roman" w:hAnsi="Times New Roman" w:cs="Times New Roman"/>
          <w:b/>
          <w:bCs/>
        </w:rPr>
      </w:pPr>
      <w:r>
        <w:rPr>
          <w:rFonts w:ascii="Times New Roman" w:hAnsi="Times New Roman" w:eastAsia="Times New Roman" w:cs="Times New Roman"/>
        </w:rPr>
      </w:r>
      <w:r>
        <w:rPr>
          <w:rFonts w:ascii="Times New Roman" w:hAnsi="Times New Roman" w:eastAsia="Times New Roman" w:cs="Times New Roman"/>
          <w:b/>
          <w:bCs/>
        </w:rPr>
        <w:t xml:space="preserve">1.1 Contextualização</w:t>
      </w:r>
      <w:r>
        <w:rPr>
          <w:rFonts w:ascii="Times New Roman" w:hAnsi="Times New Roman" w:eastAsia="Times New Roman" w:cs="Times New Roman"/>
          <w:b/>
          <w:bCs/>
        </w:rPr>
      </w:r>
      <w:r>
        <w:rPr>
          <w:rFonts w:ascii="Times New Roman" w:hAnsi="Times New Roman" w:cs="Times New Roman"/>
          <w:b/>
          <w:bCs/>
        </w:rPr>
      </w:r>
    </w:p>
    <w:p w14:paraId="5094FBDD">
      <w:pPr>
        <w:pBdr/>
        <w:spacing w:after="0"/>
        <w:ind w:firstLine="720"/>
        <w:jc w:val="both"/>
        <w:rPr>
          <w:rFonts w:ascii="Times New Roman" w:hAnsi="Times New Roman" w:cs="Times New Roman"/>
        </w:rPr>
      </w:pPr>
      <w:r>
        <w:rPr>
          <w:rFonts w:ascii="Times New Roman" w:hAnsi="Times New Roman" w:eastAsia="Times New Roman" w:cs="Times New Roman"/>
        </w:rPr>
        <w:t xml:space="preserve">A</w:t>
      </w:r>
      <w:r>
        <w:rPr>
          <w:rFonts w:ascii="Times New Roman" w:hAnsi="Times New Roman" w:eastAsia="Times New Roman" w:cs="Times New Roman"/>
        </w:rPr>
        <w:t xml:space="preserve">s compras públicas constituem um dos mais relevantes instrumentos de ação estatal para a indução de mercados, a coordenação de demanda e o estímulo à inovação (Edler &amp; Georghiou, 2007). Nesse cenário, em economias nas quais o Estado desempenha papel ativo </w:t>
      </w:r>
      <w:r>
        <w:rPr>
          <w:rFonts w:ascii="Times New Roman" w:hAnsi="Times New Roman" w:eastAsia="Times New Roman" w:cs="Times New Roman"/>
        </w:rPr>
        <w:t xml:space="preserve">n</w:t>
      </w:r>
      <w:r>
        <w:rPr>
          <w:rFonts w:ascii="Times New Roman" w:hAnsi="Times New Roman" w:eastAsia="Times New Roman" w:cs="Times New Roman"/>
        </w:rPr>
        <w:t xml:space="preserve">a promoção do desenvolvimento, o poder de compra governamental pode funcionar não apenas como mecanismo de provisão administrativa, mas também como vetor de política industrial, ao sinalizar prioridades tecnológicas, fomentar capacidades produtivas e reduz</w:t>
      </w:r>
      <w:r>
        <w:rPr>
          <w:rFonts w:ascii="Times New Roman" w:hAnsi="Times New Roman" w:eastAsia="Times New Roman" w:cs="Times New Roman"/>
        </w:rPr>
        <w:t xml:space="preserve">i</w:t>
      </w:r>
      <w:r>
        <w:rPr>
          <w:rFonts w:ascii="Times New Roman" w:hAnsi="Times New Roman" w:eastAsia="Times New Roman" w:cs="Times New Roman"/>
        </w:rPr>
        <w:t xml:space="preserve">r incertezas de demanda em setores estratégicos (Mazzucato, 2013; Edquist &amp; Zabala-Iturriagagoitia, 2012). Adicionalmente, no caso brasileiro, esse potencial é particularmente expressivo, uma vez que as compras governamentais representam parcela significat</w:t>
      </w:r>
      <w:r>
        <w:rPr>
          <w:rFonts w:ascii="Times New Roman" w:hAnsi="Times New Roman" w:eastAsia="Times New Roman" w:cs="Times New Roman"/>
        </w:rPr>
        <w:t xml:space="preserve">iva do Produto Interno Bruto nacional, fato que confere ao Estado papel central na dinâmica de diversos mercados (Squeff, 2014).</w:t>
      </w:r>
      <w:r>
        <w:rPr>
          <w:rFonts w:ascii="Times New Roman" w:hAnsi="Times New Roman" w:eastAsia="Times New Roman" w:cs="Times New Roman"/>
        </w:rPr>
      </w:r>
      <w:r>
        <w:rPr>
          <w:rFonts w:ascii="Times New Roman" w:hAnsi="Times New Roman" w:cs="Times New Roman"/>
        </w:rPr>
      </w:r>
    </w:p>
    <w:p w14:paraId="1FAA659F">
      <w:pPr>
        <w:pBdr/>
        <w:spacing w:after="0"/>
        <w:ind w:firstLine="720"/>
        <w:jc w:val="both"/>
        <w:rPr>
          <w:rFonts w:ascii="Times New Roman" w:hAnsi="Times New Roman" w:cs="Times New Roman"/>
        </w:rPr>
      </w:pPr>
      <w:r>
        <w:rPr>
          <w:rFonts w:ascii="Times New Roman" w:hAnsi="Times New Roman" w:eastAsia="Times New Roman" w:cs="Times New Roman"/>
        </w:rPr>
        <w:t xml:space="preserve">A</w:t>
      </w:r>
      <w:r>
        <w:rPr>
          <w:rFonts w:ascii="Times New Roman" w:hAnsi="Times New Roman" w:eastAsia="Times New Roman" w:cs="Times New Roman"/>
        </w:rPr>
        <w:t xml:space="preserve">pesar dessa centralidade, a utilização das compras públicas como instrumento de indução da inovação permanece limitada no contexto brasileiro. Dessa forma, a existência de instrumentos jurídicos voltados à contratação de soluções com conteúdo de inovação (</w:t>
      </w:r>
      <w:r>
        <w:rPr>
          <w:rFonts w:ascii="Times New Roman" w:hAnsi="Times New Roman" w:eastAsia="Times New Roman" w:cs="Times New Roman"/>
        </w:rPr>
        <w:t xml:space="preserve">L</w:t>
      </w:r>
      <w:r>
        <w:rPr>
          <w:rFonts w:ascii="Times New Roman" w:hAnsi="Times New Roman" w:eastAsia="Times New Roman" w:cs="Times New Roman"/>
        </w:rPr>
        <w:t xml:space="preserve">ei nº 10.973/2004; Lei nº 14.133/2021; Lei Complementar nº 182/2021) não se traduziu, até o momento, em uma dinâmica institucional consolidada de aquisições tecnológicas (Rauen, 2015). Esse descompasso sugere que o problema não pode ser explicado apenas pe</w:t>
      </w:r>
      <w:r>
        <w:rPr>
          <w:rFonts w:ascii="Times New Roman" w:hAnsi="Times New Roman" w:eastAsia="Times New Roman" w:cs="Times New Roman"/>
        </w:rPr>
        <w:t xml:space="preserve">l</w:t>
      </w:r>
      <w:r>
        <w:rPr>
          <w:rFonts w:ascii="Times New Roman" w:hAnsi="Times New Roman" w:eastAsia="Times New Roman" w:cs="Times New Roman"/>
        </w:rPr>
        <w:t xml:space="preserve">a existência ou inexistência de autorização normativa. Nesse sentido, há barreiras adicionais, de natureza organizacional, informacional e decisória, que restringem a capacidade do Estado de contratar inovação com segurança e previsibilidade (Uyarra et al.</w:t>
      </w:r>
      <w:r>
        <w:rPr>
          <w:rFonts w:ascii="Times New Roman" w:hAnsi="Times New Roman" w:eastAsia="Times New Roman" w:cs="Times New Roman"/>
        </w:rPr>
        <w:t xml:space="preserve">, 2014).</w:t>
      </w:r>
      <w:r>
        <w:rPr>
          <w:rFonts w:ascii="Times New Roman" w:hAnsi="Times New Roman" w:eastAsia="Times New Roman" w:cs="Times New Roman"/>
        </w:rPr>
      </w:r>
      <w:r>
        <w:rPr>
          <w:rFonts w:ascii="Times New Roman" w:hAnsi="Times New Roman" w:cs="Times New Roman"/>
        </w:rPr>
      </w:r>
    </w:p>
    <w:p w14:paraId="1EA63A73" w14:textId="2A8B30A8">
      <w:pPr>
        <w:pBdr/>
        <w:spacing w:after="0"/>
        <w:ind w:firstLine="720"/>
        <w:jc w:val="both"/>
        <w:rPr>
          <w:rFonts w:ascii="Times New Roman" w:hAnsi="Times New Roman" w:cs="Times New Roman"/>
        </w:rPr>
      </w:pPr>
      <w:r>
        <w:rPr>
          <w:rFonts w:ascii="Times New Roman" w:hAnsi="Times New Roman" w:eastAsia="Times New Roman" w:cs="Times New Roman"/>
        </w:rPr>
        <w:t xml:space="preserve">E</w:t>
      </w:r>
      <w:r>
        <w:rPr>
          <w:rFonts w:ascii="Times New Roman" w:hAnsi="Times New Roman" w:eastAsia="Times New Roman" w:cs="Times New Roman"/>
        </w:rPr>
        <w:t xml:space="preserve">ntre essas barreiras, destaca-se o fenômeno conhecido como "apagão das canetas", expressão que designa a retração decisória de agentes públicos diante do temor de responsabilização pessoal por escolhas administrativas posteriormente questionadas por órgãos</w:t>
      </w:r>
      <w:r>
        <w:rPr>
          <w:rFonts w:ascii="Times New Roman" w:hAnsi="Times New Roman" w:eastAsia="Times New Roman" w:cs="Times New Roman"/>
        </w:rPr>
        <w:t xml:space="preserve"> </w:t>
      </w:r>
      <w:r>
        <w:rPr>
          <w:rFonts w:ascii="Times New Roman" w:hAnsi="Times New Roman" w:eastAsia="Times New Roman" w:cs="Times New Roman"/>
        </w:rPr>
        <w:t xml:space="preserve">de controle (Guimarães, 2016). Em contextos de elevada complexidade regulatória, múltiplos regimes jurídicos incidentes e assimetria informacional sobre mercados fornecedores, a decisão administrativa tende a se tornar defensiva (Sundfeld, 2014). Nesses ca</w:t>
      </w:r>
      <w:r>
        <w:rPr>
          <w:rFonts w:ascii="Times New Roman" w:hAnsi="Times New Roman" w:eastAsia="Times New Roman" w:cs="Times New Roman"/>
        </w:rPr>
        <w:t xml:space="preserve">s</w:t>
      </w:r>
      <w:r>
        <w:rPr>
          <w:rFonts w:ascii="Times New Roman" w:hAnsi="Times New Roman" w:eastAsia="Times New Roman" w:cs="Times New Roman"/>
        </w:rPr>
        <w:t xml:space="preserve">os, o gestor não necessariamente deixa de agir por ausência de base legal, mas porque não dispõe de instrumentos adequados para organizar, justificar e documentar decisões complexas. Como consequência, configura-se um ambiente institucional em que o risco </w:t>
      </w:r>
      <w:r>
        <w:rPr>
          <w:rFonts w:ascii="Times New Roman" w:hAnsi="Times New Roman" w:eastAsia="Times New Roman" w:cs="Times New Roman"/>
        </w:rPr>
        <w:t xml:space="preserve">j</w:t>
      </w:r>
      <w:r>
        <w:rPr>
          <w:rFonts w:ascii="Times New Roman" w:hAnsi="Times New Roman" w:eastAsia="Times New Roman" w:cs="Times New Roman"/>
        </w:rPr>
        <w:t xml:space="preserve">urídico percebido, somado à baixa rastreabilidade da fundamentação decisória, desestimula especialmente contratações com conteúdo de inovação, as quais são frequentemente mais incertas, menos padronizadas e menos facilmente comparáveis a compras tradiciona</w:t>
      </w:r>
      <w:r>
        <w:rPr>
          <w:rFonts w:ascii="Times New Roman" w:hAnsi="Times New Roman" w:eastAsia="Times New Roman" w:cs="Times New Roman"/>
        </w:rPr>
        <w:t xml:space="preserve">is (Fiuza &amp; Medeiros, 2014).</w:t>
      </w:r>
      <w:r>
        <w:rPr>
          <w:rFonts w:ascii="Times New Roman" w:hAnsi="Times New Roman" w:eastAsia="Times New Roman" w:cs="Times New Roman"/>
        </w:rPr>
      </w:r>
      <w:r>
        <w:rPr>
          <w:rFonts w:ascii="Times New Roman" w:hAnsi="Times New Roman" w:cs="Times New Roman"/>
        </w:rPr>
      </w:r>
    </w:p>
    <w:p w14:paraId="39E1252E" w14:textId="494991F9">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46C032A3" w14:textId="77777777">
      <w:pPr>
        <w:pBdr/>
        <w:spacing w:after="0"/>
        <w:ind/>
        <w:jc w:val="both"/>
        <w:rPr>
          <w:rFonts w:ascii="Times New Roman" w:hAnsi="Times New Roman" w:cs="Times New Roman"/>
          <w:b/>
          <w:bCs/>
        </w:rPr>
      </w:pPr>
      <w:r>
        <w:rPr>
          <w:rFonts w:ascii="Times New Roman" w:hAnsi="Times New Roman" w:eastAsia="Times New Roman" w:cs="Times New Roman"/>
          <w:b/>
          <w:bCs/>
        </w:rPr>
        <w:t xml:space="preserve">1.2 Problema de Pesquisa</w:t>
      </w:r>
      <w:r>
        <w:rPr>
          <w:rFonts w:ascii="Times New Roman" w:hAnsi="Times New Roman" w:eastAsia="Times New Roman" w:cs="Times New Roman"/>
          <w:b/>
          <w:bCs/>
        </w:rPr>
      </w:r>
      <w:r>
        <w:rPr>
          <w:rFonts w:ascii="Times New Roman" w:hAnsi="Times New Roman" w:cs="Times New Roman"/>
          <w:b/>
          <w:bCs/>
        </w:rPr>
      </w:r>
    </w:p>
    <w:p w14:paraId="0A372ADB">
      <w:pPr>
        <w:pBdr/>
        <w:spacing w:after="0"/>
        <w:ind w:firstLine="720"/>
        <w:jc w:val="both"/>
        <w:rPr>
          <w:rFonts w:ascii="Times New Roman" w:hAnsi="Times New Roman" w:cs="Times New Roman"/>
        </w:rPr>
      </w:pPr>
      <w:r>
        <w:rPr>
          <w:rFonts w:ascii="Times New Roman" w:hAnsi="Times New Roman" w:eastAsia="Times New Roman" w:cs="Times New Roman"/>
        </w:rPr>
        <w:t xml:space="preserve">A</w:t>
      </w:r>
      <w:r>
        <w:rPr>
          <w:rFonts w:ascii="Times New Roman" w:hAnsi="Times New Roman" w:eastAsia="Times New Roman" w:cs="Times New Roman"/>
        </w:rPr>
        <w:t xml:space="preserve"> pergunta de pesquisa que orienta este estudo investiga como um modelo baseado em proxies observáveis de risco processual pode apoiar gestores públicos na avaliação de compliance em contratações com potencial conteúdo de inovação, reduzindo a incerteza dec</w:t>
      </w:r>
      <w:r>
        <w:rPr>
          <w:rFonts w:ascii="Times New Roman" w:hAnsi="Times New Roman" w:eastAsia="Times New Roman" w:cs="Times New Roman"/>
        </w:rPr>
        <w:t xml:space="preserve">i</w:t>
      </w:r>
      <w:r>
        <w:rPr>
          <w:rFonts w:ascii="Times New Roman" w:hAnsi="Times New Roman" w:eastAsia="Times New Roman" w:cs="Times New Roman"/>
        </w:rPr>
        <w:t xml:space="preserve">sória e ampliando a rastreabilidade das justificativas. Essa formulação decorre da constatação de que o problema das compras de inovação não se resume à falta de instrumentos jurídicos (Rauen, 2015). Trata-se, fundamentalmente, de uma crise de infraestrutu</w:t>
      </w:r>
      <w:r>
        <w:rPr>
          <w:rFonts w:ascii="Times New Roman" w:hAnsi="Times New Roman" w:eastAsia="Times New Roman" w:cs="Times New Roman"/>
        </w:rPr>
        <w:t xml:space="preserve">r</w:t>
      </w:r>
      <w:r>
        <w:rPr>
          <w:rFonts w:ascii="Times New Roman" w:hAnsi="Times New Roman" w:eastAsia="Times New Roman" w:cs="Times New Roman"/>
        </w:rPr>
        <w:t xml:space="preserve">a informacional e de rastreabilidade (Fiuza &amp; Medeiros, 2014). Nesse contexto, o gestor público que decide sobre uma contratação de inovação enfrenta múltiplas fontes de incerteza, pois não dispõe de informações completas sobre o mercado fornecedor, não te</w:t>
      </w:r>
      <w:r>
        <w:rPr>
          <w:rFonts w:ascii="Times New Roman" w:hAnsi="Times New Roman" w:eastAsia="Times New Roman" w:cs="Times New Roman"/>
        </w:rPr>
        <w:t xml:space="preserve">m</w:t>
      </w:r>
      <w:r>
        <w:rPr>
          <w:rFonts w:ascii="Times New Roman" w:hAnsi="Times New Roman" w:eastAsia="Times New Roman" w:cs="Times New Roman"/>
        </w:rPr>
        <w:t xml:space="preserve"> acesso automatizado a bases de sanções ou decisões de controle, e opera em um ambiente de alta complexidade normativa onde qualquer decisão pode ser questionada posteriormente (Guimarães, 2016). Assim, a questão central não é a ausência de norma, mas a au</w:t>
      </w:r>
      <w:r>
        <w:rPr>
          <w:rFonts w:ascii="Times New Roman" w:hAnsi="Times New Roman" w:eastAsia="Times New Roman" w:cs="Times New Roman"/>
        </w:rPr>
        <w:t xml:space="preserve">sência de instrumentos que permitam ao gestor organizar, fundamentar e documentar sua decisão de forma que resista a escrutínio futuro.</w:t>
      </w:r>
      <w:r>
        <w:rPr>
          <w:rFonts w:ascii="Times New Roman" w:hAnsi="Times New Roman" w:eastAsia="Times New Roman" w:cs="Times New Roman"/>
        </w:rPr>
      </w:r>
      <w:r>
        <w:rPr>
          <w:rFonts w:ascii="Times New Roman" w:hAnsi="Times New Roman" w:cs="Times New Roman"/>
        </w:rPr>
      </w:r>
    </w:p>
    <w:p w14:paraId="7EFDEC4E" w14:textId="59EE5FB3">
      <w:pPr>
        <w:pBdr/>
        <w:spacing w:after="0"/>
        <w:ind w:firstLine="720"/>
        <w:jc w:val="both"/>
        <w:rPr>
          <w:rFonts w:ascii="Times New Roman" w:hAnsi="Times New Roman" w:cs="Times New Roman"/>
        </w:rPr>
      </w:pPr>
      <w:r>
        <w:rPr>
          <w:rFonts w:ascii="Times New Roman" w:hAnsi="Times New Roman" w:eastAsia="Times New Roman" w:cs="Times New Roman"/>
        </w:rPr>
        <w:t xml:space="preserve">O</w:t>
      </w:r>
      <w:r>
        <w:rPr>
          <w:rFonts w:ascii="Times New Roman" w:hAnsi="Times New Roman" w:eastAsia="Times New Roman" w:cs="Times New Roman"/>
        </w:rPr>
        <w:t xml:space="preserve"> objetivo geral deste estudo consiste em propor e validar um framework de compliance algorítmico para compras públicas de inovação no Brasil, estruturado em técnicas de Inteligência Artificial Explicável e em uma arquitetura de rastreabilidade decisória. P</w:t>
      </w:r>
      <w:r>
        <w:rPr>
          <w:rFonts w:ascii="Times New Roman" w:hAnsi="Times New Roman" w:eastAsia="Times New Roman" w:cs="Times New Roman"/>
        </w:rPr>
        <w:t xml:space="preserve">a</w:t>
      </w:r>
      <w:r>
        <w:rPr>
          <w:rFonts w:ascii="Times New Roman" w:hAnsi="Times New Roman" w:eastAsia="Times New Roman" w:cs="Times New Roman"/>
        </w:rPr>
        <w:t xml:space="preserve">ra alcançar esse propósito, foram definidos quatro objetivos específicos. Inicialmente, busca-se construir e validar uma base empírica a partir dos dados do PNCP referentes ao exercício de 2024. Em seguida, pretende-se operacionalizar o conceito de risco p</w:t>
      </w:r>
      <w:r>
        <w:rPr>
          <w:rFonts w:ascii="Times New Roman" w:hAnsi="Times New Roman" w:eastAsia="Times New Roman" w:cs="Times New Roman"/>
        </w:rPr>
        <w:t xml:space="preserve">r</w:t>
      </w:r>
      <w:r>
        <w:rPr>
          <w:rFonts w:ascii="Times New Roman" w:hAnsi="Times New Roman" w:eastAsia="Times New Roman" w:cs="Times New Roman"/>
        </w:rPr>
        <w:t xml:space="preserve">ocessual por meio de um escore ordinal baseado em proxies observáveis. Posteriormente, objetiva-se avaliar, por meio de modelagem comparativa, as capacidades e os limites de um modelo de classificação explicável. Por fim, propõe-se uma arquitetura conceitu</w:t>
      </w:r>
      <w:r>
        <w:rPr>
          <w:rFonts w:ascii="Times New Roman" w:hAnsi="Times New Roman" w:eastAsia="Times New Roman" w:cs="Times New Roman"/>
        </w:rPr>
        <w:t xml:space="preserve">al de trilhas de auditoria para a documentação das justificativas decisórias.</w:t>
      </w:r>
      <w:r>
        <w:rPr>
          <w:rFonts w:ascii="Times New Roman" w:hAnsi="Times New Roman" w:eastAsia="Times New Roman" w:cs="Times New Roman"/>
        </w:rPr>
      </w:r>
      <w:r>
        <w:rPr>
          <w:rFonts w:ascii="Times New Roman" w:hAnsi="Times New Roman" w:cs="Times New Roman"/>
        </w:rPr>
      </w:r>
    </w:p>
    <w:p w14:paraId="14CA66C8" w14:textId="79BB6BB3">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6BA6C053" w14:textId="77777777">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6595B16F" w14:textId="77777777">
      <w:pPr>
        <w:pBdr/>
        <w:spacing w:after="0"/>
        <w:ind/>
        <w:jc w:val="both"/>
        <w:rPr>
          <w:rFonts w:ascii="Times New Roman" w:hAnsi="Times New Roman" w:cs="Times New Roman"/>
          <w:b/>
          <w:bCs/>
        </w:rPr>
      </w:pPr>
      <w:r>
        <w:rPr>
          <w:rFonts w:ascii="Times New Roman" w:hAnsi="Times New Roman" w:eastAsia="Times New Roman" w:cs="Times New Roman"/>
          <w:b/>
          <w:bCs/>
        </w:rPr>
        <w:t xml:space="preserve">1.3 Justificativa</w:t>
      </w:r>
      <w:r>
        <w:rPr>
          <w:rFonts w:ascii="Times New Roman" w:hAnsi="Times New Roman" w:eastAsia="Times New Roman" w:cs="Times New Roman"/>
          <w:b/>
          <w:bCs/>
        </w:rPr>
      </w:r>
      <w:r>
        <w:rPr>
          <w:rFonts w:ascii="Times New Roman" w:hAnsi="Times New Roman" w:cs="Times New Roman"/>
          <w:b/>
          <w:bCs/>
        </w:rPr>
      </w:r>
    </w:p>
    <w:p w14:paraId="044E4CD6">
      <w:pPr>
        <w:pBdr/>
        <w:spacing w:after="0"/>
        <w:ind w:firstLine="720"/>
        <w:jc w:val="both"/>
        <w:rPr>
          <w:rFonts w:ascii="Times New Roman" w:hAnsi="Times New Roman" w:cs="Times New Roman"/>
        </w:rPr>
      </w:pPr>
      <w:r>
        <w:rPr>
          <w:rFonts w:ascii="Times New Roman" w:hAnsi="Times New Roman" w:eastAsia="Times New Roman" w:cs="Times New Roman"/>
        </w:rPr>
        <w:t xml:space="preserve">A</w:t>
      </w:r>
      <w:r>
        <w:rPr>
          <w:rFonts w:ascii="Times New Roman" w:hAnsi="Times New Roman" w:eastAsia="Times New Roman" w:cs="Times New Roman"/>
        </w:rPr>
        <w:t xml:space="preserve"> relevância deste estudo sustenta-se em três dimensões complementares. Do ponto de vista acadêmico, a investigação contribui para a literatura de compliance algorítmico ao propor uma abordagem que se diferencia das propostas maximalistas comuns na área, as</w:t>
      </w:r>
      <w:r>
        <w:rPr>
          <w:rFonts w:ascii="Times New Roman" w:hAnsi="Times New Roman" w:eastAsia="Times New Roman" w:cs="Times New Roman"/>
        </w:rPr>
        <w:t xml:space="preserve"> </w:t>
      </w:r>
      <w:r>
        <w:rPr>
          <w:rFonts w:ascii="Times New Roman" w:hAnsi="Times New Roman" w:eastAsia="Times New Roman" w:cs="Times New Roman"/>
        </w:rPr>
        <w:t xml:space="preserve">quais objetivam detectar irregularidades puramente com predição automatizada (Dutra et al., 2020). Essa pretensão enfrenta problemas fundamentais, entre os quais se destacam a ausência de targets externos validados, o risco de viés algorítmico e a impossib</w:t>
      </w:r>
      <w:r>
        <w:rPr>
          <w:rFonts w:ascii="Times New Roman" w:hAnsi="Times New Roman" w:eastAsia="Times New Roman" w:cs="Times New Roman"/>
        </w:rPr>
        <w:t xml:space="preserve">ilidade de substituir o juízo jurídico por decisão maquínica em um Estado de Direito (Veale &amp; Brass, 2019; Freedman et al., 2020).</w:t>
      </w:r>
      <w:r>
        <w:rPr>
          <w:rFonts w:ascii="Times New Roman" w:hAnsi="Times New Roman" w:eastAsia="Times New Roman" w:cs="Times New Roman"/>
        </w:rPr>
      </w:r>
      <w:r>
        <w:rPr>
          <w:rFonts w:ascii="Times New Roman" w:hAnsi="Times New Roman" w:cs="Times New Roman"/>
        </w:rPr>
      </w:r>
    </w:p>
    <w:p w14:paraId="33BD30C6">
      <w:pPr>
        <w:pBdr/>
        <w:spacing w:after="0"/>
        <w:ind w:firstLine="720"/>
        <w:jc w:val="both"/>
        <w:rPr>
          <w:rFonts w:ascii="Times New Roman" w:hAnsi="Times New Roman" w:cs="Times New Roman"/>
        </w:rPr>
      </w:pPr>
      <w:r>
        <w:rPr>
          <w:rFonts w:ascii="Times New Roman" w:hAnsi="Times New Roman" w:eastAsia="Times New Roman" w:cs="Times New Roman"/>
        </w:rPr>
        <w:t xml:space="preserve">D</w:t>
      </w:r>
      <w:r>
        <w:rPr>
          <w:rFonts w:ascii="Times New Roman" w:hAnsi="Times New Roman" w:eastAsia="Times New Roman" w:cs="Times New Roman"/>
        </w:rPr>
        <w:t xml:space="preserve">o ponto de vista prático, o trabalho oferece uma ferramenta de apoio à instrução processual que permite organizar e documentar a avaliação de risco de forma estruturada. Nesse sentido, a utilização de sistemas explicáveis pode reduzir o tempo gasto em tent</w:t>
      </w:r>
      <w:r>
        <w:rPr>
          <w:rFonts w:ascii="Times New Roman" w:hAnsi="Times New Roman" w:eastAsia="Times New Roman" w:cs="Times New Roman"/>
        </w:rPr>
        <w:t xml:space="preserve">ativas de antecipar questionamentos de órgãos de controle, ao explicitar proativamente os fatores de risco considerados na decisão (Arrieta et al., 2020).</w:t>
      </w:r>
      <w:r>
        <w:rPr>
          <w:rFonts w:ascii="Times New Roman" w:hAnsi="Times New Roman" w:eastAsia="Times New Roman" w:cs="Times New Roman"/>
        </w:rPr>
      </w:r>
      <w:r>
        <w:rPr>
          <w:rFonts w:ascii="Times New Roman" w:hAnsi="Times New Roman" w:cs="Times New Roman"/>
        </w:rPr>
      </w:r>
    </w:p>
    <w:p w14:paraId="2B97FA3B" w14:textId="14836CF2">
      <w:pPr>
        <w:pBdr/>
        <w:spacing w:after="0"/>
        <w:ind w:firstLine="720"/>
        <w:jc w:val="both"/>
        <w:rPr>
          <w:rFonts w:ascii="Times New Roman" w:hAnsi="Times New Roman" w:cs="Times New Roman"/>
        </w:rPr>
      </w:pPr>
      <w:r>
        <w:rPr>
          <w:rFonts w:ascii="Times New Roman" w:hAnsi="Times New Roman" w:eastAsia="Times New Roman" w:cs="Times New Roman"/>
        </w:rPr>
        <w:t xml:space="preserve">D</w:t>
      </w:r>
      <w:r>
        <w:rPr>
          <w:rFonts w:ascii="Times New Roman" w:hAnsi="Times New Roman" w:eastAsia="Times New Roman" w:cs="Times New Roman"/>
        </w:rPr>
        <w:t xml:space="preserve">o ponto de vista de política pública, a pesquisa contribui para a compreensão das barreiras institucionais enfrentadas pelas compras de inovação no Brasil. Além disso, ao evidenciar a rarefação empírica de contratações com conteúdo tecnológico e sua concen</w:t>
      </w:r>
      <w:r>
        <w:rPr>
          <w:rFonts w:ascii="Times New Roman" w:hAnsi="Times New Roman" w:eastAsia="Times New Roman" w:cs="Times New Roman"/>
        </w:rPr>
        <w:t xml:space="preserve">t</w:t>
      </w:r>
      <w:r>
        <w:rPr>
          <w:rFonts w:ascii="Times New Roman" w:hAnsi="Times New Roman" w:eastAsia="Times New Roman" w:cs="Times New Roman"/>
        </w:rPr>
        <w:t xml:space="preserve">ração em modalidades de contratação direta, o estudo fornece subsídios práticos para formuladores de políticas públicas interessados em expandir o uso estratégico do poder de compra estatal como instrumento de política industrial (Edler &amp; Georghiou, 2007; </w:t>
      </w:r>
      <w:r>
        <w:rPr>
          <w:rFonts w:ascii="Times New Roman" w:hAnsi="Times New Roman" w:eastAsia="Times New Roman" w:cs="Times New Roman"/>
        </w:rPr>
        <w:t xml:space="preserve">Lember et al., 2014).</w:t>
      </w:r>
      <w:r>
        <w:rPr>
          <w:rFonts w:ascii="Times New Roman" w:hAnsi="Times New Roman" w:eastAsia="Times New Roman" w:cs="Times New Roman"/>
        </w:rPr>
      </w:r>
      <w:r>
        <w:rPr>
          <w:rFonts w:ascii="Times New Roman" w:hAnsi="Times New Roman" w:cs="Times New Roman"/>
        </w:rPr>
      </w:r>
    </w:p>
    <w:p w14:paraId="0AEA0C3E">
      <w:pPr>
        <w:pBdr/>
        <w:spacing w:after="0"/>
        <w:ind/>
        <w:jc w:val="both"/>
        <w:rPr>
          <w:rFonts w:ascii="Times New Roman" w:hAnsi="Times New Roman" w:cs="Times New Roman"/>
          <w:b/>
          <w:bCs/>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r>
        <w:rPr>
          <w:rFonts w:ascii="Times New Roman" w:hAnsi="Times New Roman" w:cs="Times New Roman"/>
          <w:b/>
          <w:bCs/>
        </w:rPr>
      </w:r>
    </w:p>
    <w:p w14:paraId="51A206D4" w14:textId="77777777">
      <w:pPr>
        <w:pBdr/>
        <w:spacing w:after="0"/>
        <w:ind/>
        <w:jc w:val="both"/>
        <w:rPr>
          <w:rFonts w:ascii="Times New Roman" w:hAnsi="Times New Roman" w:cs="Times New Roman"/>
          <w:b/>
          <w:bCs/>
          <w:highlight w:val="none"/>
        </w:rPr>
      </w:pPr>
      <w:r>
        <w:rPr>
          <w:rFonts w:ascii="Times New Roman" w:hAnsi="Times New Roman" w:eastAsia="Times New Roman" w:cs="Times New Roman"/>
        </w:rPr>
      </w:r>
      <w:bookmarkStart w:id="7" w:name="referencial-teórico"/>
      <w:r>
        <w:rPr>
          <w:rFonts w:ascii="Times New Roman" w:hAnsi="Times New Roman" w:eastAsia="Times New Roman" w:cs="Times New Roman"/>
        </w:rPr>
      </w:r>
      <w:bookmarkEnd w:id="2"/>
      <w:r>
        <w:rPr>
          <w:rFonts w:ascii="Times New Roman" w:hAnsi="Times New Roman" w:eastAsia="Times New Roman" w:cs="Times New Roman"/>
          <w:b/>
          <w:bCs/>
        </w:rPr>
        <w:t xml:space="preserve">2. REFERENCIAL TEÓRICO</w:t>
      </w:r>
      <w:r>
        <w:rPr>
          <w:rFonts w:ascii="Times New Roman" w:hAnsi="Times New Roman" w:eastAsia="Times New Roman" w:cs="Times New Roman"/>
          <w:b/>
          <w:bCs/>
        </w:rPr>
      </w:r>
      <w:r>
        <w:rPr>
          <w:rFonts w:ascii="Times New Roman" w:hAnsi="Times New Roman" w:cs="Times New Roman"/>
          <w:b/>
          <w:bCs/>
          <w:highlight w:val="none"/>
        </w:rPr>
      </w:r>
    </w:p>
    <w:p w14:paraId="28E3E944" w14:textId="77777777">
      <w:pPr>
        <w:pBdr/>
        <w:spacing w:after="0"/>
        <w:ind/>
        <w:jc w:val="both"/>
        <w:rPr>
          <w:rFonts w:ascii="Times New Roman" w:hAnsi="Times New Roman" w:cs="Times New Roman"/>
          <w:b/>
          <w:bCs/>
        </w:rPr>
      </w:pPr>
      <w:r>
        <w:rPr>
          <w:rFonts w:ascii="Times New Roman" w:hAnsi="Times New Roman" w:eastAsia="Times New Roman" w:cs="Times New Roman"/>
        </w:rPr>
      </w:r>
      <w:r>
        <w:rPr>
          <w:rFonts w:ascii="Times New Roman" w:hAnsi="Times New Roman" w:eastAsia="Times New Roman" w:cs="Times New Roman"/>
          <w:b/>
          <w:bCs/>
        </w:rPr>
        <w:t xml:space="preserve">2.1 Compras Públicas de Inovação</w:t>
      </w:r>
      <w:r>
        <w:rPr>
          <w:rFonts w:ascii="Times New Roman" w:hAnsi="Times New Roman" w:eastAsia="Times New Roman" w:cs="Times New Roman"/>
          <w:b/>
          <w:bCs/>
        </w:rPr>
      </w:r>
      <w:r>
        <w:rPr>
          <w:rFonts w:ascii="Times New Roman" w:hAnsi="Times New Roman" w:cs="Times New Roman"/>
          <w:b/>
          <w:bCs/>
        </w:rPr>
      </w:r>
    </w:p>
    <w:p w14:paraId="0EA571BB">
      <w:pPr>
        <w:pBdr/>
        <w:spacing w:after="0"/>
        <w:ind w:firstLine="720"/>
        <w:jc w:val="both"/>
        <w:rPr>
          <w:rFonts w:ascii="Times New Roman" w:hAnsi="Times New Roman" w:cs="Times New Roman"/>
        </w:rPr>
      </w:pPr>
      <w:r>
        <w:rPr>
          <w:rFonts w:ascii="Times New Roman" w:hAnsi="Times New Roman" w:eastAsia="Times New Roman" w:cs="Times New Roman"/>
        </w:rPr>
        <w:t xml:space="preserve">A</w:t>
      </w:r>
      <w:r>
        <w:rPr>
          <w:rFonts w:ascii="Times New Roman" w:hAnsi="Times New Roman" w:eastAsia="Times New Roman" w:cs="Times New Roman"/>
        </w:rPr>
        <w:t xml:space="preserve"> utilização do poder de compra do Estado como instrumento de política de inovação é tema consolidado na literatura internacional. Edler e Georghiou (2007) argumentam que a demanda pública pode desempenhar papel tão relevante quanto os incentivos pelo lado </w:t>
      </w:r>
      <w:r>
        <w:rPr>
          <w:rFonts w:ascii="Times New Roman" w:hAnsi="Times New Roman" w:eastAsia="Times New Roman" w:cs="Times New Roman"/>
        </w:rPr>
        <w:t xml:space="preserve">d</w:t>
      </w:r>
      <w:r>
        <w:rPr>
          <w:rFonts w:ascii="Times New Roman" w:hAnsi="Times New Roman" w:eastAsia="Times New Roman" w:cs="Times New Roman"/>
        </w:rPr>
        <w:t xml:space="preserve">a oferta, ao reduzir incertezas de mercado e sinalizar prioridades tecnológicas para o setor privado. Nessa perspectiva, Edquist e Zabala-Iturriagagoitia (2012) propõem uma distinção conceitual entre compras públicas regulares, nas quais o Estado adquire b</w:t>
      </w:r>
      <w:r>
        <w:rPr>
          <w:rFonts w:ascii="Times New Roman" w:hAnsi="Times New Roman" w:eastAsia="Times New Roman" w:cs="Times New Roman"/>
        </w:rPr>
        <w:t xml:space="preserve">e</w:t>
      </w:r>
      <w:r>
        <w:rPr>
          <w:rFonts w:ascii="Times New Roman" w:hAnsi="Times New Roman" w:eastAsia="Times New Roman" w:cs="Times New Roman"/>
        </w:rPr>
        <w:t xml:space="preserve">ns e serviços já disponíveis no mercado, e compras públicas de inovação, nas quais o Estado demanda soluções que ainda não existem ou que requerem desenvolvimento tecnológico adicional. Essa distinção é relevante porque as compras de inovação envolvem grau</w:t>
      </w:r>
      <w:r>
        <w:rPr>
          <w:rFonts w:ascii="Times New Roman" w:hAnsi="Times New Roman" w:eastAsia="Times New Roman" w:cs="Times New Roman"/>
        </w:rPr>
        <w:t xml:space="preserve">s de incerteza e complexidade significativamente superiores às compras tradicionais.</w:t>
      </w:r>
      <w:r>
        <w:rPr>
          <w:rFonts w:ascii="Times New Roman" w:hAnsi="Times New Roman" w:eastAsia="Times New Roman" w:cs="Times New Roman"/>
        </w:rPr>
      </w:r>
      <w:r>
        <w:rPr>
          <w:rFonts w:ascii="Times New Roman" w:hAnsi="Times New Roman" w:cs="Times New Roman"/>
        </w:rPr>
      </w:r>
    </w:p>
    <w:p w14:paraId="667DC665">
      <w:pPr>
        <w:pBdr/>
        <w:spacing w:after="0"/>
        <w:ind w:firstLine="720"/>
        <w:jc w:val="both"/>
        <w:rPr>
          <w:rFonts w:ascii="Times New Roman" w:hAnsi="Times New Roman" w:cs="Times New Roman"/>
        </w:rPr>
      </w:pPr>
      <w:r>
        <w:rPr>
          <w:rFonts w:ascii="Times New Roman" w:hAnsi="Times New Roman" w:eastAsia="Times New Roman" w:cs="Times New Roman"/>
        </w:rPr>
        <w:t xml:space="preserve">N</w:t>
      </w:r>
      <w:r>
        <w:rPr>
          <w:rFonts w:ascii="Times New Roman" w:hAnsi="Times New Roman" w:eastAsia="Times New Roman" w:cs="Times New Roman"/>
        </w:rPr>
        <w:t xml:space="preserve">o plano empírico, estudos internacionais identificaram barreiras materiais à efetivação das compras públicas de inovação. Uyarra et al. (2014) demonstram, a partir de pesquisa com fornecedores do setor público no Reino Unido, que os principais obstáculos i</w:t>
      </w:r>
      <w:r>
        <w:rPr>
          <w:rFonts w:ascii="Times New Roman" w:hAnsi="Times New Roman" w:eastAsia="Times New Roman" w:cs="Times New Roman"/>
        </w:rPr>
        <w:t xml:space="preserve">n</w:t>
      </w:r>
      <w:r>
        <w:rPr>
          <w:rFonts w:ascii="Times New Roman" w:hAnsi="Times New Roman" w:eastAsia="Times New Roman" w:cs="Times New Roman"/>
        </w:rPr>
        <w:t xml:space="preserve">cluem a aversão ao risco dos gestores, a rigidez dos procedimentos licitatórios e a falta de diálogo entre compradores públicos e fornecedores de soluções tecnológicas. De forma complementar, Lember et al. (2014) argumentam que a capacidade institucional d</w:t>
      </w:r>
      <w:r>
        <w:rPr>
          <w:rFonts w:ascii="Times New Roman" w:hAnsi="Times New Roman" w:eastAsia="Times New Roman" w:cs="Times New Roman"/>
        </w:rPr>
        <w:t xml:space="preserve">o</w:t>
      </w:r>
      <w:r>
        <w:rPr>
          <w:rFonts w:ascii="Times New Roman" w:hAnsi="Times New Roman" w:eastAsia="Times New Roman" w:cs="Times New Roman"/>
        </w:rPr>
        <w:t xml:space="preserve">s órgãos públicos é um fator determinante para o sucesso das transações complexas, uma vez que a formulação de especificações técnicas para produtos ainda inexistentes demanda competências que frequentemente extrapolam as disponíveis nas unidades de compra</w:t>
      </w:r>
      <w:r>
        <w:rPr>
          <w:rFonts w:ascii="Times New Roman" w:hAnsi="Times New Roman" w:eastAsia="Times New Roman" w:cs="Times New Roman"/>
        </w:rPr>
        <w:t xml:space="preserve">s tradicionais. Soma-se a isso o posicionamento de Mazzucato (2013), que acrescenta que o Estado, quando assume papel empreendedor, precisa dispor de instrumentos que permitam gerenciar os riscos inerentes a investimentos em inovação.</w:t>
      </w:r>
      <w:r>
        <w:rPr>
          <w:rFonts w:ascii="Times New Roman" w:hAnsi="Times New Roman" w:eastAsia="Times New Roman" w:cs="Times New Roman"/>
        </w:rPr>
      </w:r>
      <w:r>
        <w:rPr>
          <w:rFonts w:ascii="Times New Roman" w:hAnsi="Times New Roman" w:cs="Times New Roman"/>
        </w:rPr>
      </w:r>
    </w:p>
    <w:p w14:paraId="6608D47A">
      <w:pPr>
        <w:pBdr/>
        <w:spacing w:after="0"/>
        <w:ind w:firstLine="720"/>
        <w:jc w:val="both"/>
        <w:rPr>
          <w:rFonts w:ascii="Times New Roman" w:hAnsi="Times New Roman" w:cs="Times New Roman"/>
        </w:rPr>
      </w:pPr>
      <w:r>
        <w:rPr>
          <w:rFonts w:ascii="Times New Roman" w:hAnsi="Times New Roman" w:eastAsia="Times New Roman" w:cs="Times New Roman"/>
        </w:rPr>
        <w:t xml:space="preserve">N</w:t>
      </w:r>
      <w:r>
        <w:rPr>
          <w:rFonts w:ascii="Times New Roman" w:hAnsi="Times New Roman" w:eastAsia="Times New Roman" w:cs="Times New Roman"/>
        </w:rPr>
        <w:t xml:space="preserve">o caso brasileiro, a legislação oferece múltiplos instrumentos para a contratação de inovação pelo setor público. Apesar desse arcabouço normativo, a efetivação das aquisições enfrenta barreiras que vão além da disponibilidade de leis. Segundo Rauen (2015)</w:t>
      </w:r>
      <w:r>
        <w:rPr>
          <w:rFonts w:ascii="Times New Roman" w:hAnsi="Times New Roman" w:eastAsia="Times New Roman" w:cs="Times New Roman"/>
        </w:rPr>
        <w:t xml:space="preserve">,</w:t>
      </w:r>
      <w:r>
        <w:rPr>
          <w:rFonts w:ascii="Times New Roman" w:hAnsi="Times New Roman" w:eastAsia="Times New Roman" w:cs="Times New Roman"/>
        </w:rPr>
        <w:t xml:space="preserve"> a insegurança jurídica, a ausência de capacitação dos gestores e a falta de ecossistemas de fornecedores constituem obstáculos que limitam a adoção desses instrumentos. De modo convergente, Squeff (2014) demonstra que o poder de compra governamental brasi</w:t>
      </w:r>
      <w:r>
        <w:rPr>
          <w:rFonts w:ascii="Times New Roman" w:hAnsi="Times New Roman" w:eastAsia="Times New Roman" w:cs="Times New Roman"/>
        </w:rPr>
        <w:t xml:space="preserve">leiro permanece subutilizado como ferramenta de política industrial, a despeito de seu imenso potencial financeiro.</w:t>
      </w:r>
      <w:r>
        <w:rPr>
          <w:rFonts w:ascii="Times New Roman" w:hAnsi="Times New Roman" w:eastAsia="Times New Roman" w:cs="Times New Roman"/>
        </w:rPr>
      </w:r>
      <w:r>
        <w:rPr>
          <w:rFonts w:ascii="Times New Roman" w:hAnsi="Times New Roman" w:cs="Times New Roman"/>
        </w:rPr>
      </w:r>
    </w:p>
    <w:p w14:paraId="454F4053" w14:textId="7CC061BA">
      <w:pPr>
        <w:pBdr/>
        <w:spacing w:after="0"/>
        <w:ind w:firstLine="720"/>
        <w:jc w:val="both"/>
        <w:rPr>
          <w:rFonts w:ascii="Times New Roman" w:hAnsi="Times New Roman" w:cs="Times New Roman"/>
        </w:rPr>
      </w:pPr>
      <w:r>
        <w:rPr>
          <w:rFonts w:ascii="Times New Roman" w:hAnsi="Times New Roman" w:eastAsia="Times New Roman" w:cs="Times New Roman"/>
        </w:rPr>
        <w:t xml:space="preserve">D</w:t>
      </w:r>
      <w:r>
        <w:rPr>
          <w:rFonts w:ascii="Times New Roman" w:hAnsi="Times New Roman" w:eastAsia="Times New Roman" w:cs="Times New Roman"/>
        </w:rPr>
        <w:t xml:space="preserve">iante desse panorama, identifica-se uma lacuna clara na literatura acadêmica. Embora os instrumentos normativos estejam amplamente documentados, há carência de estudos que proponham ferramentas operacionais de apoio à decisão capazes de reduzir a incerteza</w:t>
      </w:r>
      <w:r>
        <w:rPr>
          <w:rFonts w:ascii="Times New Roman" w:hAnsi="Times New Roman" w:eastAsia="Times New Roman" w:cs="Times New Roman"/>
        </w:rPr>
        <w:t xml:space="preserve"> do gestor na instrução processual de contratações com conteúdo de inovação.</w:t>
      </w:r>
      <w:r>
        <w:rPr>
          <w:rFonts w:ascii="Times New Roman" w:hAnsi="Times New Roman" w:eastAsia="Times New Roman" w:cs="Times New Roman"/>
        </w:rPr>
      </w:r>
      <w:r>
        <w:rPr>
          <w:rFonts w:ascii="Times New Roman" w:hAnsi="Times New Roman" w:cs="Times New Roman"/>
        </w:rPr>
      </w:r>
    </w:p>
    <w:p w14:paraId="470A8297" w14:textId="00D9CB95">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37850F31" w14:textId="77777777">
      <w:pPr>
        <w:pBdr/>
        <w:spacing w:after="0"/>
        <w:ind/>
        <w:jc w:val="both"/>
        <w:rPr>
          <w:rFonts w:ascii="Times New Roman" w:hAnsi="Times New Roman" w:cs="Times New Roman"/>
          <w:b/>
          <w:bCs/>
        </w:rPr>
      </w:pPr>
      <w:r>
        <w:rPr>
          <w:rFonts w:ascii="Times New Roman" w:hAnsi="Times New Roman" w:eastAsia="Times New Roman" w:cs="Times New Roman"/>
          <w:b/>
          <w:bCs/>
        </w:rPr>
        <w:t xml:space="preserve">2.2 Compliance no Setor Público</w:t>
      </w:r>
      <w:r>
        <w:rPr>
          <w:rFonts w:ascii="Times New Roman" w:hAnsi="Times New Roman" w:eastAsia="Times New Roman" w:cs="Times New Roman"/>
          <w:b/>
          <w:bCs/>
        </w:rPr>
      </w:r>
      <w:r>
        <w:rPr>
          <w:rFonts w:ascii="Times New Roman" w:hAnsi="Times New Roman" w:cs="Times New Roman"/>
          <w:b/>
          <w:bCs/>
        </w:rPr>
      </w:r>
    </w:p>
    <w:p w14:paraId="3B77BFB9">
      <w:pPr>
        <w:pBdr/>
        <w:spacing w:after="0"/>
        <w:ind w:firstLine="720"/>
        <w:jc w:val="both"/>
        <w:rPr>
          <w:rFonts w:ascii="Times New Roman" w:hAnsi="Times New Roman" w:cs="Times New Roman"/>
        </w:rPr>
      </w:pPr>
      <w:r>
        <w:rPr>
          <w:rFonts w:ascii="Times New Roman" w:hAnsi="Times New Roman" w:eastAsia="Times New Roman" w:cs="Times New Roman"/>
        </w:rPr>
        <w:t xml:space="preserve">O</w:t>
      </w:r>
      <w:r>
        <w:rPr>
          <w:rFonts w:ascii="Times New Roman" w:hAnsi="Times New Roman" w:eastAsia="Times New Roman" w:cs="Times New Roman"/>
        </w:rPr>
        <w:t xml:space="preserve"> conceito de compliance no setor público está associado à necessidade de garantir que a administração pública atue em conformidade com as normas legais e regulatórias aplicáveis. No entanto, a literatura contemporânea de governança pública tem ampliado ess</w:t>
      </w:r>
      <w:r>
        <w:rPr>
          <w:rFonts w:ascii="Times New Roman" w:hAnsi="Times New Roman" w:eastAsia="Times New Roman" w:cs="Times New Roman"/>
        </w:rPr>
        <w:t xml:space="preserve">a acepção para incluir a gestão ativa de riscos, distinguindo a conformidade passiva da capacidade prospectiva de identificar, avaliar e mitigar riscos antes que se materializem em irregularidades (Zymler &amp; Dios, 2019).</w:t>
      </w:r>
      <w:r>
        <w:rPr>
          <w:rFonts w:ascii="Times New Roman" w:hAnsi="Times New Roman" w:eastAsia="Times New Roman" w:cs="Times New Roman"/>
        </w:rPr>
      </w:r>
      <w:r>
        <w:rPr>
          <w:rFonts w:ascii="Times New Roman" w:hAnsi="Times New Roman" w:cs="Times New Roman"/>
        </w:rPr>
      </w:r>
    </w:p>
    <w:p w14:paraId="5F67483C">
      <w:pPr>
        <w:pBdr/>
        <w:spacing w:after="0"/>
        <w:ind w:firstLine="720"/>
        <w:jc w:val="both"/>
        <w:rPr>
          <w:rFonts w:ascii="Times New Roman" w:hAnsi="Times New Roman" w:cs="Times New Roman"/>
        </w:rPr>
      </w:pPr>
      <w:r>
        <w:rPr>
          <w:rFonts w:ascii="Times New Roman" w:hAnsi="Times New Roman" w:eastAsia="Times New Roman" w:cs="Times New Roman"/>
        </w:rPr>
        <w:t xml:space="preserve">N</w:t>
      </w:r>
      <w:r>
        <w:rPr>
          <w:rFonts w:ascii="Times New Roman" w:hAnsi="Times New Roman" w:eastAsia="Times New Roman" w:cs="Times New Roman"/>
        </w:rPr>
        <w:t xml:space="preserve">o contexto brasileiro, a necessidade de compliance é amplificada pela existência de múltiplos órgãos de controle com competências concorrentes. A Constituição Federal de 1988 estabelece um sistema de controle externo exercido pelo Congresso Nacional com o </w:t>
      </w:r>
      <w:r>
        <w:rPr>
          <w:rFonts w:ascii="Times New Roman" w:hAnsi="Times New Roman" w:eastAsia="Times New Roman" w:cs="Times New Roman"/>
        </w:rPr>
        <w:t xml:space="preserve">a</w:t>
      </w:r>
      <w:r>
        <w:rPr>
          <w:rFonts w:ascii="Times New Roman" w:hAnsi="Times New Roman" w:eastAsia="Times New Roman" w:cs="Times New Roman"/>
        </w:rPr>
        <w:t xml:space="preserve">uxílio do Tribunal de Contas da União (TCU), complementado pelo controle interno de cada Poder (Brasil, 1988). Além do TCU, a Controladoria-Geral da União (CGU), os tribunais de contas estaduais e municipais e o Ministério Público atuam como instâncias de </w:t>
      </w:r>
      <w:r>
        <w:rPr>
          <w:rFonts w:ascii="Times New Roman" w:hAnsi="Times New Roman" w:eastAsia="Times New Roman" w:cs="Times New Roman"/>
        </w:rPr>
        <w:t xml:space="preserve">f</w:t>
      </w:r>
      <w:r>
        <w:rPr>
          <w:rFonts w:ascii="Times New Roman" w:hAnsi="Times New Roman" w:eastAsia="Times New Roman" w:cs="Times New Roman"/>
        </w:rPr>
        <w:t xml:space="preserve">iscalização. Essa multiplicidade de agentes cria um ambiente de alta densidade regulatória, no qual as decisões dos gestores estão sujeitas a escrutínio simultâneo por diferentes instâncias, cada uma com metodologias e prioridades distintas (Sundfeld, 2014</w:t>
      </w:r>
      <w:r>
        <w:rPr>
          <w:rFonts w:ascii="Times New Roman" w:hAnsi="Times New Roman" w:eastAsia="Times New Roman" w:cs="Times New Roman"/>
        </w:rPr>
        <w:t xml:space="preserve">).</w:t>
      </w:r>
      <w:r>
        <w:rPr>
          <w:rFonts w:ascii="Times New Roman" w:hAnsi="Times New Roman" w:eastAsia="Times New Roman" w:cs="Times New Roman"/>
        </w:rPr>
      </w:r>
      <w:r>
        <w:rPr>
          <w:rFonts w:ascii="Times New Roman" w:hAnsi="Times New Roman" w:cs="Times New Roman"/>
        </w:rPr>
      </w:r>
    </w:p>
    <w:p w14:paraId="19AFD110">
      <w:pPr>
        <w:pBdr/>
        <w:spacing w:after="0"/>
        <w:ind w:firstLine="720"/>
        <w:jc w:val="both"/>
        <w:rPr>
          <w:rFonts w:ascii="Times New Roman" w:hAnsi="Times New Roman" w:cs="Times New Roman"/>
        </w:rPr>
      </w:pPr>
      <w:r>
        <w:rPr>
          <w:rFonts w:ascii="Times New Roman" w:hAnsi="Times New Roman" w:eastAsia="Times New Roman" w:cs="Times New Roman"/>
        </w:rPr>
        <w:t xml:space="preserve">A</w:t>
      </w:r>
      <w:r>
        <w:rPr>
          <w:rFonts w:ascii="Times New Roman" w:hAnsi="Times New Roman" w:eastAsia="Times New Roman" w:cs="Times New Roman"/>
        </w:rPr>
        <w:t xml:space="preserve"> intensidade do controle, paradoxalmente, pode produzir efeitos disfuncionais sistêmicos. Guimarães (2016) cunhou a expressão "Direito Administrativo do Medo" para descrever o fenômeno pelo qual o excesso de responsabilização pessoal dos agentes públicos g</w:t>
      </w:r>
      <w:r>
        <w:rPr>
          <w:rFonts w:ascii="Times New Roman" w:hAnsi="Times New Roman" w:eastAsia="Times New Roman" w:cs="Times New Roman"/>
        </w:rPr>
        <w:t xml:space="preserve">e</w:t>
      </w:r>
      <w:r>
        <w:rPr>
          <w:rFonts w:ascii="Times New Roman" w:hAnsi="Times New Roman" w:eastAsia="Times New Roman" w:cs="Times New Roman"/>
        </w:rPr>
        <w:t xml:space="preserve">ra uma cultura de aversão ao risco que paralisa a administração. Nesse contexto, o gestor público internaliza o risco jurídico de forma desproporcional, optando por decisões conservadoras que minimizem a probabilidade de questionamento posterior, ainda que</w:t>
      </w:r>
      <w:r>
        <w:rPr>
          <w:rFonts w:ascii="Times New Roman" w:hAnsi="Times New Roman" w:eastAsia="Times New Roman" w:cs="Times New Roman"/>
        </w:rPr>
        <w:t xml:space="preserve"> </w:t>
      </w:r>
      <w:r>
        <w:rPr>
          <w:rFonts w:ascii="Times New Roman" w:hAnsi="Times New Roman" w:eastAsia="Times New Roman" w:cs="Times New Roman"/>
        </w:rPr>
        <w:t xml:space="preserve">ao custo de renunciar a contratações que poderiam gerar valor público. Portanto, a assimetria é relevante, uma vez que o sistema dispõe de alta capacidade de identificação retrospectiva de erros, mas oferece baixa disponibilidade de instrumentos prospectiv</w:t>
      </w:r>
      <w:r>
        <w:rPr>
          <w:rFonts w:ascii="Times New Roman" w:hAnsi="Times New Roman" w:eastAsia="Times New Roman" w:cs="Times New Roman"/>
        </w:rPr>
        <w:t xml:space="preserve">os de gestão de risco (Sundfeld, 2014).</w:t>
      </w:r>
      <w:r>
        <w:rPr>
          <w:rFonts w:ascii="Times New Roman" w:hAnsi="Times New Roman" w:eastAsia="Times New Roman" w:cs="Times New Roman"/>
        </w:rPr>
      </w:r>
      <w:r>
        <w:rPr>
          <w:rFonts w:ascii="Times New Roman" w:hAnsi="Times New Roman" w:cs="Times New Roman"/>
        </w:rPr>
      </w:r>
    </w:p>
    <w:p w14:paraId="2A19554C" w14:textId="318DF8A5">
      <w:pPr>
        <w:pBdr/>
        <w:spacing w:after="0"/>
        <w:ind w:firstLine="720"/>
        <w:jc w:val="both"/>
        <w:rPr>
          <w:rFonts w:ascii="Times New Roman" w:hAnsi="Times New Roman" w:cs="Times New Roman"/>
        </w:rPr>
      </w:pPr>
      <w:r>
        <w:rPr>
          <w:rFonts w:ascii="Times New Roman" w:hAnsi="Times New Roman" w:eastAsia="Times New Roman" w:cs="Times New Roman"/>
        </w:rPr>
        <w:t xml:space="preserve">E</w:t>
      </w:r>
      <w:r>
        <w:rPr>
          <w:rFonts w:ascii="Times New Roman" w:hAnsi="Times New Roman" w:eastAsia="Times New Roman" w:cs="Times New Roman"/>
        </w:rPr>
        <w:t xml:space="preserve">ssa configuração institucional evidencia a necessidade urgente de ferramentas que permitam ao gestor documentar de forma estruturada e rastreável as razões de suas decisões. Na ausência de tais ferramentas, o ciclo de aversão ao risco tende a se perpetuar </w:t>
      </w:r>
      <w:r>
        <w:rPr>
          <w:rFonts w:ascii="Times New Roman" w:hAnsi="Times New Roman" w:eastAsia="Times New Roman" w:cs="Times New Roman"/>
        </w:rPr>
        <w:t xml:space="preserve">de modo nocivo, uma vez que a falta de documentação adequada aumenta a vulnerabilidade do administrador a questionamentos futuros.</w:t>
      </w:r>
      <w:r>
        <w:rPr>
          <w:rFonts w:ascii="Times New Roman" w:hAnsi="Times New Roman" w:eastAsia="Times New Roman" w:cs="Times New Roman"/>
        </w:rPr>
      </w:r>
      <w:r>
        <w:rPr>
          <w:rFonts w:ascii="Times New Roman" w:hAnsi="Times New Roman" w:cs="Times New Roman"/>
        </w:rPr>
      </w:r>
    </w:p>
    <w:p w14:paraId="46E9CDA7" w14:textId="50828FB1">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3A416C0D" w14:textId="77777777">
      <w:pPr>
        <w:pBdr/>
        <w:spacing w:after="0"/>
        <w:ind/>
        <w:jc w:val="both"/>
        <w:rPr>
          <w:rFonts w:ascii="Times New Roman" w:hAnsi="Times New Roman" w:cs="Times New Roman"/>
          <w:b/>
          <w:bCs/>
        </w:rPr>
      </w:pPr>
      <w:r>
        <w:rPr>
          <w:rFonts w:ascii="Times New Roman" w:hAnsi="Times New Roman" w:eastAsia="Times New Roman" w:cs="Times New Roman"/>
          <w:b/>
          <w:bCs/>
        </w:rPr>
        <w:t xml:space="preserve">2.3 Governança Algorítmica</w:t>
      </w:r>
      <w:r>
        <w:rPr>
          <w:rFonts w:ascii="Times New Roman" w:hAnsi="Times New Roman" w:eastAsia="Times New Roman" w:cs="Times New Roman"/>
          <w:b/>
          <w:bCs/>
        </w:rPr>
      </w:r>
      <w:r>
        <w:rPr>
          <w:rFonts w:ascii="Times New Roman" w:hAnsi="Times New Roman" w:cs="Times New Roman"/>
          <w:b/>
          <w:bCs/>
        </w:rPr>
      </w:r>
    </w:p>
    <w:p w14:paraId="15C506EB">
      <w:pPr>
        <w:pBdr/>
        <w:spacing w:after="0"/>
        <w:ind w:firstLine="720"/>
        <w:jc w:val="both"/>
        <w:rPr>
          <w:rFonts w:ascii="Times New Roman" w:hAnsi="Times New Roman" w:cs="Times New Roman"/>
        </w:rPr>
      </w:pPr>
      <w:r>
        <w:rPr>
          <w:rFonts w:ascii="Times New Roman" w:hAnsi="Times New Roman" w:eastAsia="Times New Roman" w:cs="Times New Roman"/>
        </w:rPr>
        <w:t xml:space="preserve">A</w:t>
      </w:r>
      <w:r>
        <w:rPr>
          <w:rFonts w:ascii="Times New Roman" w:hAnsi="Times New Roman" w:eastAsia="Times New Roman" w:cs="Times New Roman"/>
        </w:rPr>
        <w:t xml:space="preserve"> incorporação de inteligência artificial em processos decisórios do setor público levanta questões fundamentais de governança que transcendem a dimensão puramente técnica. A governança algorítmica pode ser definida como o conjunto de princípios, práticas e</w:t>
      </w:r>
      <w:r>
        <w:rPr>
          <w:rFonts w:ascii="Times New Roman" w:hAnsi="Times New Roman" w:eastAsia="Times New Roman" w:cs="Times New Roman"/>
        </w:rPr>
        <w:t xml:space="preserve"> mecanismos institucionais que regulam a utilização de algoritmos em processos administrativos, com atenção primária à transparência, à explicabilidade e à accountability (Danaher et al., 2017; Janssen et al., 2020).</w:t>
      </w:r>
      <w:r>
        <w:rPr>
          <w:rFonts w:ascii="Times New Roman" w:hAnsi="Times New Roman" w:eastAsia="Times New Roman" w:cs="Times New Roman"/>
        </w:rPr>
      </w:r>
      <w:r>
        <w:rPr>
          <w:rFonts w:ascii="Times New Roman" w:hAnsi="Times New Roman" w:cs="Times New Roman"/>
        </w:rPr>
      </w:r>
    </w:p>
    <w:p w14:paraId="3635A581">
      <w:pPr>
        <w:pBdr/>
        <w:spacing w:after="0"/>
        <w:ind w:firstLine="720"/>
        <w:jc w:val="both"/>
        <w:rPr>
          <w:rFonts w:ascii="Times New Roman" w:hAnsi="Times New Roman" w:cs="Times New Roman"/>
        </w:rPr>
      </w:pPr>
      <w:r>
        <w:rPr>
          <w:rFonts w:ascii="Times New Roman" w:hAnsi="Times New Roman" w:eastAsia="Times New Roman" w:cs="Times New Roman"/>
        </w:rPr>
        <w:t xml:space="preserve">N</w:t>
      </w:r>
      <w:r>
        <w:rPr>
          <w:rFonts w:ascii="Times New Roman" w:hAnsi="Times New Roman" w:eastAsia="Times New Roman" w:cs="Times New Roman"/>
        </w:rPr>
        <w:t xml:space="preserve">esse campo de estudo, Zuiderwijk et al. (2021) conduziram uma revisão sistemática sobre as implicações do uso de inteligência artificial na governança pública, identificando que os princípios de transparência são recorrentemente apontados como requisitos p</w:t>
      </w:r>
      <w:r>
        <w:rPr>
          <w:rFonts w:ascii="Times New Roman" w:hAnsi="Times New Roman" w:eastAsia="Times New Roman" w:cs="Times New Roman"/>
        </w:rPr>
        <w:t xml:space="preserve">a</w:t>
      </w:r>
      <w:r>
        <w:rPr>
          <w:rFonts w:ascii="Times New Roman" w:hAnsi="Times New Roman" w:eastAsia="Times New Roman" w:cs="Times New Roman"/>
        </w:rPr>
        <w:t xml:space="preserve">ra a legitimidade dos sistemas no Estado. De forma complementar, Passotti et al. (2022) propõem um framework para a tomada de decisão algorítmica na administração pública, enfatizando que a governança tecnológica envolve categoricamente a definição de papé</w:t>
      </w:r>
      <w:r>
        <w:rPr>
          <w:rFonts w:ascii="Times New Roman" w:hAnsi="Times New Roman" w:eastAsia="Times New Roman" w:cs="Times New Roman"/>
        </w:rPr>
        <w:t xml:space="preserve">is e responsabilidades, os mecanismos de supervisão humana e os procedimentos formais de prestação de contas.</w:t>
      </w:r>
      <w:r>
        <w:rPr>
          <w:rFonts w:ascii="Times New Roman" w:hAnsi="Times New Roman" w:eastAsia="Times New Roman" w:cs="Times New Roman"/>
        </w:rPr>
      </w:r>
      <w:r>
        <w:rPr>
          <w:rFonts w:ascii="Times New Roman" w:hAnsi="Times New Roman" w:cs="Times New Roman"/>
        </w:rPr>
      </w:r>
    </w:p>
    <w:p w14:paraId="04653783">
      <w:pPr>
        <w:pBdr/>
        <w:spacing w:after="0"/>
        <w:ind w:firstLine="720"/>
        <w:jc w:val="both"/>
        <w:rPr>
          <w:rFonts w:ascii="Times New Roman" w:hAnsi="Times New Roman" w:cs="Times New Roman"/>
        </w:rPr>
      </w:pPr>
      <w:r>
        <w:rPr>
          <w:rFonts w:ascii="Times New Roman" w:hAnsi="Times New Roman" w:eastAsia="Times New Roman" w:cs="Times New Roman"/>
        </w:rPr>
        <w:t xml:space="preserve">A</w:t>
      </w:r>
      <w:r>
        <w:rPr>
          <w:rFonts w:ascii="Times New Roman" w:hAnsi="Times New Roman" w:eastAsia="Times New Roman" w:cs="Times New Roman"/>
        </w:rPr>
        <w:t xml:space="preserve"> literatura também destaca os graves riscos associados à opacidade algorítmica. Veale e Brass (2019) argumentam que a adoção de machine learning na administração pública pode reproduzir e amplificar vieses institucionais existentes, especialmente quando os</w:t>
      </w:r>
      <w:r>
        <w:rPr>
          <w:rFonts w:ascii="Times New Roman" w:hAnsi="Times New Roman" w:eastAsia="Times New Roman" w:cs="Times New Roman"/>
        </w:rPr>
        <w:t xml:space="preserve"> </w:t>
      </w:r>
      <w:r>
        <w:rPr>
          <w:rFonts w:ascii="Times New Roman" w:hAnsi="Times New Roman" w:eastAsia="Times New Roman" w:cs="Times New Roman"/>
        </w:rPr>
        <w:t xml:space="preserve">dados utilizados para treinamento refletem desigualdades estruturais históricas. Nessa perspectiva crítica, Freedman et al. (2020) discutem o conceito de algorithmic accountability, argumentando que os sistemas baseados em dados no setor público devem ser </w:t>
      </w:r>
      <w:r>
        <w:rPr>
          <w:rFonts w:ascii="Times New Roman" w:hAnsi="Times New Roman" w:eastAsia="Times New Roman" w:cs="Times New Roman"/>
        </w:rPr>
        <w:t xml:space="preserve">submetidos a mecanismos de supervisão e auditoria contínuos, permitindo verificar se as decisões produzidas são consistentes com os princípios constitucionais.</w:t>
      </w:r>
      <w:r>
        <w:rPr>
          <w:rFonts w:ascii="Times New Roman" w:hAnsi="Times New Roman" w:eastAsia="Times New Roman" w:cs="Times New Roman"/>
        </w:rPr>
      </w:r>
      <w:r>
        <w:rPr>
          <w:rFonts w:ascii="Times New Roman" w:hAnsi="Times New Roman" w:cs="Times New Roman"/>
        </w:rPr>
      </w:r>
    </w:p>
    <w:p w14:paraId="633B5AEE" w14:textId="1DFF04C9">
      <w:pPr>
        <w:pBdr/>
        <w:spacing w:after="0"/>
        <w:ind w:firstLine="720"/>
        <w:jc w:val="both"/>
        <w:rPr>
          <w:rFonts w:ascii="Times New Roman" w:hAnsi="Times New Roman" w:cs="Times New Roman"/>
        </w:rPr>
      </w:pPr>
      <w:r>
        <w:rPr>
          <w:rFonts w:ascii="Times New Roman" w:hAnsi="Times New Roman" w:eastAsia="Times New Roman" w:cs="Times New Roman"/>
        </w:rPr>
        <w:t xml:space="preserve">O</w:t>
      </w:r>
      <w:r>
        <w:rPr>
          <w:rFonts w:ascii="Times New Roman" w:hAnsi="Times New Roman" w:eastAsia="Times New Roman" w:cs="Times New Roman"/>
        </w:rPr>
        <w:t xml:space="preserve"> framework proposto neste estudo alinha-se diretamente a essa perspectiva conceitual ao priorizar a explicabilidade sobre a precisão preditiva isolada. Desse modo, concebe-se o modelo não como substituto da cognição humana, mas como infraestrutura de apoio</w:t>
      </w:r>
      <w:r>
        <w:rPr>
          <w:rFonts w:ascii="Times New Roman" w:hAnsi="Times New Roman" w:eastAsia="Times New Roman" w:cs="Times New Roman"/>
        </w:rPr>
        <w:t xml:space="preserve"> que torna o processo decisório mais transparente, justificável e rastreável.</w:t>
      </w:r>
      <w:r>
        <w:rPr>
          <w:rFonts w:ascii="Times New Roman" w:hAnsi="Times New Roman" w:eastAsia="Times New Roman" w:cs="Times New Roman"/>
        </w:rPr>
      </w:r>
      <w:r>
        <w:rPr>
          <w:rFonts w:ascii="Times New Roman" w:hAnsi="Times New Roman" w:cs="Times New Roman"/>
        </w:rPr>
      </w:r>
    </w:p>
    <w:p w14:paraId="6328E1DB" w14:textId="647E58AD">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7DC74366" w14:textId="77777777">
      <w:pPr>
        <w:pBdr/>
        <w:spacing w:after="0"/>
        <w:ind/>
        <w:jc w:val="both"/>
        <w:rPr>
          <w:rFonts w:ascii="Times New Roman" w:hAnsi="Times New Roman" w:cs="Times New Roman"/>
          <w:b/>
          <w:bCs/>
        </w:rPr>
      </w:pPr>
      <w:r>
        <w:rPr>
          <w:rFonts w:ascii="Times New Roman" w:hAnsi="Times New Roman" w:eastAsia="Times New Roman" w:cs="Times New Roman"/>
          <w:b/>
          <w:bCs/>
        </w:rPr>
        <w:t xml:space="preserve">2.4 Inteligência Artificial Explicável (XAI)</w:t>
      </w:r>
      <w:r>
        <w:rPr>
          <w:rFonts w:ascii="Times New Roman" w:hAnsi="Times New Roman" w:eastAsia="Times New Roman" w:cs="Times New Roman"/>
          <w:b/>
          <w:bCs/>
        </w:rPr>
      </w:r>
      <w:r>
        <w:rPr>
          <w:rFonts w:ascii="Times New Roman" w:hAnsi="Times New Roman" w:cs="Times New Roman"/>
          <w:b/>
          <w:bCs/>
        </w:rPr>
      </w:r>
    </w:p>
    <w:p w14:paraId="493A327B">
      <w:pPr>
        <w:pBdr/>
        <w:spacing w:after="0"/>
        <w:ind w:firstLine="720"/>
        <w:jc w:val="both"/>
        <w:rPr>
          <w:rFonts w:ascii="Times New Roman" w:hAnsi="Times New Roman" w:cs="Times New Roman"/>
        </w:rPr>
      </w:pPr>
      <w:r>
        <w:rPr>
          <w:rFonts w:ascii="Times New Roman" w:hAnsi="Times New Roman" w:eastAsia="Times New Roman" w:cs="Times New Roman"/>
        </w:rPr>
        <w:t xml:space="preserve">A</w:t>
      </w:r>
      <w:r>
        <w:rPr>
          <w:rFonts w:ascii="Times New Roman" w:hAnsi="Times New Roman" w:eastAsia="Times New Roman" w:cs="Times New Roman"/>
        </w:rPr>
        <w:t xml:space="preserve"> Inteligência Artificial Explicável (XAI) refere-se ao conjunto de técnicas que permitem compreender como modelos de aprendizado de máquina chegam às suas previsões matemáticas. Arrieta et al. (2020) apresentam uma revisão abrangente do campo, definindo XA</w:t>
      </w:r>
      <w:r>
        <w:rPr>
          <w:rFonts w:ascii="Times New Roman" w:hAnsi="Times New Roman" w:eastAsia="Times New Roman" w:cs="Times New Roman"/>
        </w:rPr>
        <w:t xml:space="preserve">I como a capacidade de produzir explicações compreensíveis para seres humanos sobre o funcionamento de caixas opacas, de modo a viabilizar a confiança, a auditabilidade e a responsabilização cível.</w:t>
      </w:r>
      <w:r>
        <w:rPr>
          <w:rFonts w:ascii="Times New Roman" w:hAnsi="Times New Roman" w:eastAsia="Times New Roman" w:cs="Times New Roman"/>
        </w:rPr>
      </w:r>
      <w:r>
        <w:rPr>
          <w:rFonts w:ascii="Times New Roman" w:hAnsi="Times New Roman" w:cs="Times New Roman"/>
        </w:rPr>
      </w:r>
    </w:p>
    <w:p w14:paraId="5BAEB263">
      <w:pPr>
        <w:pBdr/>
        <w:spacing w:after="0"/>
        <w:ind w:firstLine="720"/>
        <w:jc w:val="both"/>
        <w:rPr>
          <w:rFonts w:ascii="Times New Roman" w:hAnsi="Times New Roman" w:cs="Times New Roman"/>
        </w:rPr>
      </w:pPr>
      <w:r>
        <w:rPr>
          <w:rFonts w:ascii="Times New Roman" w:hAnsi="Times New Roman" w:eastAsia="Times New Roman" w:cs="Times New Roman"/>
        </w:rPr>
        <w:t xml:space="preserve">N</w:t>
      </w:r>
      <w:r>
        <w:rPr>
          <w:rFonts w:ascii="Times New Roman" w:hAnsi="Times New Roman" w:eastAsia="Times New Roman" w:cs="Times New Roman"/>
        </w:rPr>
        <w:t xml:space="preserve">o plano técnico de computação, três abordagens destacam-se na literatura dominante. A primeira é o LIME, que gera explicações locais para previsões individuais por meio da aproximação do comportamento do modelo por equações interpretáveis em uma vizinhança</w:t>
      </w:r>
      <w:r>
        <w:rPr>
          <w:rFonts w:ascii="Times New Roman" w:hAnsi="Times New Roman" w:eastAsia="Times New Roman" w:cs="Times New Roman"/>
        </w:rPr>
        <w:t xml:space="preserve"> </w:t>
      </w:r>
      <w:r>
        <w:rPr>
          <w:rFonts w:ascii="Times New Roman" w:hAnsi="Times New Roman" w:eastAsia="Times New Roman" w:cs="Times New Roman"/>
        </w:rPr>
        <w:t xml:space="preserve">do ponto de interesse (Ribeiro et al., 2016). A segunda é o SHAP, que utiliza valores de Shapley da teoria dos jogos cooperativos para atribuir a cada variável uma contribuição marginal à previsão do sistema (Lundberg &amp; Lee, 2017). A terceira abordagem env</w:t>
      </w:r>
      <w:r>
        <w:rPr>
          <w:rFonts w:ascii="Times New Roman" w:hAnsi="Times New Roman" w:eastAsia="Times New Roman" w:cs="Times New Roman"/>
        </w:rPr>
        <w:t xml:space="preserve">olve medidas de feature importance derivadas diretamente de algoritmos baseados em árvores de decisão, como o random forest, as quais quantificam a contribuição média de cada variável para a redução da impureza nas partições (Molnar, 2020).</w:t>
      </w:r>
      <w:r>
        <w:rPr>
          <w:rFonts w:ascii="Times New Roman" w:hAnsi="Times New Roman" w:eastAsia="Times New Roman" w:cs="Times New Roman"/>
        </w:rPr>
      </w:r>
      <w:r>
        <w:rPr>
          <w:rFonts w:ascii="Times New Roman" w:hAnsi="Times New Roman" w:cs="Times New Roman"/>
        </w:rPr>
      </w:r>
    </w:p>
    <w:p w14:paraId="34D81D05">
      <w:pPr>
        <w:pBdr/>
        <w:spacing w:after="0"/>
        <w:ind w:firstLine="720"/>
        <w:jc w:val="both"/>
        <w:rPr>
          <w:rFonts w:ascii="Times New Roman" w:hAnsi="Times New Roman" w:cs="Times New Roman"/>
        </w:rPr>
      </w:pPr>
      <w:r>
        <w:rPr>
          <w:rFonts w:ascii="Times New Roman" w:hAnsi="Times New Roman" w:eastAsia="Times New Roman" w:cs="Times New Roman"/>
        </w:rPr>
        <w:t xml:space="preserve">A</w:t>
      </w:r>
      <w:r>
        <w:rPr>
          <w:rFonts w:ascii="Times New Roman" w:hAnsi="Times New Roman" w:eastAsia="Times New Roman" w:cs="Times New Roman"/>
        </w:rPr>
        <w:t xml:space="preserve"> teoria de XAI distingue rigidamente entre explicabilidade local e global. A explicabilidade local responde à motivação específica de um caso individual, enquanto a explicabilidade global responde sobre quais fatores são mais influentes no modelo como um t</w:t>
      </w:r>
      <w:r>
        <w:rPr>
          <w:rFonts w:ascii="Times New Roman" w:hAnsi="Times New Roman" w:eastAsia="Times New Roman" w:cs="Times New Roman"/>
        </w:rPr>
        <w:t xml:space="preserve">o</w:t>
      </w:r>
      <w:r>
        <w:rPr>
          <w:rFonts w:ascii="Times New Roman" w:hAnsi="Times New Roman" w:eastAsia="Times New Roman" w:cs="Times New Roman"/>
        </w:rPr>
        <w:t xml:space="preserve">do (Molnar, 2020). Ambas as perspectivas mostram-se relevantes para o framework proposto, pois a explicabilidade local permite ao gestor avaliar um processo licitatório específico, enquanto a visão global permite identificar padrões sistêmicos de aquisiçõe</w:t>
      </w:r>
      <w:r>
        <w:rPr>
          <w:rFonts w:ascii="Times New Roman" w:hAnsi="Times New Roman" w:eastAsia="Times New Roman" w:cs="Times New Roman"/>
        </w:rPr>
        <w:t xml:space="preserve">s.</w:t>
      </w:r>
      <w:r>
        <w:rPr>
          <w:rFonts w:ascii="Times New Roman" w:hAnsi="Times New Roman" w:eastAsia="Times New Roman" w:cs="Times New Roman"/>
        </w:rPr>
      </w:r>
      <w:r>
        <w:rPr>
          <w:rFonts w:ascii="Times New Roman" w:hAnsi="Times New Roman" w:cs="Times New Roman"/>
        </w:rPr>
      </w:r>
    </w:p>
    <w:p w14:paraId="3A600352" w14:textId="10E10F7B">
      <w:pPr>
        <w:pBdr/>
        <w:spacing w:after="0"/>
        <w:ind w:firstLine="720"/>
        <w:jc w:val="both"/>
        <w:rPr>
          <w:rFonts w:ascii="Times New Roman" w:hAnsi="Times New Roman" w:cs="Times New Roman"/>
        </w:rPr>
      </w:pPr>
      <w:r>
        <w:rPr>
          <w:rFonts w:ascii="Times New Roman" w:hAnsi="Times New Roman" w:eastAsia="Times New Roman" w:cs="Times New Roman"/>
        </w:rPr>
        <w:t xml:space="preserve">N</w:t>
      </w:r>
      <w:r>
        <w:rPr>
          <w:rFonts w:ascii="Times New Roman" w:hAnsi="Times New Roman" w:eastAsia="Times New Roman" w:cs="Times New Roman"/>
        </w:rPr>
        <w:t xml:space="preserve">o contexto de decisões públicas, a explicabilidade assume importância que transcende a conveniência de programação, configurando-se como um requisito de legitimidade institucional. Selbst e Barocas (2018) argumentam que, em contextos nos quais decisões alg</w:t>
      </w:r>
      <w:r>
        <w:rPr>
          <w:rFonts w:ascii="Times New Roman" w:hAnsi="Times New Roman" w:eastAsia="Times New Roman" w:cs="Times New Roman"/>
        </w:rPr>
        <w:t xml:space="preserve">o</w:t>
      </w:r>
      <w:r>
        <w:rPr>
          <w:rFonts w:ascii="Times New Roman" w:hAnsi="Times New Roman" w:eastAsia="Times New Roman" w:cs="Times New Roman"/>
        </w:rPr>
        <w:t xml:space="preserve">rítmicas afetam direitos e interesses, a capacidade de explicar as razões da máquina é condição necessária para o exercício do contraditório. No contexto específico do "apagão das canetas", a explicabilidade permite ao gestor compreender os fatores exatos </w:t>
      </w:r>
      <w:r>
        <w:rPr>
          <w:rFonts w:ascii="Times New Roman" w:hAnsi="Times New Roman" w:eastAsia="Times New Roman" w:cs="Times New Roman"/>
        </w:rPr>
        <w:t xml:space="preserve">que influenciaram a análise de risco, utilizando essa informação para fundamentar de forma inatacável sua decisão administrativa.</w:t>
      </w:r>
      <w:r>
        <w:rPr>
          <w:rFonts w:ascii="Times New Roman" w:hAnsi="Times New Roman" w:eastAsia="Times New Roman" w:cs="Times New Roman"/>
        </w:rPr>
      </w:r>
      <w:r>
        <w:rPr>
          <w:rFonts w:ascii="Times New Roman" w:hAnsi="Times New Roman" w:cs="Times New Roman"/>
        </w:rPr>
      </w:r>
    </w:p>
    <w:p w14:paraId="6FF490C1" w14:textId="688D8AAA">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7BC36386" w14:textId="77777777">
      <w:pPr>
        <w:pBdr/>
        <w:spacing w:after="0"/>
        <w:ind/>
        <w:jc w:val="both"/>
        <w:rPr>
          <w:rFonts w:ascii="Times New Roman" w:hAnsi="Times New Roman" w:cs="Times New Roman"/>
          <w:b/>
          <w:bCs/>
        </w:rPr>
      </w:pPr>
      <w:r>
        <w:rPr>
          <w:rFonts w:ascii="Times New Roman" w:hAnsi="Times New Roman" w:eastAsia="Times New Roman" w:cs="Times New Roman"/>
          <w:b/>
          <w:bCs/>
        </w:rPr>
        <w:t xml:space="preserve">2.5 Blockchain para Auditoria</w:t>
      </w:r>
      <w:r>
        <w:rPr>
          <w:rFonts w:ascii="Times New Roman" w:hAnsi="Times New Roman" w:eastAsia="Times New Roman" w:cs="Times New Roman"/>
          <w:b/>
          <w:bCs/>
        </w:rPr>
      </w:r>
      <w:r>
        <w:rPr>
          <w:rFonts w:ascii="Times New Roman" w:hAnsi="Times New Roman" w:cs="Times New Roman"/>
          <w:b/>
          <w:bCs/>
        </w:rPr>
      </w:r>
    </w:p>
    <w:p w14:paraId="6EA54C58">
      <w:pPr>
        <w:pBdr/>
        <w:spacing w:after="0"/>
        <w:ind w:firstLine="720"/>
        <w:jc w:val="both"/>
        <w:rPr>
          <w:rFonts w:ascii="Times New Roman" w:hAnsi="Times New Roman" w:cs="Times New Roman"/>
        </w:rPr>
      </w:pPr>
      <w:r>
        <w:rPr>
          <w:rFonts w:ascii="Times New Roman" w:hAnsi="Times New Roman" w:eastAsia="Times New Roman" w:cs="Times New Roman"/>
        </w:rPr>
        <w:t xml:space="preserve">O</w:t>
      </w:r>
      <w:r>
        <w:rPr>
          <w:rFonts w:ascii="Times New Roman" w:hAnsi="Times New Roman" w:eastAsia="Times New Roman" w:cs="Times New Roman"/>
        </w:rPr>
        <w:t xml:space="preserve"> blockchain consiste em uma tecnologia de registro distribuído que permite a criação de blocos de dados imutáveis e cronologicamente ordenados, sem a necessidade de uma autoridade central de validação. Ølnes et al. (2017) apresentam uma análise das implica</w:t>
      </w:r>
      <w:r>
        <w:rPr>
          <w:rFonts w:ascii="Times New Roman" w:hAnsi="Times New Roman" w:eastAsia="Times New Roman" w:cs="Times New Roman"/>
        </w:rPr>
        <w:t xml:space="preserve">ções dessa tecnologia para o compartilhamento de informações no setor público, identificando que as principais vantagens residem na integridade estrutural, na transparência e na resistência severa à adulteração de documentos.</w:t>
      </w:r>
      <w:r>
        <w:rPr>
          <w:rFonts w:ascii="Times New Roman" w:hAnsi="Times New Roman" w:eastAsia="Times New Roman" w:cs="Times New Roman"/>
        </w:rPr>
      </w:r>
      <w:r>
        <w:rPr>
          <w:rFonts w:ascii="Times New Roman" w:hAnsi="Times New Roman" w:cs="Times New Roman"/>
        </w:rPr>
      </w:r>
    </w:p>
    <w:p w14:paraId="5857C611">
      <w:pPr>
        <w:pBdr/>
        <w:spacing w:after="0"/>
        <w:ind w:firstLine="720"/>
        <w:jc w:val="both"/>
        <w:rPr>
          <w:rFonts w:ascii="Times New Roman" w:hAnsi="Times New Roman" w:cs="Times New Roman"/>
        </w:rPr>
      </w:pPr>
      <w:r>
        <w:rPr>
          <w:rFonts w:ascii="Times New Roman" w:hAnsi="Times New Roman" w:eastAsia="Times New Roman" w:cs="Times New Roman"/>
        </w:rPr>
        <w:t xml:space="preserve">N</w:t>
      </w:r>
      <w:r>
        <w:rPr>
          <w:rFonts w:ascii="Times New Roman" w:hAnsi="Times New Roman" w:eastAsia="Times New Roman" w:cs="Times New Roman"/>
        </w:rPr>
        <w:t xml:space="preserve">o contexto específico de licitações, Batubara et al. (2018) mapearam aplicações propostas na literatura que incluem a rastreabilidade de transações, a transparência em processos e o registro perpétuo de decisões. De maneira análoga, Kshetri (2018) argument</w:t>
      </w:r>
      <w:r>
        <w:rPr>
          <w:rFonts w:ascii="Times New Roman" w:hAnsi="Times New Roman" w:eastAsia="Times New Roman" w:cs="Times New Roman"/>
        </w:rPr>
        <w:t xml:space="preserve">a que o blockchain possui capacidade real para a redução da corrupção em compras públicas ao criar trilhas de auditoria instantaneamente verificáveis por órgãos fiscais.</w:t>
      </w:r>
      <w:r>
        <w:rPr>
          <w:rFonts w:ascii="Times New Roman" w:hAnsi="Times New Roman" w:eastAsia="Times New Roman" w:cs="Times New Roman"/>
        </w:rPr>
      </w:r>
      <w:r>
        <w:rPr>
          <w:rFonts w:ascii="Times New Roman" w:hAnsi="Times New Roman" w:cs="Times New Roman"/>
        </w:rPr>
      </w:r>
    </w:p>
    <w:p w14:paraId="346E2E34">
      <w:pPr>
        <w:pBdr/>
        <w:spacing w:after="0"/>
        <w:ind w:firstLine="720"/>
        <w:jc w:val="both"/>
        <w:rPr>
          <w:rFonts w:ascii="Times New Roman" w:hAnsi="Times New Roman" w:cs="Times New Roman"/>
        </w:rPr>
      </w:pPr>
      <w:r>
        <w:rPr>
          <w:rFonts w:ascii="Times New Roman" w:hAnsi="Times New Roman" w:eastAsia="Times New Roman" w:cs="Times New Roman"/>
        </w:rPr>
        <w:t xml:space="preserve">C</w:t>
      </w:r>
      <w:r>
        <w:rPr>
          <w:rFonts w:ascii="Times New Roman" w:hAnsi="Times New Roman" w:eastAsia="Times New Roman" w:cs="Times New Roman"/>
        </w:rPr>
        <w:t xml:space="preserve">ontudo, é estritamente necessário distinguir entre promessas teóricas maximalistas e aplicações administrativas realistas. Parte da literatura inicial apresentou o blockchain como panaceia para fraudes governamentais, subestimando limitações fundamentais d</w:t>
      </w:r>
      <w:r>
        <w:rPr>
          <w:rFonts w:ascii="Times New Roman" w:hAnsi="Times New Roman" w:eastAsia="Times New Roman" w:cs="Times New Roman"/>
        </w:rPr>
        <w:t xml:space="preserve">a</w:t>
      </w:r>
      <w:r>
        <w:rPr>
          <w:rFonts w:ascii="Times New Roman" w:hAnsi="Times New Roman" w:eastAsia="Times New Roman" w:cs="Times New Roman"/>
        </w:rPr>
        <w:t xml:space="preserve"> tecnologia. Nesse contexto, a rede pode garantir a integridade do registro, mas é incapaz de verificar se os dados inseridos pelos humanos correspondem à realidade fática, fenômeno conhecido na área da computação como o problema do oráculo (Ølnes et al., </w:t>
      </w:r>
      <w:r>
        <w:rPr>
          <w:rFonts w:ascii="Times New Roman" w:hAnsi="Times New Roman" w:eastAsia="Times New Roman" w:cs="Times New Roman"/>
        </w:rPr>
        <w:t xml:space="preserve">2017).</w:t>
      </w:r>
      <w:r>
        <w:rPr>
          <w:rFonts w:ascii="Times New Roman" w:hAnsi="Times New Roman" w:eastAsia="Times New Roman" w:cs="Times New Roman"/>
        </w:rPr>
      </w:r>
      <w:r>
        <w:rPr>
          <w:rFonts w:ascii="Times New Roman" w:hAnsi="Times New Roman" w:cs="Times New Roman"/>
        </w:rPr>
      </w:r>
    </w:p>
    <w:p w14:paraId="1D40EF3D" w14:textId="1898FBB2">
      <w:pPr>
        <w:pBdr/>
        <w:spacing w:after="0"/>
        <w:ind w:firstLine="720"/>
        <w:jc w:val="both"/>
        <w:rPr>
          <w:rFonts w:ascii="Times New Roman" w:hAnsi="Times New Roman" w:cs="Times New Roman"/>
        </w:rPr>
      </w:pPr>
      <w:r>
        <w:rPr>
          <w:rFonts w:ascii="Times New Roman" w:hAnsi="Times New Roman" w:eastAsia="Times New Roman" w:cs="Times New Roman"/>
        </w:rPr>
        <w:t xml:space="preserve">O</w:t>
      </w:r>
      <w:r>
        <w:rPr>
          <w:rFonts w:ascii="Times New Roman" w:hAnsi="Times New Roman" w:eastAsia="Times New Roman" w:cs="Times New Roman"/>
        </w:rPr>
        <w:t xml:space="preserve"> framework proposto neste estudo reposiciona o blockchain em uma função pontual e institucionalmente exequível, focada na governança de justificativas. Nessa concepção metodológica, a tecnologia é utilizada exclusivamente para registrar de forma imutável o</w:t>
      </w:r>
      <w:r>
        <w:rPr>
          <w:rFonts w:ascii="Times New Roman" w:hAnsi="Times New Roman" w:eastAsia="Times New Roman" w:cs="Times New Roman"/>
        </w:rPr>
        <w:t xml:space="preserve"> </w:t>
      </w:r>
      <w:r>
        <w:rPr>
          <w:rFonts w:ascii="Times New Roman" w:hAnsi="Times New Roman" w:eastAsia="Times New Roman" w:cs="Times New Roman"/>
        </w:rPr>
        <w:t xml:space="preserve">cálculo do escore de risco, a explicação gerada pelo modelo de IA, a justificativa inserida pelo gestor e a decisão final. Essa abordagem apresenta-se realista por garantir que o processo decisório foi documentado de forma estruturada e que os registros te</w:t>
      </w:r>
      <w:r>
        <w:rPr>
          <w:rFonts w:ascii="Times New Roman" w:hAnsi="Times New Roman" w:eastAsia="Times New Roman" w:cs="Times New Roman"/>
        </w:rPr>
        <w:t xml:space="preserve">xtuais não sofreram adulteração posterior para maquiar falhas processuais.</w:t>
      </w:r>
      <w:r>
        <w:rPr>
          <w:rFonts w:ascii="Times New Roman" w:hAnsi="Times New Roman" w:eastAsia="Times New Roman" w:cs="Times New Roman"/>
        </w:rPr>
      </w:r>
      <w:r>
        <w:rPr>
          <w:rFonts w:ascii="Times New Roman" w:hAnsi="Times New Roman" w:cs="Times New Roman"/>
        </w:rPr>
      </w:r>
    </w:p>
    <w:p w14:paraId="5D66ED47" w14:textId="2F7A556E">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4AFC2140" w14:textId="77777777">
      <w:pPr>
        <w:pBdr/>
        <w:spacing w:after="0"/>
        <w:ind/>
        <w:jc w:val="both"/>
        <w:rPr>
          <w:rFonts w:ascii="Times New Roman" w:hAnsi="Times New Roman" w:cs="Times New Roman"/>
          <w:b/>
          <w:bCs/>
        </w:rPr>
      </w:pPr>
      <w:r>
        <w:rPr>
          <w:rFonts w:ascii="Times New Roman" w:hAnsi="Times New Roman" w:eastAsia="Times New Roman" w:cs="Times New Roman"/>
          <w:b/>
          <w:bCs/>
        </w:rPr>
        <w:t xml:space="preserve">2.6 Custos de Transação</w:t>
      </w:r>
      <w:r>
        <w:rPr>
          <w:rFonts w:ascii="Times New Roman" w:hAnsi="Times New Roman" w:eastAsia="Times New Roman" w:cs="Times New Roman"/>
          <w:b/>
          <w:bCs/>
        </w:rPr>
      </w:r>
      <w:r>
        <w:rPr>
          <w:rFonts w:ascii="Times New Roman" w:hAnsi="Times New Roman" w:cs="Times New Roman"/>
          <w:b/>
          <w:bCs/>
        </w:rPr>
      </w:r>
    </w:p>
    <w:p w14:paraId="2C65AB03">
      <w:pPr>
        <w:pBdr/>
        <w:spacing w:after="0"/>
        <w:ind w:firstLine="720"/>
        <w:jc w:val="both"/>
        <w:rPr>
          <w:rFonts w:ascii="Times New Roman" w:hAnsi="Times New Roman" w:cs="Times New Roman"/>
        </w:rPr>
      </w:pPr>
      <w:r>
        <w:rPr>
          <w:rFonts w:ascii="Times New Roman" w:hAnsi="Times New Roman" w:eastAsia="Times New Roman" w:cs="Times New Roman"/>
        </w:rPr>
        <w:t xml:space="preserve">A</w:t>
      </w:r>
      <w:r>
        <w:rPr>
          <w:rFonts w:ascii="Times New Roman" w:hAnsi="Times New Roman" w:eastAsia="Times New Roman" w:cs="Times New Roman"/>
        </w:rPr>
        <w:t xml:space="preserve"> teoria dos custos de transação oferece um arcabouço analítico robusto para a compreensão das escolhas burocráticas em compras públicas. Coase (1937) estabeleceu as bases da teoria ao argumentar que a existência das firmas se explica pelos custos de utiliz</w:t>
      </w:r>
      <w:r>
        <w:rPr>
          <w:rFonts w:ascii="Times New Roman" w:hAnsi="Times New Roman" w:eastAsia="Times New Roman" w:cs="Times New Roman"/>
        </w:rPr>
        <w:t xml:space="preserve">a</w:t>
      </w:r>
      <w:r>
        <w:rPr>
          <w:rFonts w:ascii="Times New Roman" w:hAnsi="Times New Roman" w:eastAsia="Times New Roman" w:cs="Times New Roman"/>
        </w:rPr>
        <w:t xml:space="preserve">ção do mecanismo de preços, abrangendo os custos de descoberta, negociação e celebração de contratos. Williamson (1985) aprofundou essa perspectiva microeconômica ao identificar três dimensões que determinam a magnitude dos custos de transação: a especific</w:t>
      </w:r>
      <w:r>
        <w:rPr>
          <w:rFonts w:ascii="Times New Roman" w:hAnsi="Times New Roman" w:eastAsia="Times New Roman" w:cs="Times New Roman"/>
        </w:rPr>
        <w:t xml:space="preserve">idade dos ativos envolvidos, o grau de incerteza sobre o futuro e a frequência das transações entre as partes.</w:t>
      </w:r>
      <w:r>
        <w:rPr>
          <w:rFonts w:ascii="Times New Roman" w:hAnsi="Times New Roman" w:eastAsia="Times New Roman" w:cs="Times New Roman"/>
        </w:rPr>
      </w:r>
      <w:r>
        <w:rPr>
          <w:rFonts w:ascii="Times New Roman" w:hAnsi="Times New Roman" w:cs="Times New Roman"/>
        </w:rPr>
      </w:r>
    </w:p>
    <w:p w14:paraId="0C341BC0">
      <w:pPr>
        <w:pBdr/>
        <w:spacing w:after="0"/>
        <w:ind w:firstLine="720"/>
        <w:jc w:val="both"/>
        <w:rPr>
          <w:rFonts w:ascii="Times New Roman" w:hAnsi="Times New Roman" w:cs="Times New Roman"/>
        </w:rPr>
      </w:pPr>
      <w:r>
        <w:rPr>
          <w:rFonts w:ascii="Times New Roman" w:hAnsi="Times New Roman" w:eastAsia="Times New Roman" w:cs="Times New Roman"/>
        </w:rPr>
        <w:t xml:space="preserve">A</w:t>
      </w:r>
      <w:r>
        <w:rPr>
          <w:rFonts w:ascii="Times New Roman" w:hAnsi="Times New Roman" w:eastAsia="Times New Roman" w:cs="Times New Roman"/>
        </w:rPr>
        <w:t xml:space="preserve"> aplicação dessa teoria a contratos públicos revela dinâmicas peculiares. Bajari e Tadelis (2001) demonstram que a escolha entre mecanismos competitivos e negociação direta envolve um dilema direto entre os custos de busca mercadológica, de um lado, e risc</w:t>
      </w:r>
      <w:r>
        <w:rPr>
          <w:rFonts w:ascii="Times New Roman" w:hAnsi="Times New Roman" w:eastAsia="Times New Roman" w:cs="Times New Roman"/>
        </w:rPr>
        <w:t xml:space="preserve">o</w:t>
      </w:r>
      <w:r>
        <w:rPr>
          <w:rFonts w:ascii="Times New Roman" w:hAnsi="Times New Roman" w:eastAsia="Times New Roman" w:cs="Times New Roman"/>
        </w:rPr>
        <w:t xml:space="preserve">s de aprisionamento contratual, de outro. Em contratações com alto grau de inovação técnica, os custos de especificação prévia tendem a ser elevadíssimos, uma vez que o comprador público frequentemente não consegue descrever o objeto antes da intensa inter</w:t>
      </w:r>
      <w:r>
        <w:rPr>
          <w:rFonts w:ascii="Times New Roman" w:hAnsi="Times New Roman" w:eastAsia="Times New Roman" w:cs="Times New Roman"/>
        </w:rPr>
        <w:t xml:space="preserve">ação com potenciais fornecedores.</w:t>
      </w:r>
      <w:r>
        <w:rPr>
          <w:rFonts w:ascii="Times New Roman" w:hAnsi="Times New Roman" w:eastAsia="Times New Roman" w:cs="Times New Roman"/>
        </w:rPr>
      </w:r>
      <w:r>
        <w:rPr>
          <w:rFonts w:ascii="Times New Roman" w:hAnsi="Times New Roman" w:cs="Times New Roman"/>
        </w:rPr>
      </w:r>
    </w:p>
    <w:p w14:paraId="753CCD10" w14:textId="03E41F45">
      <w:pPr>
        <w:pBdr/>
        <w:spacing w:after="0"/>
        <w:ind w:firstLine="720"/>
        <w:jc w:val="both"/>
        <w:rPr>
          <w:rFonts w:ascii="Times New Roman" w:hAnsi="Times New Roman" w:cs="Times New Roman"/>
        </w:rPr>
      </w:pPr>
      <w:r>
        <w:rPr>
          <w:rFonts w:ascii="Times New Roman" w:hAnsi="Times New Roman" w:eastAsia="Times New Roman" w:cs="Times New Roman"/>
        </w:rPr>
        <w:t xml:space="preserve">N</w:t>
      </w:r>
      <w:r>
        <w:rPr>
          <w:rFonts w:ascii="Times New Roman" w:hAnsi="Times New Roman" w:eastAsia="Times New Roman" w:cs="Times New Roman"/>
        </w:rPr>
        <w:t xml:space="preserve">o contexto jurídico brasileiro, esses custos são amplificados por fatores punitivos específicos. Fiuza e Medeiros (2014) argumentam que a rigidez dos ritos licitatórios, combinada com a multiplicidade de instâncias de controle simultâneas, eleva os custos </w:t>
      </w:r>
      <w:r>
        <w:rPr>
          <w:rFonts w:ascii="Times New Roman" w:hAnsi="Times New Roman" w:eastAsia="Times New Roman" w:cs="Times New Roman"/>
        </w:rPr>
        <w:t xml:space="preserve">d</w:t>
      </w:r>
      <w:r>
        <w:rPr>
          <w:rFonts w:ascii="Times New Roman" w:hAnsi="Times New Roman" w:eastAsia="Times New Roman" w:cs="Times New Roman"/>
        </w:rPr>
        <w:t xml:space="preserve">e transação de forma asfixiante. O gestor que opta por contratação direta em contextos inovadores assume o imenso ônus de justificar a ausência de competição sem dispor de instrumentos adequados de comprovação. Dessa forma, o custo de transação materializa</w:t>
      </w:r>
      <w:r>
        <w:rPr>
          <w:rFonts w:ascii="Times New Roman" w:hAnsi="Times New Roman" w:eastAsia="Times New Roman" w:cs="Times New Roman"/>
        </w:rPr>
        <w:t xml:space="preserve">-</w:t>
      </w:r>
      <w:r>
        <w:rPr>
          <w:rFonts w:ascii="Times New Roman" w:hAnsi="Times New Roman" w:eastAsia="Times New Roman" w:cs="Times New Roman"/>
        </w:rPr>
        <w:t xml:space="preserve">se na forma de risco pessoal internalizado pelo servidor. O framework proposto pode contribuir para a redução drástica desses custos punitivos ao estruturar o processo decisório, criando trilhas de fundamentação que blindam o gestor ao demonstrar a raciona</w:t>
      </w:r>
      <w:r>
        <w:rPr>
          <w:rFonts w:ascii="Times New Roman" w:hAnsi="Times New Roman" w:eastAsia="Times New Roman" w:cs="Times New Roman"/>
        </w:rPr>
        <w:t xml:space="preserve">lidade de suas escolhas.</w:t>
      </w:r>
      <w:r>
        <w:rPr>
          <w:rFonts w:ascii="Times New Roman" w:hAnsi="Times New Roman" w:eastAsia="Times New Roman" w:cs="Times New Roman"/>
        </w:rPr>
      </w:r>
      <w:r>
        <w:rPr>
          <w:rFonts w:ascii="Times New Roman" w:hAnsi="Times New Roman" w:cs="Times New Roman"/>
        </w:rPr>
      </w:r>
    </w:p>
    <w:p w14:paraId="60C54D7F" w14:textId="2BCFDBEE">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0FFCEF33" w14:textId="1967E6FC">
      <w:pPr>
        <w:pBdr/>
        <w:spacing w:after="0"/>
        <w:ind/>
        <w:jc w:val="both"/>
        <w:rPr>
          <w:rFonts w:ascii="Times New Roman" w:hAnsi="Times New Roman" w:cs="Times New Roman"/>
          <w:b/>
          <w:bCs/>
        </w:rPr>
      </w:pPr>
      <w:r>
        <w:rPr>
          <w:rFonts w:ascii="Times New Roman" w:hAnsi="Times New Roman" w:eastAsia="Times New Roman" w:cs="Times New Roman"/>
          <w:b/>
          <w:bCs/>
        </w:rPr>
        <w:t xml:space="preserve">2.7 Síntese do Referencial e Lacuna Teórica</w:t>
      </w:r>
      <w:r>
        <w:rPr>
          <w:rFonts w:ascii="Times New Roman" w:hAnsi="Times New Roman" w:eastAsia="Times New Roman" w:cs="Times New Roman"/>
          <w:b/>
          <w:bCs/>
        </w:rPr>
      </w:r>
      <w:r>
        <w:rPr>
          <w:rFonts w:ascii="Times New Roman" w:hAnsi="Times New Roman" w:cs="Times New Roman"/>
          <w:b/>
          <w:bCs/>
        </w:rPr>
      </w:r>
    </w:p>
    <w:p w14:paraId="6226AC05">
      <w:pPr>
        <w:pBdr/>
        <w:spacing w:after="0"/>
        <w:ind w:firstLine="720"/>
        <w:jc w:val="both"/>
        <w:rPr>
          <w:rFonts w:ascii="Times New Roman" w:hAnsi="Times New Roman" w:cs="Times New Roman"/>
        </w:rPr>
      </w:pPr>
      <w:r>
        <w:rPr>
          <w:rFonts w:ascii="Times New Roman" w:hAnsi="Times New Roman" w:eastAsia="Times New Roman" w:cs="Times New Roman"/>
        </w:rPr>
        <w:t xml:space="preserve">A</w:t>
      </w:r>
      <w:r>
        <w:rPr>
          <w:rFonts w:ascii="Times New Roman" w:hAnsi="Times New Roman" w:eastAsia="Times New Roman" w:cs="Times New Roman"/>
        </w:rPr>
        <w:t xml:space="preserve"> revisão da literatura evidencia uma convergência entre campos teóricos tradicionalmente isolados. Os estudos sobre compras públicas demonstram que as barreiras institucionais e decisórias limitam a efetivação das normas (Edler &amp; Georghiou, 2007; Uyarra et</w:t>
      </w:r>
      <w:r>
        <w:rPr>
          <w:rFonts w:ascii="Times New Roman" w:hAnsi="Times New Roman" w:eastAsia="Times New Roman" w:cs="Times New Roman"/>
        </w:rPr>
        <w:t xml:space="preserve"> </w:t>
      </w:r>
      <w:r>
        <w:rPr>
          <w:rFonts w:ascii="Times New Roman" w:hAnsi="Times New Roman" w:eastAsia="Times New Roman" w:cs="Times New Roman"/>
        </w:rPr>
        <w:t xml:space="preserve">al., 2014). Por sua vez, a literatura de compliance público revela que o sistema de controle nacional carece de instrumentos prospectivos de gestão de risco para combater o medo administrativo (Guimarães, 2016; Sundfeld, 2014). A governança algorítmica e a</w:t>
      </w:r>
      <w:r>
        <w:rPr>
          <w:rFonts w:ascii="Times New Roman" w:hAnsi="Times New Roman" w:eastAsia="Times New Roman" w:cs="Times New Roman"/>
        </w:rPr>
        <w:t xml:space="preserve"> </w:t>
      </w:r>
      <w:r>
        <w:rPr>
          <w:rFonts w:ascii="Times New Roman" w:hAnsi="Times New Roman" w:eastAsia="Times New Roman" w:cs="Times New Roman"/>
        </w:rPr>
        <w:t xml:space="preserve">XAI oferecem os princípios de programação para a construção de sistemas justos (Arrieta et al., 2020), enquanto o blockchain propicia trilhas de auditoria imutáveis (Ølnes et al., 2017). A teoria econômica fornece o arcabouço para compreender os incentivos</w:t>
      </w:r>
      <w:r>
        <w:rPr>
          <w:rFonts w:ascii="Times New Roman" w:hAnsi="Times New Roman" w:eastAsia="Times New Roman" w:cs="Times New Roman"/>
        </w:rPr>
        <w:t xml:space="preserve"> do gestor (Williamson, 1985).</w:t>
      </w:r>
      <w:r>
        <w:rPr>
          <w:rFonts w:ascii="Times New Roman" w:hAnsi="Times New Roman" w:eastAsia="Times New Roman" w:cs="Times New Roman"/>
        </w:rPr>
      </w:r>
      <w:r>
        <w:rPr>
          <w:rFonts w:ascii="Times New Roman" w:hAnsi="Times New Roman" w:cs="Times New Roman"/>
        </w:rPr>
      </w:r>
    </w:p>
    <w:p w14:paraId="42E2D985" w14:textId="48863248">
      <w:pPr>
        <w:pBdr/>
        <w:spacing w:after="0"/>
        <w:ind w:firstLine="720"/>
        <w:jc w:val="both"/>
        <w:rPr>
          <w:rFonts w:ascii="Times New Roman" w:hAnsi="Times New Roman" w:cs="Times New Roman"/>
          <w:highlight w:val="none"/>
        </w:rPr>
      </w:pPr>
      <w:r>
        <w:rPr>
          <w:rFonts w:ascii="Times New Roman" w:hAnsi="Times New Roman" w:eastAsia="Times New Roman" w:cs="Times New Roman"/>
        </w:rPr>
        <w:t xml:space="preserve">C</w:t>
      </w:r>
      <w:r>
        <w:rPr>
          <w:rFonts w:ascii="Times New Roman" w:hAnsi="Times New Roman" w:eastAsia="Times New Roman" w:cs="Times New Roman"/>
        </w:rPr>
        <w:t xml:space="preserve">ontudo, a articulação interdisciplinar desses campos permanece incipiente e teórica. Não foram identificados, na literatura consultada, estudos aplicados que proponham um framework integrado de compliance algorítmico voltado especificamente às compras públ</w:t>
      </w:r>
      <w:r>
        <w:rPr>
          <w:rFonts w:ascii="Times New Roman" w:hAnsi="Times New Roman" w:eastAsia="Times New Roman" w:cs="Times New Roman"/>
        </w:rPr>
        <w:t xml:space="preserve">icas de inovação no contexto brasileiro, articulando classificação explicável de risco processual e rastreabilidade imutável. O presente estudo busca preencher, portanto, essa lacuna científica e gerencial.</w:t>
      </w:r>
      <w:r>
        <w:rPr>
          <w:rFonts w:ascii="Times New Roman" w:hAnsi="Times New Roman" w:eastAsia="Times New Roman" w:cs="Times New Roman"/>
          <w:highlight w:val="none"/>
        </w:rPr>
      </w:r>
      <w:r>
        <w:rPr>
          <w:rFonts w:ascii="Times New Roman" w:hAnsi="Times New Roman" w:cs="Times New Roman"/>
          <w:highlight w:val="none"/>
        </w:rPr>
      </w:r>
    </w:p>
    <w:p w14:paraId="5F3DF54E">
      <w:pPr>
        <w:pBdr/>
        <w:spacing w:after="0"/>
        <w:ind/>
        <w:jc w:val="both"/>
        <w:rPr>
          <w:rFonts w:ascii="Times New Roman" w:hAnsi="Times New Roman" w:cs="Times New Roman"/>
          <w:b/>
          <w:bCs/>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r>
        <w:rPr>
          <w:rFonts w:ascii="Times New Roman" w:hAnsi="Times New Roman" w:cs="Times New Roman"/>
          <w:b/>
          <w:bCs/>
        </w:rPr>
      </w:r>
    </w:p>
    <w:p w14:paraId="325F0C66" w14:textId="77777777">
      <w:pPr>
        <w:pBdr/>
        <w:spacing w:after="0"/>
        <w:ind/>
        <w:jc w:val="both"/>
        <w:rPr>
          <w:rFonts w:ascii="Times New Roman" w:hAnsi="Times New Roman" w:cs="Times New Roman"/>
          <w:b/>
          <w:bCs/>
          <w:highlight w:val="none"/>
        </w:rPr>
      </w:pPr>
      <w:r>
        <w:rPr>
          <w:rFonts w:ascii="Times New Roman" w:hAnsi="Times New Roman" w:eastAsia="Times New Roman" w:cs="Times New Roman"/>
        </w:rPr>
      </w:r>
      <w:r>
        <w:rPr>
          <w:rFonts w:ascii="Times New Roman" w:hAnsi="Times New Roman" w:eastAsia="Times New Roman" w:cs="Times New Roman"/>
        </w:rPr>
      </w:r>
      <w:bookmarkEnd w:id="7"/>
      <w:r>
        <w:rPr>
          <w:rFonts w:ascii="Times New Roman" w:hAnsi="Times New Roman" w:eastAsia="Times New Roman" w:cs="Times New Roman"/>
          <w:b/>
          <w:bCs/>
        </w:rPr>
        <w:t xml:space="preserve">3. METODOLOGIA</w:t>
      </w:r>
      <w:r>
        <w:rPr>
          <w:rFonts w:ascii="Times New Roman" w:hAnsi="Times New Roman" w:eastAsia="Times New Roman" w:cs="Times New Roman"/>
          <w:b/>
          <w:bCs/>
        </w:rPr>
      </w:r>
      <w:r>
        <w:rPr>
          <w:rFonts w:ascii="Times New Roman" w:hAnsi="Times New Roman" w:cs="Times New Roman"/>
          <w:b/>
          <w:bCs/>
          <w:highlight w:val="none"/>
        </w:rPr>
      </w:r>
    </w:p>
    <w:p w14:paraId="0F6C05F3" w14:textId="75CA6DEE">
      <w:pPr>
        <w:pBdr/>
        <w:spacing w:after="0"/>
        <w:ind/>
        <w:jc w:val="both"/>
        <w:rPr>
          <w:rFonts w:ascii="Times New Roman" w:hAnsi="Times New Roman" w:cs="Times New Roman"/>
          <w:b/>
          <w:bCs/>
        </w:rPr>
      </w:pPr>
      <w:r>
        <w:rPr>
          <w:rFonts w:ascii="Times New Roman" w:hAnsi="Times New Roman" w:eastAsia="Times New Roman" w:cs="Times New Roman"/>
        </w:rPr>
      </w:r>
      <w:bookmarkStart w:id="15" w:name="desenho-da-pesquisa"/>
      <w:r>
        <w:rPr>
          <w:rFonts w:ascii="Times New Roman" w:hAnsi="Times New Roman" w:eastAsia="Times New Roman" w:cs="Times New Roman"/>
        </w:rPr>
      </w:r>
      <w:bookmarkStart w:id="16" w:name="fonte-de-dados-e-procedimentos-de-coleta"/>
      <w:r>
        <w:rPr>
          <w:rFonts w:ascii="Times New Roman" w:hAnsi="Times New Roman" w:eastAsia="Times New Roman" w:cs="Times New Roman"/>
        </w:rPr>
      </w:r>
      <w:bookmarkStart w:id="17" w:name="operacionalização-das-variáveis"/>
      <w:r>
        <w:rPr>
          <w:rFonts w:ascii="Times New Roman" w:hAnsi="Times New Roman" w:eastAsia="Times New Roman" w:cs="Times New Roman"/>
        </w:rPr>
      </w:r>
      <w:bookmarkStart w:id="18" w:name="escore-de-risco-processual"/>
      <w:r>
        <w:rPr>
          <w:rFonts w:ascii="Times New Roman" w:hAnsi="Times New Roman" w:eastAsia="Times New Roman" w:cs="Times New Roman"/>
        </w:rPr>
      </w:r>
      <w:r>
        <w:rPr>
          <w:rFonts w:ascii="Times New Roman" w:hAnsi="Times New Roman" w:eastAsia="Times New Roman" w:cs="Times New Roman"/>
        </w:rPr>
      </w:r>
      <w:bookmarkEnd w:id="15"/>
      <w:r>
        <w:rPr>
          <w:rFonts w:ascii="Times New Roman" w:hAnsi="Times New Roman" w:eastAsia="Times New Roman" w:cs="Times New Roman"/>
        </w:rPr>
      </w:r>
      <w:bookmarkEnd w:id="16"/>
      <w:r>
        <w:rPr>
          <w:rFonts w:ascii="Times New Roman" w:hAnsi="Times New Roman" w:eastAsia="Times New Roman" w:cs="Times New Roman"/>
        </w:rPr>
      </w:r>
      <w:bookmarkEnd w:id="17"/>
      <w:r>
        <w:rPr>
          <w:rFonts w:ascii="Times New Roman" w:hAnsi="Times New Roman" w:eastAsia="Times New Roman" w:cs="Times New Roman"/>
        </w:rPr>
      </w:r>
      <w:bookmarkEnd w:id="18"/>
      <w:r>
        <w:rPr>
          <w:rFonts w:ascii="Times New Roman" w:hAnsi="Times New Roman" w:eastAsia="Times New Roman" w:cs="Times New Roman"/>
          <w:b/>
          <w:bCs/>
        </w:rPr>
        <w:t xml:space="preserve">3.1 Desenho da Pesquisa</w:t>
      </w:r>
      <w:r>
        <w:rPr>
          <w:rFonts w:ascii="Times New Roman" w:hAnsi="Times New Roman" w:eastAsia="Times New Roman" w:cs="Times New Roman"/>
          <w:b/>
          <w:bCs/>
        </w:rPr>
      </w:r>
      <w:r>
        <w:rPr>
          <w:rFonts w:ascii="Times New Roman" w:hAnsi="Times New Roman" w:cs="Times New Roman"/>
          <w:b/>
          <w:bCs/>
        </w:rPr>
      </w:r>
    </w:p>
    <w:p w14:paraId="68466129">
      <w:pPr>
        <w:pBdr/>
        <w:spacing w:after="0"/>
        <w:ind w:firstLine="720"/>
        <w:jc w:val="both"/>
        <w:rPr>
          <w:rFonts w:ascii="Times New Roman" w:hAnsi="Times New Roman" w:cs="Times New Roman"/>
        </w:rPr>
      </w:pPr>
      <w:r>
        <w:rPr>
          <w:rFonts w:ascii="Times New Roman" w:hAnsi="Times New Roman" w:eastAsia="Times New Roman" w:cs="Times New Roman"/>
        </w:rPr>
        <w:t xml:space="preserve">E</w:t>
      </w:r>
      <w:r>
        <w:rPr>
          <w:rFonts w:ascii="Times New Roman" w:hAnsi="Times New Roman" w:eastAsia="Times New Roman" w:cs="Times New Roman"/>
        </w:rPr>
        <w:t xml:space="preserve">ste estudo adota uma abordagem aplicada, de natureza empírico-computacional, com finalidade exploratória e propositiva. Do ponto de vista substantivo, a pesquisa investiga como instrumentos de compliance algorítmico podem contribuir para reduzir a incertez</w:t>
      </w:r>
      <w:r>
        <w:rPr>
          <w:rFonts w:ascii="Times New Roman" w:hAnsi="Times New Roman" w:eastAsia="Times New Roman" w:cs="Times New Roman"/>
        </w:rPr>
        <w:t xml:space="preserve">a decisória em aquisições de inovação no Brasil. Do ponto de vista metodológico, o trabalho combina análise de dados governamentais abertos, construção de proxies observáveis de risco, técnicas de modelagem explicável e proposição de arquitetura im</w:t>
      </w:r>
      <w:r>
        <w:rPr>
          <w:rFonts w:ascii="Times New Roman" w:hAnsi="Times New Roman" w:eastAsia="Times New Roman" w:cs="Times New Roman"/>
        </w:rPr>
        <w:t xml:space="preserve">utável de registro.</w:t>
      </w:r>
      <w:r>
        <w:rPr>
          <w:rFonts w:ascii="Times New Roman" w:hAnsi="Times New Roman" w:eastAsia="Times New Roman" w:cs="Times New Roman"/>
        </w:rPr>
      </w:r>
      <w:r>
        <w:rPr>
          <w:rFonts w:ascii="Times New Roman" w:hAnsi="Times New Roman" w:cs="Times New Roman"/>
        </w:rPr>
      </w:r>
    </w:p>
    <w:p w14:paraId="7C0B88A3" w14:textId="2B15CAE3">
      <w:pPr>
        <w:pBdr/>
        <w:spacing w:after="0"/>
        <w:ind w:firstLine="720"/>
        <w:jc w:val="both"/>
        <w:rPr>
          <w:rFonts w:ascii="Times New Roman" w:hAnsi="Times New Roman" w:cs="Times New Roman"/>
        </w:rPr>
      </w:pPr>
      <w:r>
        <w:rPr>
          <w:rFonts w:ascii="Times New Roman" w:hAnsi="Times New Roman" w:eastAsia="Times New Roman" w:cs="Times New Roman"/>
        </w:rPr>
        <w:t xml:space="preserve">D</w:t>
      </w:r>
      <w:r>
        <w:rPr>
          <w:rFonts w:ascii="Times New Roman" w:hAnsi="Times New Roman" w:eastAsia="Times New Roman" w:cs="Times New Roman"/>
        </w:rPr>
        <w:t xml:space="preserve">essa forma, a pesquisa não tem o escopo de identificar, provar ou imputar ilegalidades concretas em contratações específicas. Em razão das limitações empíricas verificadas na etapa de coleta primária, especialmente a indisponibilidade de interfaces pública</w:t>
      </w:r>
      <w:r>
        <w:rPr>
          <w:rFonts w:ascii="Times New Roman" w:hAnsi="Times New Roman" w:eastAsia="Times New Roman" w:cs="Times New Roman"/>
        </w:rPr>
        <w:t xml:space="preserve">s de programação de aplicação (APIs) completas sobre sanções administrativas, o estudo foi direcionado para a construção pragmática de um modelo voltado à classificação explicável de risco processual.</w:t>
      </w:r>
      <w:r>
        <w:rPr>
          <w:rFonts w:ascii="Times New Roman" w:hAnsi="Times New Roman" w:eastAsia="Times New Roman" w:cs="Times New Roman"/>
        </w:rPr>
      </w:r>
      <w:r>
        <w:rPr>
          <w:rFonts w:ascii="Times New Roman" w:hAnsi="Times New Roman" w:cs="Times New Roman"/>
        </w:rPr>
      </w:r>
    </w:p>
    <w:p w14:paraId="1B4F70D3" w14:textId="3C0B7AD4">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3C2150B5" w14:textId="14206DDE">
      <w:pPr>
        <w:pBdr/>
        <w:spacing w:after="0"/>
        <w:ind/>
        <w:jc w:val="both"/>
        <w:rPr>
          <w:rFonts w:ascii="Times New Roman" w:hAnsi="Times New Roman" w:cs="Times New Roman"/>
          <w:b/>
          <w:bCs/>
        </w:rPr>
      </w:pPr>
      <w:r>
        <w:rPr>
          <w:rFonts w:ascii="Times New Roman" w:hAnsi="Times New Roman" w:eastAsia="Times New Roman" w:cs="Times New Roman"/>
          <w:b/>
          <w:bCs/>
        </w:rPr>
        <w:t xml:space="preserve">3.2 Fonte de Dados e Procedimentos de Coleta</w:t>
      </w:r>
      <w:r>
        <w:rPr>
          <w:rFonts w:ascii="Times New Roman" w:hAnsi="Times New Roman" w:eastAsia="Times New Roman" w:cs="Times New Roman"/>
          <w:b/>
          <w:bCs/>
        </w:rPr>
      </w:r>
      <w:r>
        <w:rPr>
          <w:rFonts w:ascii="Times New Roman" w:hAnsi="Times New Roman" w:cs="Times New Roman"/>
          <w:b/>
          <w:bCs/>
        </w:rPr>
      </w:r>
    </w:p>
    <w:p w14:paraId="0BCABB5E">
      <w:pPr>
        <w:pBdr/>
        <w:spacing w:after="0"/>
        <w:ind w:firstLine="720"/>
        <w:jc w:val="both"/>
        <w:rPr>
          <w:rFonts w:ascii="Times New Roman" w:hAnsi="Times New Roman" w:cs="Times New Roman"/>
        </w:rPr>
      </w:pPr>
      <w:r>
        <w:rPr>
          <w:rFonts w:ascii="Times New Roman" w:hAnsi="Times New Roman" w:eastAsia="Times New Roman" w:cs="Times New Roman"/>
        </w:rPr>
        <w:t xml:space="preserve">A</w:t>
      </w:r>
      <w:r>
        <w:rPr>
          <w:rFonts w:ascii="Times New Roman" w:hAnsi="Times New Roman" w:eastAsia="Times New Roman" w:cs="Times New Roman"/>
        </w:rPr>
        <w:t xml:space="preserve"> principal fonte de dados empregada foi a base anual consolidada de contratações do PNCP, obtida em formato de lote (bulk) por meio do repositório governamental brasileiro (dados.gov.br). O processo sistemático de construção da base empírica seguiu seis et</w:t>
      </w:r>
      <w:r>
        <w:rPr>
          <w:rFonts w:ascii="Times New Roman" w:hAnsi="Times New Roman" w:eastAsia="Times New Roman" w:cs="Times New Roman"/>
        </w:rPr>
        <w:t xml:space="preserve">a</w:t>
      </w:r>
      <w:r>
        <w:rPr>
          <w:rFonts w:ascii="Times New Roman" w:hAnsi="Times New Roman" w:eastAsia="Times New Roman" w:cs="Times New Roman"/>
        </w:rPr>
        <w:t xml:space="preserve">pas metodológicas: (i) identificação e teste das fontes públicas disponíveis; (ii) extração do arquivo bruto via automação; (iii) armazenamento isolado preservando a versão original; (iv) tratamento técnico para correção de codificação de caracteres e tipa</w:t>
      </w:r>
      <w:r>
        <w:rPr>
          <w:rFonts w:ascii="Times New Roman" w:hAnsi="Times New Roman" w:eastAsia="Times New Roman" w:cs="Times New Roman"/>
        </w:rPr>
        <w:t xml:space="preserve">gem de campos; (v) normalização e criação de variáveis derivadas; e (vi) auditoria forense do fluxo de processamento de dados (pipeline), garantindo a rastreabilidade plena das transformações estatísticas aplicadas.</w:t>
      </w:r>
      <w:r>
        <w:rPr>
          <w:rFonts w:ascii="Times New Roman" w:hAnsi="Times New Roman" w:eastAsia="Times New Roman" w:cs="Times New Roman"/>
        </w:rPr>
      </w:r>
      <w:r>
        <w:rPr>
          <w:rFonts w:ascii="Times New Roman" w:hAnsi="Times New Roman" w:cs="Times New Roman"/>
        </w:rPr>
      </w:r>
    </w:p>
    <w:p w14:paraId="0804EC3F" w14:textId="0B9E2D67">
      <w:pPr>
        <w:pBdr/>
        <w:spacing w:after="0"/>
        <w:ind w:firstLine="720"/>
        <w:jc w:val="both"/>
        <w:rPr>
          <w:rFonts w:ascii="Times New Roman" w:hAnsi="Times New Roman" w:cs="Times New Roman"/>
        </w:rPr>
      </w:pPr>
      <w:r>
        <w:rPr>
          <w:rFonts w:ascii="Times New Roman" w:hAnsi="Times New Roman" w:eastAsia="Times New Roman" w:cs="Times New Roman"/>
        </w:rPr>
        <w:t xml:space="preserve">D</w:t>
      </w:r>
      <w:r>
        <w:rPr>
          <w:rFonts w:ascii="Times New Roman" w:hAnsi="Times New Roman" w:eastAsia="Times New Roman" w:cs="Times New Roman"/>
        </w:rPr>
        <w:t xml:space="preserve">urante a fase de auditoria forense do banco, foram identificados e corrigidos três problemas estruturais críticos. O primeiro referiu-se à presença de outliers extremos nos valores estimados, os quais distorciam as estatísticas agregadas ao inflacionar o m</w:t>
      </w:r>
      <w:r>
        <w:rPr>
          <w:rFonts w:ascii="Times New Roman" w:hAnsi="Times New Roman" w:eastAsia="Times New Roman" w:cs="Times New Roman"/>
        </w:rPr>
        <w:t xml:space="preserve">o</w:t>
      </w:r>
      <w:r>
        <w:rPr>
          <w:rFonts w:ascii="Times New Roman" w:hAnsi="Times New Roman" w:eastAsia="Times New Roman" w:cs="Times New Roman"/>
        </w:rPr>
        <w:t xml:space="preserve">ntante global para cifras superiores a 4 trilhões de reais. O segundo problema envolvia inconsistências no filtro temporal do portal, demandando o expurgo de registros anteriores ao exercício fiscal de 2024. O terceiro problema consistia na inflação da fla</w:t>
      </w:r>
      <w:r>
        <w:rPr>
          <w:rFonts w:ascii="Times New Roman" w:hAnsi="Times New Roman" w:eastAsia="Times New Roman" w:cs="Times New Roman"/>
        </w:rPr>
        <w:t xml:space="preserve">g</w:t>
      </w:r>
      <w:r>
        <w:rPr>
          <w:rFonts w:ascii="Times New Roman" w:hAnsi="Times New Roman" w:eastAsia="Times New Roman" w:cs="Times New Roman"/>
        </w:rPr>
        <w:t xml:space="preserve"> de inovação, originada pela detecção de falsos positivos pelo termo genérico "ia" em blocos de texto não relacionados à inteligência artificial. Após a correção programática dessas anomalias, a base final considerada válida para modelagem científica passo</w:t>
      </w:r>
      <w:r>
        <w:rPr>
          <w:rFonts w:ascii="Times New Roman" w:hAnsi="Times New Roman" w:eastAsia="Times New Roman" w:cs="Times New Roman"/>
        </w:rPr>
        <w:t xml:space="preserve">u a conter 273.309 registros depurados.</w:t>
      </w:r>
      <w:r>
        <w:rPr>
          <w:rFonts w:ascii="Times New Roman" w:hAnsi="Times New Roman" w:eastAsia="Times New Roman" w:cs="Times New Roman"/>
        </w:rPr>
      </w:r>
      <w:r>
        <w:rPr>
          <w:rFonts w:ascii="Times New Roman" w:hAnsi="Times New Roman" w:cs="Times New Roman"/>
        </w:rPr>
      </w:r>
    </w:p>
    <w:p w14:paraId="58148B11" w14:textId="2DBF4DDF">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2D21CA0D" w14:textId="1B464C66">
      <w:pPr>
        <w:pBdr/>
        <w:spacing w:after="0"/>
        <w:ind/>
        <w:jc w:val="both"/>
        <w:rPr>
          <w:rFonts w:ascii="Times New Roman" w:hAnsi="Times New Roman" w:cs="Times New Roman"/>
          <w:b/>
          <w:bCs/>
        </w:rPr>
      </w:pPr>
      <w:r>
        <w:rPr>
          <w:rFonts w:ascii="Times New Roman" w:hAnsi="Times New Roman" w:eastAsia="Times New Roman" w:cs="Times New Roman"/>
          <w:b/>
          <w:bCs/>
        </w:rPr>
        <w:t xml:space="preserve">3.3 Operacionalização das Variáveis</w:t>
      </w:r>
      <w:r>
        <w:rPr>
          <w:rFonts w:ascii="Times New Roman" w:hAnsi="Times New Roman" w:eastAsia="Times New Roman" w:cs="Times New Roman"/>
          <w:b/>
          <w:bCs/>
        </w:rPr>
      </w:r>
      <w:r>
        <w:rPr>
          <w:rFonts w:ascii="Times New Roman" w:hAnsi="Times New Roman" w:cs="Times New Roman"/>
          <w:b/>
          <w:bCs/>
        </w:rPr>
      </w:r>
    </w:p>
    <w:p w14:paraId="14104239" w14:textId="60A99FD0">
      <w:pPr>
        <w:pBdr/>
        <w:spacing w:after="0"/>
        <w:ind w:firstLine="720"/>
        <w:jc w:val="both"/>
        <w:rPr>
          <w:rFonts w:ascii="Times New Roman" w:hAnsi="Times New Roman" w:cs="Times New Roman"/>
          <w:highlight w:val="none"/>
        </w:rPr>
      </w:pPr>
      <w:r>
        <w:rPr>
          <w:rFonts w:ascii="Times New Roman" w:hAnsi="Times New Roman" w:eastAsia="Times New Roman" w:cs="Times New Roman"/>
        </w:rPr>
        <w:t xml:space="preserve">A partir desses campos, foi construída uma flag de inovação baseada em dicionário textual refinado.</w:t>
      </w:r>
      <w:r>
        <w:rPr>
          <w:rFonts w:ascii="Times New Roman" w:hAnsi="Times New Roman" w:eastAsia="Times New Roman" w:cs="Times New Roman"/>
        </w:rPr>
      </w:r>
      <w:r>
        <w:rPr>
          <w:rFonts w:ascii="Times New Roman" w:hAnsi="Times New Roman" w:cs="Times New Roman"/>
          <w:highlight w:val="none"/>
        </w:rPr>
      </w:r>
    </w:p>
    <w:p w14:paraId="664D1DD1">
      <w:pPr>
        <w:pStyle w:val="957"/>
        <w:numPr>
          <w:ilvl w:val="0"/>
          <w:numId w:val="3"/>
        </w:numPr>
        <w:pBdr/>
        <w:spacing w:after="0"/>
        <w:ind/>
        <w:jc w:val="both"/>
        <w:rPr>
          <w:rFonts w:ascii="Times New Roman" w:hAnsi="Times New Roman" w:cs="Times New Roman"/>
        </w:rPr>
      </w:pPr>
      <w:r>
        <w:rPr>
          <w:rFonts w:ascii="Times New Roman" w:hAnsi="Times New Roman" w:eastAsia="Times New Roman" w:cs="Times New Roman"/>
          <w:highlight w:val="none"/>
        </w:rPr>
        <w:t xml:space="preserve">As variáveis extraídas e computadas no estudo foram organizadas analiticamente em cinco agrupamentos: processuais, legais, monetárias, temporais e textuais.</w:t>
      </w:r>
      <w:r>
        <w:rPr>
          <w:rFonts w:ascii="Times New Roman" w:hAnsi="Times New Roman" w:eastAsia="Times New Roman" w:cs="Times New Roman"/>
        </w:rPr>
      </w:r>
      <w:r>
        <w:rPr>
          <w:rFonts w:ascii="Times New Roman" w:hAnsi="Times New Roman" w:cs="Times New Roman"/>
        </w:rPr>
      </w:r>
    </w:p>
    <w:p w14:paraId="5EEEDBB1">
      <w:pPr>
        <w:pStyle w:val="957"/>
        <w:numPr>
          <w:ilvl w:val="0"/>
          <w:numId w:val="3"/>
        </w:numPr>
        <w:pBdr/>
        <w:spacing w:after="0"/>
        <w:ind/>
        <w:jc w:val="both"/>
        <w:rPr>
          <w:rFonts w:ascii="Times New Roman" w:hAnsi="Times New Roman" w:cs="Times New Roman"/>
        </w:rPr>
      </w:pPr>
      <w:r>
        <w:rPr>
          <w:rFonts w:ascii="Times New Roman" w:hAnsi="Times New Roman" w:eastAsia="Times New Roman" w:cs="Times New Roman"/>
          <w:highlight w:val="none"/>
        </w:rPr>
        <w:t xml:space="preserve">As variáveis processuais englobam a modalidade da contratação, a situação do procedimento, a esfera federativa e a unidade geográfica, permitindo diferenciar os ritos diretos das rotinas de ampla concorrência.</w:t>
      </w:r>
      <w:r>
        <w:rPr>
          <w:rFonts w:ascii="Times New Roman" w:hAnsi="Times New Roman" w:eastAsia="Times New Roman" w:cs="Times New Roman"/>
        </w:rPr>
      </w:r>
      <w:r>
        <w:rPr>
          <w:rFonts w:ascii="Times New Roman" w:hAnsi="Times New Roman" w:cs="Times New Roman"/>
        </w:rPr>
      </w:r>
    </w:p>
    <w:p w14:paraId="62561E60">
      <w:pPr>
        <w:pStyle w:val="957"/>
        <w:numPr>
          <w:ilvl w:val="0"/>
          <w:numId w:val="3"/>
        </w:numPr>
        <w:pBdr/>
        <w:spacing w:after="0"/>
        <w:ind/>
        <w:jc w:val="both"/>
        <w:rPr>
          <w:rFonts w:ascii="Times New Roman" w:hAnsi="Times New Roman" w:cs="Times New Roman"/>
        </w:rPr>
      </w:pPr>
      <w:r>
        <w:rPr>
          <w:rFonts w:ascii="Times New Roman" w:hAnsi="Times New Roman" w:eastAsia="Times New Roman" w:cs="Times New Roman"/>
          <w:highlight w:val="none"/>
        </w:rPr>
        <w:t xml:space="preserve">As variáveis legais incluem os códigos de amparo normativo, viabilizando o escrutínio do enquadramento legal adotado pelo gestor.</w:t>
      </w:r>
      <w:r>
        <w:rPr>
          <w:rFonts w:ascii="Times New Roman" w:hAnsi="Times New Roman" w:eastAsia="Times New Roman" w:cs="Times New Roman"/>
        </w:rPr>
      </w:r>
      <w:r>
        <w:rPr>
          <w:rFonts w:ascii="Times New Roman" w:hAnsi="Times New Roman" w:cs="Times New Roman"/>
        </w:rPr>
      </w:r>
    </w:p>
    <w:p w14:paraId="42871D4E">
      <w:pPr>
        <w:pStyle w:val="957"/>
        <w:numPr>
          <w:ilvl w:val="0"/>
          <w:numId w:val="3"/>
        </w:numPr>
        <w:pBdr/>
        <w:spacing w:after="0"/>
        <w:ind/>
        <w:jc w:val="both"/>
        <w:rPr>
          <w:rFonts w:ascii="Times New Roman" w:hAnsi="Times New Roman" w:cs="Times New Roman"/>
        </w:rPr>
      </w:pPr>
      <w:r>
        <w:rPr>
          <w:rFonts w:ascii="Times New Roman" w:hAnsi="Times New Roman" w:eastAsia="Times New Roman" w:cs="Times New Roman"/>
          <w:highlight w:val="none"/>
        </w:rPr>
        <w:t xml:space="preserve">As variáveis monetárias contemplam os valores estimados, os montantes homologados e as medidas derivadas focadas no desvio percentual absoluto entre a expectativa inicial e a execução financeira.</w:t>
      </w:r>
      <w:r>
        <w:rPr>
          <w:rFonts w:ascii="Times New Roman" w:hAnsi="Times New Roman" w:eastAsia="Times New Roman" w:cs="Times New Roman"/>
        </w:rPr>
      </w:r>
      <w:r>
        <w:rPr>
          <w:rFonts w:ascii="Times New Roman" w:hAnsi="Times New Roman" w:cs="Times New Roman"/>
        </w:rPr>
      </w:r>
    </w:p>
    <w:p w14:paraId="7D3720E9">
      <w:pPr>
        <w:pStyle w:val="957"/>
        <w:numPr>
          <w:ilvl w:val="0"/>
          <w:numId w:val="3"/>
        </w:numPr>
        <w:pBdr/>
        <w:spacing w:after="0"/>
        <w:ind/>
        <w:jc w:val="both"/>
        <w:rPr>
          <w:rFonts w:ascii="Times New Roman" w:hAnsi="Times New Roman" w:cs="Times New Roman"/>
        </w:rPr>
      </w:pPr>
      <w:r>
        <w:rPr>
          <w:rFonts w:ascii="Times New Roman" w:hAnsi="Times New Roman" w:eastAsia="Times New Roman" w:cs="Times New Roman"/>
          <w:highlight w:val="none"/>
        </w:rPr>
        <w:t xml:space="preserve">As variáveis temporais derivam das marcações de datas disponíveis na plataforma oficial, propiciando a construção de proxies de duração do rito interno.</w:t>
      </w:r>
      <w:r>
        <w:rPr>
          <w:rFonts w:ascii="Times New Roman" w:hAnsi="Times New Roman" w:eastAsia="Times New Roman" w:cs="Times New Roman"/>
        </w:rPr>
      </w:r>
      <w:r>
        <w:rPr>
          <w:rFonts w:ascii="Times New Roman" w:hAnsi="Times New Roman" w:cs="Times New Roman"/>
        </w:rPr>
      </w:r>
    </w:p>
    <w:p w14:paraId="0C11C505">
      <w:pPr>
        <w:pStyle w:val="957"/>
        <w:numPr>
          <w:ilvl w:val="0"/>
          <w:numId w:val="3"/>
        </w:numPr>
        <w:pBdr/>
        <w:spacing w:after="0"/>
        <w:ind/>
        <w:jc w:val="both"/>
        <w:rPr>
          <w:rFonts w:ascii="Times New Roman" w:hAnsi="Times New Roman" w:cs="Times New Roman"/>
        </w:rPr>
      </w:pPr>
      <w:r>
        <w:rPr>
          <w:rFonts w:ascii="Times New Roman" w:hAnsi="Times New Roman" w:eastAsia="Times New Roman" w:cs="Times New Roman"/>
          <w:highlight w:val="none"/>
        </w:rPr>
        <w:t xml:space="preserve">A</w:t>
      </w:r>
      <w:r>
        <w:rPr>
          <w:rFonts w:ascii="Times New Roman" w:hAnsi="Times New Roman" w:eastAsia="Times New Roman" w:cs="Times New Roman"/>
          <w:highlight w:val="none"/>
        </w:rPr>
        <w:t xml:space="preserve">s variáveis textuais foram capturadas por processamento linguístico nos campos descritivos dos editais. A partir desses blocos de texto, construiu-se uma variável categórica binária (flag) de inovação, fundamentada em um dicionário léxico especializado e r</w:t>
      </w:r>
      <w:r>
        <w:rPr>
          <w:rFonts w:ascii="Times New Roman" w:hAnsi="Times New Roman" w:eastAsia="Times New Roman" w:cs="Times New Roman"/>
          <w:highlight w:val="none"/>
        </w:rPr>
        <w:t xml:space="preserve">igorosamente refinado.</w:t>
      </w:r>
      <w:r>
        <w:rPr>
          <w:rFonts w:ascii="Times New Roman" w:hAnsi="Times New Roman" w:eastAsia="Times New Roman" w:cs="Times New Roman"/>
          <w:highlight w:val="none"/>
        </w:rPr>
      </w:r>
      <w:r>
        <w:rPr>
          <w:rFonts w:ascii="Times New Roman" w:hAnsi="Times New Roman" w:cs="Times New Roman"/>
        </w:rPr>
      </w:r>
    </w:p>
    <w:p w14:paraId="6037B79E" w14:textId="22A44CFE">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7516D0C6" w14:textId="62F7C344">
      <w:pPr>
        <w:pBdr/>
        <w:spacing w:after="0"/>
        <w:ind/>
        <w:jc w:val="both"/>
        <w:rPr>
          <w:rFonts w:ascii="Times New Roman" w:hAnsi="Times New Roman" w:cs="Times New Roman"/>
          <w:b/>
          <w:bCs/>
        </w:rPr>
      </w:pPr>
      <w:r>
        <w:rPr>
          <w:rFonts w:ascii="Times New Roman" w:hAnsi="Times New Roman" w:eastAsia="Times New Roman" w:cs="Times New Roman"/>
          <w:b/>
          <w:bCs/>
        </w:rPr>
        <w:t xml:space="preserve">3.4 Escore de Risco Processual</w:t>
      </w:r>
      <w:r>
        <w:rPr>
          <w:rFonts w:ascii="Times New Roman" w:hAnsi="Times New Roman" w:eastAsia="Times New Roman" w:cs="Times New Roman"/>
          <w:b/>
          <w:bCs/>
        </w:rPr>
      </w:r>
      <w:r>
        <w:rPr>
          <w:rFonts w:ascii="Times New Roman" w:hAnsi="Times New Roman" w:cs="Times New Roman"/>
          <w:b/>
          <w:bCs/>
        </w:rPr>
      </w:r>
    </w:p>
    <w:p w14:paraId="165CECA3">
      <w:pPr>
        <w:pBdr/>
        <w:spacing w:after="0"/>
        <w:ind w:firstLine="720"/>
        <w:jc w:val="both"/>
        <w:rPr>
          <w:rFonts w:ascii="Times New Roman" w:hAnsi="Times New Roman" w:cs="Times New Roman"/>
        </w:rPr>
      </w:pPr>
      <w:r>
        <w:rPr>
          <w:rFonts w:ascii="Times New Roman" w:hAnsi="Times New Roman" w:eastAsia="Times New Roman" w:cs="Times New Roman"/>
        </w:rPr>
        <w:t xml:space="preserve">A</w:t>
      </w:r>
      <w:r>
        <w:rPr>
          <w:rFonts w:ascii="Times New Roman" w:hAnsi="Times New Roman" w:eastAsia="Times New Roman" w:cs="Times New Roman"/>
        </w:rPr>
        <w:t xml:space="preserve"> operacionalização mensurável do conceito de risco processual foi realizada por meio da construção de um índice computacional designado escore_risco_regra, formatado em uma escala ordinal de quatro níveis (de 0 a 3). A composição deste escore penaliza a ob</w:t>
      </w:r>
      <w:r>
        <w:rPr>
          <w:rFonts w:ascii="Times New Roman" w:hAnsi="Times New Roman" w:eastAsia="Times New Roman" w:cs="Times New Roman"/>
        </w:rPr>
        <w:t xml:space="preserve">s</w:t>
      </w:r>
      <w:r>
        <w:rPr>
          <w:rFonts w:ascii="Times New Roman" w:hAnsi="Times New Roman" w:eastAsia="Times New Roman" w:cs="Times New Roman"/>
        </w:rPr>
        <w:t xml:space="preserve">ervação mediante as seguintes infrações às regras-base: (i) ocorrência de contratação direta por dispensa ou inexigibilidade; (ii) constatação de sobrepreço com desvio orçamentário superior a 20% do estimado; e (iii) constatação de desconto excessivo com c</w:t>
      </w:r>
      <w:r>
        <w:rPr>
          <w:rFonts w:ascii="Times New Roman" w:hAnsi="Times New Roman" w:eastAsia="Times New Roman" w:cs="Times New Roman"/>
        </w:rPr>
        <w:t xml:space="preserve">ontração orçamentária inferior a -20%.</w:t>
      </w:r>
      <w:r>
        <w:rPr>
          <w:rFonts w:ascii="Times New Roman" w:hAnsi="Times New Roman" w:eastAsia="Times New Roman" w:cs="Times New Roman"/>
        </w:rPr>
      </w:r>
      <w:r>
        <w:rPr>
          <w:rFonts w:ascii="Times New Roman" w:hAnsi="Times New Roman" w:cs="Times New Roman"/>
        </w:rPr>
      </w:r>
    </w:p>
    <w:p w14:paraId="311BEAC2" w14:textId="34684708">
      <w:pPr>
        <w:pBdr/>
        <w:spacing w:after="0"/>
        <w:ind w:firstLine="720"/>
        <w:jc w:val="both"/>
        <w:rPr>
          <w:rFonts w:ascii="Times New Roman" w:hAnsi="Times New Roman" w:cs="Times New Roman"/>
        </w:rPr>
      </w:pPr>
      <w:r>
        <w:rPr>
          <w:rFonts w:ascii="Times New Roman" w:hAnsi="Times New Roman" w:eastAsia="Times New Roman" w:cs="Times New Roman"/>
        </w:rPr>
        <w:t xml:space="preserve">R</w:t>
      </w:r>
      <w:r>
        <w:rPr>
          <w:rFonts w:ascii="Times New Roman" w:hAnsi="Times New Roman" w:eastAsia="Times New Roman" w:cs="Times New Roman"/>
        </w:rPr>
        <w:t xml:space="preserve">essalta-se que o referido escore constitui puramente uma proxy estatística de sensibilidade processual. Logo, a métrica não representa uma identificação categórica de irregularidades jurídicas consolidadas, atuando exclusivamente como um mecanismo quantita</w:t>
      </w:r>
      <w:r>
        <w:rPr>
          <w:rFonts w:ascii="Times New Roman" w:hAnsi="Times New Roman" w:eastAsia="Times New Roman" w:cs="Times New Roman"/>
        </w:rPr>
        <w:t xml:space="preserve">tivo de triagem focado na priorização do esforço documental humano.</w:t>
      </w:r>
      <w:r>
        <w:rPr>
          <w:rFonts w:ascii="Times New Roman" w:hAnsi="Times New Roman" w:eastAsia="Times New Roman" w:cs="Times New Roman"/>
        </w:rPr>
      </w:r>
      <w:r>
        <w:rPr>
          <w:rFonts w:ascii="Times New Roman" w:hAnsi="Times New Roman" w:cs="Times New Roman"/>
        </w:rPr>
      </w:r>
    </w:p>
    <w:p w14:paraId="6F953C4B" w14:textId="20F7DD90">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2B539EE4" w14:textId="64452F4E">
      <w:pPr>
        <w:pBdr/>
        <w:spacing w:after="0"/>
        <w:ind/>
        <w:jc w:val="both"/>
        <w:rPr>
          <w:rFonts w:ascii="Times New Roman" w:hAnsi="Times New Roman" w:cs="Times New Roman"/>
          <w:b/>
          <w:bCs/>
        </w:rPr>
      </w:pPr>
      <w:r>
        <w:rPr>
          <w:rFonts w:ascii="Times New Roman" w:hAnsi="Times New Roman" w:eastAsia="Times New Roman" w:cs="Times New Roman"/>
          <w:b/>
          <w:bCs/>
        </w:rPr>
        <w:t xml:space="preserve">3.5 Estratégia Analítica</w:t>
      </w:r>
      <w:r>
        <w:rPr>
          <w:rFonts w:ascii="Times New Roman" w:hAnsi="Times New Roman" w:eastAsia="Times New Roman" w:cs="Times New Roman"/>
          <w:b/>
          <w:bCs/>
        </w:rPr>
      </w:r>
      <w:r>
        <w:rPr>
          <w:rFonts w:ascii="Times New Roman" w:hAnsi="Times New Roman" w:cs="Times New Roman"/>
          <w:b/>
          <w:bCs/>
        </w:rPr>
      </w:r>
    </w:p>
    <w:p w14:paraId="2F61C6EF">
      <w:pPr>
        <w:pBdr/>
        <w:spacing w:after="0"/>
        <w:ind w:firstLine="720"/>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A</w:t>
      </w:r>
      <w:r>
        <w:rPr>
          <w:rFonts w:ascii="Times New Roman" w:hAnsi="Times New Roman" w:eastAsia="Times New Roman" w:cs="Times New Roman"/>
        </w:rPr>
        <w:t xml:space="preserve"> estratégia analítica foi desenvolvida em três etapas complementares de validação estatística. Inicialmente, realizou-se uma análise exploratória de dados para caracterizar a distribuição empírica das variáveis endógenas e exógenas. Nessa etapa, calcularam</w:t>
      </w:r>
      <w:r>
        <w:rPr>
          <w:rFonts w:ascii="Times New Roman" w:hAnsi="Times New Roman" w:eastAsia="Times New Roman" w:cs="Times New Roman"/>
        </w:rPr>
        <w:t xml:space="preserve">-</w:t>
      </w:r>
      <w:r>
        <w:rPr>
          <w:rFonts w:ascii="Times New Roman" w:hAnsi="Times New Roman" w:eastAsia="Times New Roman" w:cs="Times New Roman"/>
        </w:rPr>
        <w:t xml:space="preserve">se medidas de tendência central e de dispersão, além de se verificar a normalidade das distribuições contínuas e a presença de valores atípicos (outliers) na base governamental.Posteriormente, estruturou-se um modelo de regressão linear múltipla estimado p</w:t>
      </w:r>
      <w:r>
        <w:rPr>
          <w:rFonts w:ascii="Times New Roman" w:hAnsi="Times New Roman" w:eastAsia="Times New Roman" w:cs="Times New Roman"/>
        </w:rPr>
        <w:t xml:space="preserve">elo método dos Mínimos Quadrados Ordinários (MQO) para atuar como abordagem paramétrica basal. </w:t>
      </w:r>
      <w:r>
        <w:rPr>
          <w:rFonts w:ascii="Times New Roman" w:hAnsi="Times New Roman" w:eastAsia="Times New Roman" w:cs="Times New Roman"/>
        </w:rPr>
      </w:r>
      <w:r>
        <w:rPr>
          <w:rFonts w:ascii="Times New Roman" w:hAnsi="Times New Roman" w:cs="Times New Roman"/>
        </w:rPr>
      </w:r>
    </w:p>
    <w:p w14:paraId="1760832F">
      <w:pPr>
        <w:pBdr/>
        <w:spacing w:after="0"/>
        <w:ind w:firstLine="720"/>
        <w:jc w:val="both"/>
        <w:rPr>
          <w:rFonts w:ascii="Times New Roman" w:hAnsi="Times New Roman" w:cs="Times New Roman"/>
        </w:rPr>
      </w:pPr>
      <w:r>
        <w:rPr>
          <w:rFonts w:ascii="Times New Roman" w:hAnsi="Times New Roman" w:eastAsia="Times New Roman" w:cs="Times New Roman"/>
        </w:rPr>
        <w:t xml:space="preserve">Nesse sentido, essa técnica permite quantificar a magnitude e a direção do efeito marginal de cada covariável observável sobre a variável dependente do risco proc</w:t>
      </w:r>
      <w:r>
        <w:rPr>
          <w:rFonts w:ascii="Times New Roman" w:hAnsi="Times New Roman" w:eastAsia="Times New Roman" w:cs="Times New Roman"/>
        </w:rPr>
        <w:t xml:space="preserve">e</w:t>
      </w:r>
      <w:r>
        <w:rPr>
          <w:rFonts w:ascii="Times New Roman" w:hAnsi="Times New Roman" w:eastAsia="Times New Roman" w:cs="Times New Roman"/>
        </w:rPr>
        <w:t xml:space="preserve">ssual. Para assegurar a validade dos estimadores, os pressupostos clássicos da regressão linear foram devidamente avaliados, incluindo a verificação de ausência de multicolinearidade perfeita mediante a análise do Fator de Inflação da Variância (VIF) e a c</w:t>
      </w:r>
      <w:r>
        <w:rPr>
          <w:rFonts w:ascii="Times New Roman" w:hAnsi="Times New Roman" w:eastAsia="Times New Roman" w:cs="Times New Roman"/>
        </w:rPr>
        <w:t xml:space="preserve">orreção de eventual heterocedasticidade por meio da aplicação de erros padrão robustos. </w:t>
      </w:r>
      <w:r>
        <w:rPr>
          <w:rFonts w:ascii="Times New Roman" w:hAnsi="Times New Roman" w:eastAsia="Times New Roman" w:cs="Times New Roman"/>
        </w:rPr>
      </w:r>
      <w:r>
        <w:rPr>
          <w:rFonts w:ascii="Times New Roman" w:hAnsi="Times New Roman" w:cs="Times New Roman"/>
        </w:rPr>
      </w:r>
    </w:p>
    <w:p w14:paraId="1805B6F5">
      <w:pPr>
        <w:pBdr/>
        <w:spacing w:after="0"/>
        <w:ind w:firstLine="720"/>
        <w:jc w:val="both"/>
        <w:rPr>
          <w:rFonts w:ascii="Times New Roman" w:hAnsi="Times New Roman" w:cs="Times New Roman"/>
        </w:rPr>
      </w:pPr>
      <w:r>
        <w:rPr>
          <w:rFonts w:ascii="Times New Roman" w:hAnsi="Times New Roman" w:eastAsia="Times New Roman" w:cs="Times New Roman"/>
        </w:rPr>
        <w:t xml:space="preserve">Consequentemente, o ajustamento global do modelo paramétrico foi aferido com base no coeficiente de determinação ajustado ($R^2$ Ajustado) e na significância estatística</w:t>
      </w:r>
      <w:r>
        <w:rPr>
          <w:rFonts w:ascii="Times New Roman" w:hAnsi="Times New Roman" w:eastAsia="Times New Roman" w:cs="Times New Roman"/>
        </w:rPr>
        <w:t xml:space="preserve"> </w:t>
      </w:r>
      <w:r>
        <w:rPr>
          <w:rFonts w:ascii="Times New Roman" w:hAnsi="Times New Roman" w:eastAsia="Times New Roman" w:cs="Times New Roman"/>
        </w:rPr>
        <w:t xml:space="preserve">do teste F.Adicionalmente, aplicou-se o algoritmo não-paramétrico de floresta aleatória (random forest) para mitigar as restrições impostas pela linearidade estrita do método de MQO. Dessa forma, esse estimador fundamentado na união de múltiplas árvores de</w:t>
      </w:r>
      <w:r>
        <w:rPr>
          <w:rFonts w:ascii="Times New Roman" w:hAnsi="Times New Roman" w:eastAsia="Times New Roman" w:cs="Times New Roman"/>
        </w:rPr>
        <w:t xml:space="preserve"> </w:t>
      </w:r>
      <w:r>
        <w:rPr>
          <w:rFonts w:ascii="Times New Roman" w:hAnsi="Times New Roman" w:eastAsia="Times New Roman" w:cs="Times New Roman"/>
        </w:rPr>
        <w:t xml:space="preserve">decisão agrupa os dados mediante particionamento recursivo, permitindo capturar interações complexas entre as variáveis explicativas sem a necessidade de especificar a priori a forma funcional exata da equação. Por conseguinte, a contribuição relativa de c</w:t>
      </w:r>
      <w:r>
        <w:rPr>
          <w:rFonts w:ascii="Times New Roman" w:hAnsi="Times New Roman" w:eastAsia="Times New Roman" w:cs="Times New Roman"/>
        </w:rPr>
        <w:t xml:space="preserve">ada preditor foi extraída matematicamente pelo cálculo da importância das variáveis (feature importance), indicador derivado da redução média de impureza (Índice de Gini) registrada em cada nó da árvore durante o treinamento computacional.</w:t>
      </w:r>
      <w:r>
        <w:rPr>
          <w:rFonts w:ascii="Times New Roman" w:hAnsi="Times New Roman" w:eastAsia="Times New Roman" w:cs="Times New Roman"/>
        </w:rPr>
      </w:r>
      <w:r>
        <w:rPr>
          <w:rFonts w:ascii="Times New Roman" w:hAnsi="Times New Roman" w:cs="Times New Roman"/>
        </w:rPr>
      </w:r>
    </w:p>
    <w:p w14:paraId="3B3457A5">
      <w:pPr>
        <w:pBdr/>
        <w:spacing w:after="0"/>
        <w:ind w:firstLine="720"/>
        <w:jc w:val="both"/>
        <w:rPr>
          <w:rFonts w:ascii="Times New Roman" w:hAnsi="Times New Roman" w:cs="Times New Roman"/>
        </w:rPr>
      </w:pPr>
      <w:r>
        <w:rPr>
          <w:rFonts w:ascii="Times New Roman" w:hAnsi="Times New Roman" w:eastAsia="Times New Roman" w:cs="Times New Roman"/>
        </w:rPr>
        <w:t xml:space="preserve">Desse modo, a vali</w:t>
      </w:r>
      <w:r>
        <w:rPr>
          <w:rFonts w:ascii="Times New Roman" w:hAnsi="Times New Roman" w:eastAsia="Times New Roman" w:cs="Times New Roman"/>
        </w:rPr>
        <w:t xml:space="preserve">d</w:t>
      </w:r>
      <w:r>
        <w:rPr>
          <w:rFonts w:ascii="Times New Roman" w:hAnsi="Times New Roman" w:eastAsia="Times New Roman" w:cs="Times New Roman"/>
        </w:rPr>
        <w:t xml:space="preserve">ação cruzada preditiva do framework foi conduzida por meio da divisão estratificada da base empírica em subconjuntos independentes de treinamento (70%) e teste (30%), preservando rigorosamente a proporção matemática observada nas classes do escore de risco</w:t>
      </w:r>
      <w:r>
        <w:rPr>
          <w:rFonts w:ascii="Times New Roman" w:hAnsi="Times New Roman" w:eastAsia="Times New Roman" w:cs="Times New Roman"/>
        </w:rPr>
        <w:t xml:space="preserve">.</w:t>
      </w:r>
      <w:r>
        <w:rPr>
          <w:rFonts w:ascii="Times New Roman" w:hAnsi="Times New Roman" w:eastAsia="Times New Roman" w:cs="Times New Roman"/>
        </w:rPr>
        <w:t xml:space="preserve"> Por fim, para evitar o viés de avaliação comum em conjuntos de dados com classes desbalanceadas, o desempenho comparativo dos estimadores não se limitou à precisão global, sendo metrificado pela apuração da acurácia balanceada, da pontuação F1 Macro e do </w:t>
      </w:r>
      <w:r>
        <w:rPr>
          <w:rFonts w:ascii="Times New Roman" w:hAnsi="Times New Roman" w:eastAsia="Times New Roman" w:cs="Times New Roman"/>
        </w:rPr>
        <w:t xml:space="preserve">coeficiente Kappa de Cohen.</w:t>
      </w:r>
      <w:r>
        <w:rPr>
          <w:rFonts w:ascii="Times New Roman" w:hAnsi="Times New Roman" w:eastAsia="Times New Roman" w:cs="Times New Roman"/>
        </w:rPr>
      </w:r>
      <w:r>
        <w:rPr>
          <w:rFonts w:ascii="Times New Roman" w:hAnsi="Times New Roman" w:cs="Times New Roman"/>
        </w:rPr>
      </w:r>
    </w:p>
    <w:p w14:paraId="0CB62618" w14:textId="77777777">
      <w:pPr>
        <w:pBdr/>
        <w:spacing w:after="0"/>
        <w:ind/>
        <w:jc w:val="both"/>
        <w:rPr>
          <w:rFonts w:ascii="Times New Roman" w:hAnsi="Times New Roman" w:cs="Times New Roman"/>
          <w:b/>
          <w:bCs/>
        </w:rPr>
      </w:pPr>
      <w:r>
        <w:rPr>
          <w:rFonts w:ascii="Times New Roman" w:hAnsi="Times New Roman" w:eastAsia="Times New Roman" w:cs="Times New Roman"/>
          <w:b/>
          <w:bCs/>
        </w:rPr>
      </w:r>
      <w:r>
        <w:rPr>
          <w:rFonts w:ascii="Times New Roman" w:hAnsi="Times New Roman" w:eastAsia="Times New Roman" w:cs="Times New Roman"/>
          <w:b/>
          <w:bCs/>
        </w:rPr>
      </w:r>
      <w:r>
        <w:rPr>
          <w:rFonts w:ascii="Times New Roman" w:hAnsi="Times New Roman" w:cs="Times New Roman"/>
          <w:b/>
          <w:bCs/>
        </w:rPr>
      </w:r>
    </w:p>
    <w:p w14:paraId="44FF2166" w14:textId="283ECFC9">
      <w:pPr>
        <w:pBdr/>
        <w:spacing w:after="0"/>
        <w:ind/>
        <w:jc w:val="both"/>
        <w:rPr>
          <w:rFonts w:ascii="Times New Roman" w:hAnsi="Times New Roman" w:cs="Times New Roman"/>
          <w:b/>
          <w:bCs/>
        </w:rPr>
      </w:pPr>
      <w:r>
        <w:rPr>
          <w:rFonts w:ascii="Times New Roman" w:hAnsi="Times New Roman" w:eastAsia="Times New Roman" w:cs="Times New Roman"/>
          <w:b/>
          <w:bCs/>
        </w:rPr>
        <w:t xml:space="preserve">4. RESULTADOS</w:t>
      </w:r>
      <w:r>
        <w:rPr>
          <w:rFonts w:ascii="Times New Roman" w:hAnsi="Times New Roman" w:eastAsia="Times New Roman" w:cs="Times New Roman"/>
          <w:b/>
          <w:bCs/>
        </w:rPr>
      </w:r>
      <w:r>
        <w:rPr>
          <w:rFonts w:ascii="Times New Roman" w:hAnsi="Times New Roman" w:cs="Times New Roman"/>
          <w:b/>
          <w:bCs/>
        </w:rPr>
      </w:r>
    </w:p>
    <w:p w14:paraId="72809270" w14:textId="77777777">
      <w:pPr>
        <w:pBdr/>
        <w:spacing w:after="0"/>
        <w:ind/>
        <w:jc w:val="both"/>
        <w:rPr>
          <w:rFonts w:ascii="Times New Roman" w:hAnsi="Times New Roman" w:cs="Times New Roman"/>
          <w:b/>
          <w:bCs/>
        </w:rPr>
      </w:pPr>
      <w:r>
        <w:rPr>
          <w:rFonts w:ascii="Times New Roman" w:hAnsi="Times New Roman" w:eastAsia="Times New Roman" w:cs="Times New Roman"/>
        </w:rPr>
      </w:r>
      <w:bookmarkStart w:id="21" w:name="validação-da-base-empírica"/>
      <w:r>
        <w:rPr>
          <w:rFonts w:ascii="Times New Roman" w:hAnsi="Times New Roman" w:eastAsia="Times New Roman" w:cs="Times New Roman"/>
          <w:b/>
          <w:bCs/>
        </w:rPr>
        <w:t xml:space="preserve">4.1 Validação da Base Empírica</w:t>
      </w:r>
      <w:r>
        <w:rPr>
          <w:rFonts w:ascii="Times New Roman" w:hAnsi="Times New Roman" w:eastAsia="Times New Roman" w:cs="Times New Roman"/>
          <w:b/>
          <w:bCs/>
        </w:rPr>
      </w:r>
      <w:r>
        <w:rPr>
          <w:rFonts w:ascii="Times New Roman" w:hAnsi="Times New Roman" w:cs="Times New Roman"/>
          <w:b/>
          <w:bCs/>
        </w:rPr>
      </w:r>
    </w:p>
    <w:p w14:paraId="29AB471C" w14:textId="2F0EDDD0">
      <w:pPr>
        <w:pBdr/>
        <w:spacing w:after="0"/>
        <w:ind w:firstLine="720"/>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O</w:t>
      </w:r>
      <w:r>
        <w:rPr>
          <w:rFonts w:ascii="Times New Roman" w:hAnsi="Times New Roman" w:eastAsia="Times New Roman" w:cs="Times New Roman"/>
        </w:rPr>
        <w:t xml:space="preserve"> estudo utilizou como fonte primária de dados a base anual de contratações públicas do PNCP referente ao exercício de 2024. Nesse contexto, o arquivo bruto extraído compreendia inicialmente 296.748 registos de contratações. Após a correção dos problemas id</w:t>
      </w:r>
      <w:r>
        <w:rPr>
          <w:rFonts w:ascii="Times New Roman" w:hAnsi="Times New Roman" w:eastAsia="Times New Roman" w:cs="Times New Roman"/>
        </w:rPr>
        <w:t xml:space="preserve">entificados, que incluíram a remoção de valores estimados superiores a 1 bilhão de reais, a aplicação de filtro exclusivamente para o ano de 2024 e o refinamento do dicionário de termos, a base final passou a conter 273.309 registos. </w:t>
      </w:r>
      <w:r>
        <w:rPr>
          <w:rFonts w:ascii="Times New Roman" w:hAnsi="Times New Roman" w:cs="Times New Roman"/>
        </w:rPr>
      </w:r>
      <w:r>
        <w:rPr>
          <w:rFonts w:ascii="Times New Roman" w:hAnsi="Times New Roman" w:eastAsia="Times New Roman" w:cs="Times New Roman"/>
        </w:rPr>
      </w:r>
    </w:p>
    <w:p w14:paraId="0C68A63A">
      <w:pPr>
        <w:pBdr/>
        <w:spacing w:after="0"/>
        <w:ind w:firstLine="720"/>
        <w:jc w:val="both"/>
        <w:rPr>
          <w:rFonts w:ascii="Times New Roman" w:hAnsi="Times New Roman" w:cs="Times New Roman"/>
        </w:rPr>
      </w:pPr>
      <w:r>
        <w:rPr>
          <w:rFonts w:ascii="Times New Roman" w:hAnsi="Times New Roman" w:eastAsia="Times New Roman" w:cs="Times New Roman"/>
        </w:rPr>
        <w:t xml:space="preserve">Assim, a Tabe</w:t>
      </w:r>
      <w:r>
        <w:rPr>
          <w:rFonts w:ascii="Times New Roman" w:hAnsi="Times New Roman" w:eastAsia="Times New Roman" w:cs="Times New Roman"/>
        </w:rPr>
        <w:t xml:space="preserve">la 1 apresenta as estatísticas gerais do conjunto de dados validado.</w:t>
      </w:r>
      <w:r>
        <w:rPr>
          <w:rFonts w:ascii="Times New Roman" w:hAnsi="Times New Roman" w:eastAsia="Times New Roman" w:cs="Times New Roman"/>
        </w:rPr>
      </w:r>
      <w:r>
        <w:rPr>
          <w:rFonts w:ascii="Times New Roman" w:hAnsi="Times New Roman" w:cs="Times New Roman"/>
        </w:rPr>
      </w:r>
    </w:p>
    <w:p w14:paraId="73A78A50" w14:textId="424B2C15">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48EDA7E1" w14:textId="62EFA82C">
      <w:pPr>
        <w:pBdr/>
        <w:spacing w:after="0"/>
        <w:ind/>
        <w:jc w:val="both"/>
        <w:rPr>
          <w:rFonts w:ascii="Times New Roman" w:hAnsi="Times New Roman" w:eastAsia="Times New Roman" w:cs="Times New Roman"/>
          <w:sz w:val="20"/>
          <w:szCs w:val="20"/>
        </w:rPr>
      </w:pPr>
      <w:r>
        <w:rPr>
          <w:rFonts w:ascii="Times New Roman" w:hAnsi="Times New Roman" w:eastAsia="Times New Roman" w:cs="Times New Roman"/>
          <w:b/>
          <w:bCs/>
          <w:sz w:val="20"/>
          <w:szCs w:val="20"/>
        </w:rPr>
        <w:t xml:space="preserve">Tabela 1.</w:t>
      </w:r>
      <w:r>
        <w:rPr>
          <w:rFonts w:ascii="Times New Roman" w:hAnsi="Times New Roman" w:eastAsia="Times New Roman" w:cs="Times New Roman"/>
          <w:sz w:val="20"/>
          <w:szCs w:val="20"/>
        </w:rPr>
        <w:t xml:space="preserve"> </w:t>
      </w:r>
      <w:r>
        <w:rPr>
          <w:rFonts w:ascii="Times New Roman" w:hAnsi="Times New Roman" w:cs="Times New Roman"/>
          <w:b/>
          <w:bCs/>
          <w:sz w:val="20"/>
          <w:szCs w:val="20"/>
        </w:rPr>
      </w:r>
      <w:r>
        <w:rPr>
          <w:rFonts w:ascii="Times New Roman" w:hAnsi="Times New Roman" w:eastAsia="Times New Roman" w:cs="Times New Roman"/>
          <w:sz w:val="20"/>
          <w:szCs w:val="20"/>
        </w:rPr>
      </w:r>
    </w:p>
    <w:p w14:paraId="130E361F">
      <w:pPr>
        <w:pBdr/>
        <w:spacing w:after="0"/>
        <w:ind/>
        <w:jc w:val="both"/>
        <w:rPr>
          <w:rFonts w:ascii="Times New Roman" w:hAnsi="Times New Roman" w:cs="Times New Roman"/>
          <w:b/>
          <w:bCs/>
          <w:sz w:val="20"/>
          <w:szCs w:val="20"/>
        </w:rPr>
      </w:pPr>
      <w:r>
        <w:rPr>
          <w:rFonts w:ascii="Times New Roman" w:hAnsi="Times New Roman" w:eastAsia="Times New Roman" w:cs="Times New Roman"/>
          <w:sz w:val="20"/>
          <w:szCs w:val="20"/>
        </w:rPr>
        <w:t xml:space="preserve">Estatísticas gerais do dataset PNCP 2024</w:t>
      </w:r>
      <w:r>
        <w:rPr>
          <w:rFonts w:ascii="Times New Roman" w:hAnsi="Times New Roman" w:eastAsia="Times New Roman" w:cs="Times New Roman"/>
          <w:b/>
          <w:bCs/>
          <w:sz w:val="20"/>
          <w:szCs w:val="20"/>
        </w:rPr>
      </w:r>
      <w:r>
        <w:rPr>
          <w:rFonts w:ascii="Times New Roman" w:hAnsi="Times New Roman" w:cs="Times New Roman"/>
          <w:b/>
          <w:bCs/>
          <w:sz w:val="20"/>
          <w:szCs w:val="20"/>
        </w:rPr>
      </w:r>
    </w:p>
    <w:tbl>
      <w:tblPr>
        <w:tblStyle w:val="959"/>
        <w:tblW w:w="0" w:type="auto"/>
        <w:tblBorders/>
        <w:tblLook w:val="06A0" w:firstRow="1" w:lastRow="0" w:firstColumn="1" w:lastColumn="0" w:noHBand="1" w:noVBand="1"/>
      </w:tblPr>
      <w:tblGrid>
        <w:gridCol w:w="2868"/>
        <w:gridCol w:w="2868"/>
      </w:tblGrid>
      <w:tr>
        <w:trPr>
          <w:trHeight w:val="300"/>
        </w:trPr>
        <w:tc>
          <w:tcPr>
            <w:tcBorders/>
            <w:tcW w:w="2868" w:type="dxa"/>
            <w:vAlign w:val="center"/>
          </w:tcPr>
          <w:p w14:paraId="222F47A6" w14:textId="0DAB41D9">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Métrica</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2868" w:type="dxa"/>
            <w:vAlign w:val="center"/>
          </w:tcPr>
          <w:p w14:paraId="796405DA" w14:textId="6BE3F65E">
            <w:pPr>
              <w:pBdr/>
              <w:spacing/>
              <w:ind/>
              <w:rPr>
                <w:rFonts w:ascii="Times New Roman" w:hAnsi="Times New Roman" w:cs="Times New Roman"/>
                <w:b w:val="0"/>
                <w:bCs w:val="0"/>
                <w:sz w:val="20"/>
                <w:szCs w:val="20"/>
              </w:rPr>
            </w:pPr>
            <w:r>
              <w:rPr>
                <w:rFonts w:ascii="Times New Roman" w:hAnsi="Times New Roman" w:eastAsia="Times New Roman" w:cs="Times New Roman"/>
                <w:sz w:val="20"/>
                <w:szCs w:val="20"/>
              </w:rPr>
              <w:t xml:space="preserve">Valor</w:t>
            </w:r>
            <w:r>
              <w:rPr>
                <w:rFonts w:ascii="Times New Roman" w:hAnsi="Times New Roman" w:eastAsia="Times New Roman" w:cs="Times New Roman"/>
                <w:b w:val="0"/>
                <w:bCs w:val="0"/>
                <w:sz w:val="20"/>
                <w:szCs w:val="20"/>
              </w:rPr>
            </w:r>
            <w:r>
              <w:rPr>
                <w:rFonts w:ascii="Times New Roman" w:hAnsi="Times New Roman" w:cs="Times New Roman"/>
                <w:b w:val="0"/>
                <w:bCs w:val="0"/>
                <w:sz w:val="20"/>
                <w:szCs w:val="20"/>
              </w:rPr>
            </w:r>
          </w:p>
        </w:tc>
      </w:tr>
      <w:tr>
        <w:trPr>
          <w:trHeight w:val="300"/>
        </w:trPr>
        <w:tc>
          <w:tcPr>
            <w:tcBorders/>
            <w:tcW w:w="2868" w:type="dxa"/>
            <w:vAlign w:val="center"/>
          </w:tcPr>
          <w:p w14:paraId="6BA4F62E" w14:textId="2A0994B4">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Total de registros</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2868" w:type="dxa"/>
            <w:vAlign w:val="center"/>
          </w:tcPr>
          <w:p w14:paraId="65BBC2A8" w14:textId="008160B9">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273.309</w:t>
            </w:r>
            <w:r>
              <w:rPr>
                <w:rFonts w:ascii="Times New Roman" w:hAnsi="Times New Roman" w:eastAsia="Times New Roman" w:cs="Times New Roman"/>
                <w:sz w:val="20"/>
                <w:szCs w:val="20"/>
              </w:rPr>
            </w:r>
            <w:r>
              <w:rPr>
                <w:rFonts w:ascii="Times New Roman" w:hAnsi="Times New Roman" w:cs="Times New Roman"/>
                <w:sz w:val="20"/>
                <w:szCs w:val="20"/>
              </w:rPr>
            </w:r>
          </w:p>
        </w:tc>
      </w:tr>
      <w:tr>
        <w:trPr>
          <w:trHeight w:val="300"/>
        </w:trPr>
        <w:tc>
          <w:tcPr>
            <w:tcBorders/>
            <w:tcW w:w="2868" w:type="dxa"/>
            <w:vAlign w:val="center"/>
          </w:tcPr>
          <w:p w14:paraId="55D58E36" w14:textId="7115AC2E">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Período</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2868" w:type="dxa"/>
            <w:vAlign w:val="center"/>
          </w:tcPr>
          <w:p w14:paraId="25153FB5" w14:textId="4A1A54C5">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2024</w:t>
            </w:r>
            <w:r>
              <w:rPr>
                <w:rFonts w:ascii="Times New Roman" w:hAnsi="Times New Roman" w:eastAsia="Times New Roman" w:cs="Times New Roman"/>
                <w:sz w:val="20"/>
                <w:szCs w:val="20"/>
              </w:rPr>
            </w:r>
            <w:r>
              <w:rPr>
                <w:rFonts w:ascii="Times New Roman" w:hAnsi="Times New Roman" w:cs="Times New Roman"/>
                <w:sz w:val="20"/>
                <w:szCs w:val="20"/>
              </w:rPr>
            </w:r>
          </w:p>
        </w:tc>
      </w:tr>
      <w:tr>
        <w:trPr>
          <w:trHeight w:val="300"/>
        </w:trPr>
        <w:tc>
          <w:tcPr>
            <w:tcBorders/>
            <w:tcW w:w="2868" w:type="dxa"/>
            <w:vAlign w:val="center"/>
          </w:tcPr>
          <w:p w14:paraId="53CF08AC" w14:textId="383E4313">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Valor total estimado</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2868" w:type="dxa"/>
            <w:vAlign w:val="center"/>
          </w:tcPr>
          <w:p w14:paraId="0C33CE5F" w14:textId="4F118402">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R$ 434,42 bilhões</w:t>
            </w:r>
            <w:r>
              <w:rPr>
                <w:rFonts w:ascii="Times New Roman" w:hAnsi="Times New Roman" w:eastAsia="Times New Roman" w:cs="Times New Roman"/>
                <w:sz w:val="20"/>
                <w:szCs w:val="20"/>
              </w:rPr>
            </w:r>
            <w:r>
              <w:rPr>
                <w:rFonts w:ascii="Times New Roman" w:hAnsi="Times New Roman" w:cs="Times New Roman"/>
                <w:sz w:val="20"/>
                <w:szCs w:val="20"/>
              </w:rPr>
            </w:r>
          </w:p>
        </w:tc>
      </w:tr>
      <w:tr>
        <w:trPr>
          <w:trHeight w:val="300"/>
        </w:trPr>
        <w:tc>
          <w:tcPr>
            <w:tcBorders/>
            <w:tcW w:w="2868" w:type="dxa"/>
            <w:vAlign w:val="center"/>
          </w:tcPr>
          <w:p w14:paraId="138ED7CC" w14:textId="785CB331">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Valor total homologado</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2868" w:type="dxa"/>
            <w:vAlign w:val="center"/>
          </w:tcPr>
          <w:p w14:paraId="6D983A04" w14:textId="5E990179">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R$ 244,87 bilhões</w:t>
            </w:r>
            <w:r>
              <w:rPr>
                <w:rFonts w:ascii="Times New Roman" w:hAnsi="Times New Roman" w:eastAsia="Times New Roman" w:cs="Times New Roman"/>
                <w:sz w:val="20"/>
                <w:szCs w:val="20"/>
              </w:rPr>
            </w:r>
            <w:r>
              <w:rPr>
                <w:rFonts w:ascii="Times New Roman" w:hAnsi="Times New Roman" w:cs="Times New Roman"/>
                <w:sz w:val="20"/>
                <w:szCs w:val="20"/>
              </w:rPr>
            </w:r>
          </w:p>
        </w:tc>
      </w:tr>
      <w:tr>
        <w:trPr>
          <w:trHeight w:val="300"/>
        </w:trPr>
        <w:tc>
          <w:tcPr>
            <w:tcBorders/>
            <w:tcW w:w="2868" w:type="dxa"/>
            <w:vAlign w:val="center"/>
          </w:tcPr>
          <w:p w14:paraId="64A423E9" w14:textId="6C4207D8">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Contratações com inovação</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2868" w:type="dxa"/>
            <w:vAlign w:val="center"/>
          </w:tcPr>
          <w:p w14:paraId="2695E421" w14:textId="541B9FCB">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3.150 (1,15%)</w:t>
            </w:r>
            <w:r>
              <w:rPr>
                <w:rFonts w:ascii="Times New Roman" w:hAnsi="Times New Roman" w:eastAsia="Times New Roman" w:cs="Times New Roman"/>
                <w:sz w:val="20"/>
                <w:szCs w:val="20"/>
              </w:rPr>
            </w:r>
            <w:r>
              <w:rPr>
                <w:rFonts w:ascii="Times New Roman" w:hAnsi="Times New Roman" w:cs="Times New Roman"/>
                <w:sz w:val="20"/>
                <w:szCs w:val="20"/>
              </w:rPr>
            </w:r>
          </w:p>
        </w:tc>
      </w:tr>
      <w:tr>
        <w:trPr>
          <w:trHeight w:val="300"/>
        </w:trPr>
        <w:tc>
          <w:tcPr>
            <w:tcBorders/>
            <w:tcW w:w="2868" w:type="dxa"/>
            <w:vAlign w:val="center"/>
          </w:tcPr>
          <w:p w14:paraId="5A977244" w14:textId="7028D57F">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Escore médio de risco</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2868" w:type="dxa"/>
            <w:vAlign w:val="center"/>
          </w:tcPr>
          <w:p w14:paraId="458A9431" w14:textId="4EBD2C1C">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1,05</w:t>
            </w:r>
            <w:r>
              <w:rPr>
                <w:rFonts w:ascii="Times New Roman" w:hAnsi="Times New Roman" w:eastAsia="Times New Roman" w:cs="Times New Roman"/>
                <w:sz w:val="20"/>
                <w:szCs w:val="20"/>
              </w:rPr>
            </w:r>
            <w:r>
              <w:rPr>
                <w:rFonts w:ascii="Times New Roman" w:hAnsi="Times New Roman" w:cs="Times New Roman"/>
                <w:sz w:val="20"/>
                <w:szCs w:val="20"/>
              </w:rPr>
            </w:r>
          </w:p>
        </w:tc>
      </w:tr>
      <w:tr>
        <w:trPr>
          <w:trHeight w:val="300"/>
        </w:trPr>
        <w:tc>
          <w:tcPr>
            <w:tcBorders/>
            <w:tcW w:w="2868" w:type="dxa"/>
            <w:vAlign w:val="center"/>
          </w:tcPr>
          <w:p w14:paraId="6A99D62C" w14:textId="42B3140C">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Contratação direta (%)</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2868" w:type="dxa"/>
            <w:vAlign w:val="center"/>
          </w:tcPr>
          <w:p w14:paraId="1043E0B3" w14:textId="029149EF">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62,0%</w:t>
            </w:r>
            <w:r>
              <w:rPr>
                <w:rFonts w:ascii="Times New Roman" w:hAnsi="Times New Roman" w:eastAsia="Times New Roman" w:cs="Times New Roman"/>
                <w:sz w:val="20"/>
                <w:szCs w:val="20"/>
              </w:rPr>
            </w:r>
            <w:r>
              <w:rPr>
                <w:rFonts w:ascii="Times New Roman" w:hAnsi="Times New Roman" w:cs="Times New Roman"/>
                <w:sz w:val="20"/>
                <w:szCs w:val="20"/>
              </w:rPr>
            </w:r>
          </w:p>
        </w:tc>
      </w:tr>
    </w:tbl>
    <w:p w14:paraId="4DD7006D" w14:textId="324D3B16">
      <w:pPr>
        <w:pBd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Fonte: Elaboração própria com base em dados do PNCP (2024).</w:t>
      </w:r>
      <w:r>
        <w:rPr>
          <w:rFonts w:ascii="Times New Roman" w:hAnsi="Times New Roman" w:eastAsia="Times New Roman" w:cs="Times New Roman"/>
        </w:rPr>
      </w:r>
      <w:bookmarkStart w:id="22" w:name="X0d5738a4c41e06ab5980547bcaa4033012d3a17"/>
      <w:r>
        <w:rPr>
          <w:rFonts w:ascii="Times New Roman" w:hAnsi="Times New Roman" w:eastAsia="Times New Roman" w:cs="Times New Roman"/>
        </w:rPr>
      </w:r>
      <w:bookmarkEnd w:id="21"/>
      <w:r>
        <w:rPr>
          <w:rFonts w:ascii="Times New Roman" w:hAnsi="Times New Roman" w:cs="Times New Roman"/>
          <w:sz w:val="20"/>
          <w:szCs w:val="20"/>
        </w:rPr>
      </w:r>
      <w:r>
        <w:rPr>
          <w:rFonts w:ascii="Times New Roman" w:hAnsi="Times New Roman" w:cs="Times New Roman"/>
          <w:sz w:val="20"/>
          <w:szCs w:val="20"/>
        </w:rPr>
      </w:r>
    </w:p>
    <w:p w14:paraId="7FF4B2AD" w14:textId="2546E6AB">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49518F7E" w14:textId="77777777">
      <w:pPr>
        <w:pBdr/>
        <w:spacing w:after="0"/>
        <w:ind/>
        <w:jc w:val="both"/>
        <w:rPr>
          <w:rFonts w:ascii="Times New Roman" w:hAnsi="Times New Roman" w:cs="Times New Roman"/>
          <w:b/>
          <w:bCs/>
        </w:rPr>
      </w:pPr>
      <w:r>
        <w:rPr>
          <w:rFonts w:ascii="Times New Roman" w:hAnsi="Times New Roman" w:eastAsia="Times New Roman" w:cs="Times New Roman"/>
          <w:b/>
          <w:bCs/>
        </w:rPr>
        <w:t xml:space="preserve">4.2 Perfil Geral das Contratações Públicas em 2024</w:t>
      </w:r>
      <w:r>
        <w:rPr>
          <w:rFonts w:ascii="Times New Roman" w:hAnsi="Times New Roman" w:eastAsia="Times New Roman" w:cs="Times New Roman"/>
          <w:b/>
          <w:bCs/>
        </w:rPr>
      </w:r>
      <w:r>
        <w:rPr>
          <w:rFonts w:ascii="Times New Roman" w:hAnsi="Times New Roman" w:cs="Times New Roman"/>
          <w:b/>
          <w:bCs/>
        </w:rPr>
      </w:r>
    </w:p>
    <w:p w14:paraId="7C1582B8" w14:textId="28E74E22">
      <w:pPr>
        <w:pBdr/>
        <w:spacing w:after="0"/>
        <w:ind w:firstLine="720"/>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A</w:t>
      </w:r>
      <w:r>
        <w:rPr>
          <w:rFonts w:ascii="Times New Roman" w:hAnsi="Times New Roman" w:eastAsia="Times New Roman" w:cs="Times New Roman"/>
        </w:rPr>
        <w:t xml:space="preserve"> análise descritiva da base validada revela um panorama marcado pela predominância da contratação direta. Desse modo, do total de 273.309 registos, a esfera federal responde por 48,0% das contratações (131.205), seguida pela estadual com 30,3% (82.917) e p</w:t>
      </w:r>
      <w:r>
        <w:rPr>
          <w:rFonts w:ascii="Times New Roman" w:hAnsi="Times New Roman" w:eastAsia="Times New Roman" w:cs="Times New Roman"/>
        </w:rPr>
        <w:t xml:space="preserve">ela municipal com 19,7% (53.813). </w:t>
      </w:r>
      <w:r>
        <w:rPr>
          <w:rFonts w:ascii="Times New Roman" w:hAnsi="Times New Roman" w:cs="Times New Roman"/>
        </w:rPr>
      </w:r>
      <w:r>
        <w:rPr>
          <w:rFonts w:ascii="Times New Roman" w:hAnsi="Times New Roman" w:eastAsia="Times New Roman" w:cs="Times New Roman"/>
        </w:rPr>
      </w:r>
    </w:p>
    <w:p w14:paraId="569368DC">
      <w:pPr>
        <w:pBdr/>
        <w:spacing w:after="0"/>
        <w:ind w:firstLine="720"/>
        <w:jc w:val="both"/>
        <w:rPr>
          <w:rFonts w:ascii="Times New Roman" w:hAnsi="Times New Roman" w:cs="Times New Roman"/>
        </w:rPr>
      </w:pPr>
      <w:r>
        <w:rPr>
          <w:rFonts w:ascii="Times New Roman" w:hAnsi="Times New Roman" w:eastAsia="Times New Roman" w:cs="Times New Roman"/>
        </w:rPr>
        <w:t xml:space="preserve">Adicionalmente, a Figura 1 ilustra a distribuição por esfera federativa.</w:t>
      </w:r>
      <w:r>
        <w:rPr>
          <w:rFonts w:ascii="Times New Roman" w:hAnsi="Times New Roman" w:eastAsia="Times New Roman" w:cs="Times New Roman"/>
        </w:rPr>
      </w:r>
      <w:r>
        <w:rPr>
          <w:rFonts w:ascii="Times New Roman" w:hAnsi="Times New Roman" w:cs="Times New Roman"/>
        </w:rPr>
      </w:r>
    </w:p>
    <w:p w14:paraId="06A4A1D3" w14:textId="77777777">
      <w:pPr>
        <w:pBdr/>
        <w:spacing w:after="0"/>
        <w:ind/>
        <w:jc w:val="both"/>
        <w:rPr>
          <w:rFonts w:ascii="Times New Roman" w:hAnsi="Times New Roman" w:cs="Times New Roman"/>
          <w:b/>
          <w:bCs/>
          <w:sz w:val="20"/>
          <w:szCs w:val="20"/>
        </w:rPr>
      </w:pPr>
      <w:r>
        <w:rPr>
          <w:rFonts w:ascii="Times New Roman" w:hAnsi="Times New Roman" w:eastAsia="Times New Roman" w:cs="Times New Roman"/>
          <w:b/>
          <w:bCs/>
          <w:sz w:val="20"/>
          <w:szCs w:val="20"/>
        </w:rPr>
      </w:r>
      <w:r>
        <w:rPr>
          <w:rFonts w:ascii="Times New Roman" w:hAnsi="Times New Roman" w:eastAsia="Times New Roman" w:cs="Times New Roman"/>
          <w:b/>
          <w:bCs/>
          <w:sz w:val="20"/>
          <w:szCs w:val="20"/>
        </w:rPr>
      </w:r>
      <w:r>
        <w:rPr>
          <w:rFonts w:ascii="Times New Roman" w:hAnsi="Times New Roman" w:cs="Times New Roman"/>
          <w:b/>
          <w:bCs/>
          <w:sz w:val="20"/>
          <w:szCs w:val="20"/>
        </w:rPr>
      </w:r>
    </w:p>
    <w:p w14:paraId="356002DD" w14:textId="4934B8DC">
      <w:pPr>
        <w:pBdr/>
        <w:spacing w:after="0"/>
        <w:ind/>
        <w:jc w:val="both"/>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 xml:space="preserve">Figura 1</w:t>
      </w:r>
      <w:r>
        <w:rPr>
          <w:rFonts w:ascii="Times New Roman" w:hAnsi="Times New Roman" w:cs="Times New Roman"/>
          <w:b/>
          <w:bCs/>
          <w:sz w:val="20"/>
          <w:szCs w:val="20"/>
        </w:rPr>
      </w:r>
      <w:r>
        <w:rPr>
          <w:rFonts w:ascii="Times New Roman" w:hAnsi="Times New Roman" w:eastAsia="Times New Roman" w:cs="Times New Roman"/>
          <w:b/>
          <w:bCs/>
          <w:sz w:val="20"/>
          <w:szCs w:val="20"/>
        </w:rPr>
      </w:r>
    </w:p>
    <w:p w14:paraId="540F54FB">
      <w:pPr>
        <w:pBdr/>
        <w:spacing w:after="0"/>
        <w:ind/>
        <w:jc w:val="both"/>
        <w:rPr>
          <w:rFonts w:ascii="Times New Roman" w:hAnsi="Times New Roman" w:cs="Times New Roman"/>
          <w:b/>
          <w:bCs/>
          <w:sz w:val="20"/>
          <w:szCs w:val="20"/>
        </w:rPr>
      </w:pPr>
      <w:r>
        <w:rPr>
          <w:rFonts w:ascii="Times New Roman" w:hAnsi="Times New Roman" w:eastAsia="Times New Roman" w:cs="Times New Roman"/>
          <w:b/>
          <w:bCs/>
          <w:sz w:val="20"/>
          <w:szCs w:val="20"/>
        </w:rPr>
      </w:r>
      <w:r>
        <w:rPr>
          <w:rFonts w:ascii="Times New Roman" w:hAnsi="Times New Roman" w:eastAsia="Times New Roman" w:cs="Times New Roman"/>
          <w:sz w:val="20"/>
          <w:szCs w:val="20"/>
        </w:rPr>
        <w:t xml:space="preserve">Distribuição das Contratações por Esfera Federativa</w:t>
      </w:r>
      <w:r>
        <w:rPr>
          <w:rFonts w:ascii="Times New Roman" w:hAnsi="Times New Roman" w:eastAsia="Times New Roman" w:cs="Times New Roman"/>
          <w:b/>
          <w:bCs/>
          <w:sz w:val="20"/>
          <w:szCs w:val="20"/>
        </w:rPr>
      </w:r>
      <w:r>
        <w:rPr>
          <w:rFonts w:ascii="Times New Roman" w:hAnsi="Times New Roman" w:cs="Times New Roman"/>
          <w:b/>
          <w:bCs/>
          <w:sz w:val="20"/>
          <w:szCs w:val="20"/>
        </w:rPr>
      </w:r>
    </w:p>
    <w:p w14:paraId="5A39BBE3" w14:textId="77777777">
      <w:pPr>
        <w:pBdr/>
        <w:spacing w:after="0"/>
        <w:ind/>
        <w:jc w:val="both"/>
        <w:rPr>
          <w:rFonts w:ascii="Times New Roman" w:hAnsi="Times New Roman" w:cs="Times New Roman"/>
          <w:sz w:val="20"/>
          <w:szCs w:val="20"/>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844419" cy="2733523"/>
                <wp:effectExtent l="0" t="0" r="0" b="0"/>
                <wp:docPr id="1" name="Picture" descr="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C:\Users\Renato\Documents\ThePapperAI\papers\paper-algoritmica-ia-blockchain-compras-publicas\05-documento\figuras/grafico_01_esfera.png"/>
                        <pic:cNvPicPr>
                          <a:picLocks noChangeAspect="1"/>
                        </pic:cNvPicPr>
                        <pic:nvPr/>
                      </pic:nvPicPr>
                      <pic:blipFill rotWithShape="1">
                        <a:blip r:embed="rId9"/>
                        <a:stretch/>
                      </pic:blipFill>
                      <pic:spPr bwMode="auto">
                        <a:xfrm>
                          <a:off x="0" y="0"/>
                          <a:ext cx="5941733" cy="277903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0.19pt;height:215.24pt;mso-wrap-distance-left:0.00pt;mso-wrap-distance-top:0.00pt;mso-wrap-distance-right:0.00pt;mso-wrap-distance-bottom:0.00pt;z-index:1;" stroked="f" strokeweight="0.75pt">
                <v:imagedata r:id="rId9" o:title=""/>
                <o:lock v:ext="edit" rotation="t"/>
              </v:shape>
            </w:pict>
          </mc:Fallback>
        </mc:AlternateContent>
      </w:r>
      <w:r>
        <w:rPr>
          <w:rFonts w:ascii="Times New Roman" w:hAnsi="Times New Roman" w:eastAsia="Times New Roman" w:cs="Times New Roman"/>
          <w:sz w:val="20"/>
          <w:szCs w:val="20"/>
        </w:rPr>
      </w:r>
      <w:r>
        <w:rPr>
          <w:rFonts w:ascii="Times New Roman" w:hAnsi="Times New Roman" w:cs="Times New Roman"/>
          <w:sz w:val="20"/>
          <w:szCs w:val="20"/>
        </w:rPr>
      </w:r>
    </w:p>
    <w:p w14:paraId="63927DC5" w14:textId="77777777">
      <w:pPr>
        <w:pBdr/>
        <w:spacing w:after="0"/>
        <w:ind/>
        <w:jc w:val="both"/>
        <w:rPr>
          <w:rFonts w:ascii="Times New Roman" w:hAnsi="Times New Roman" w:cs="Times New Roman"/>
          <w:i/>
          <w:iCs/>
          <w:sz w:val="20"/>
          <w:szCs w:val="20"/>
        </w:rPr>
      </w:pPr>
      <w:r>
        <w:rPr>
          <w:rFonts w:ascii="Times New Roman" w:hAnsi="Times New Roman" w:eastAsia="Times New Roman" w:cs="Times New Roman"/>
          <w:b w:val="0"/>
          <w:bCs w:val="0"/>
          <w:sz w:val="20"/>
          <w:szCs w:val="20"/>
        </w:rPr>
        <w:t xml:space="preserve">Fonte:</w:t>
      </w:r>
      <w:r>
        <w:rPr>
          <w:rFonts w:ascii="Times New Roman" w:hAnsi="Times New Roman" w:eastAsia="Times New Roman" w:cs="Times New Roman"/>
          <w:b w:val="0"/>
          <w:bCs w:val="0"/>
          <w:sz w:val="20"/>
          <w:szCs w:val="20"/>
        </w:rPr>
        <w:t xml:space="preserve"> E</w:t>
      </w:r>
      <w:r>
        <w:rPr>
          <w:rFonts w:ascii="Times New Roman" w:hAnsi="Times New Roman" w:eastAsia="Times New Roman" w:cs="Times New Roman"/>
          <w:sz w:val="20"/>
          <w:szCs w:val="20"/>
        </w:rPr>
        <w:t xml:space="preserve">laboração própria com base em dados do PNCP (2024).</w:t>
      </w:r>
      <w:r>
        <w:rPr>
          <w:rFonts w:ascii="Times New Roman" w:hAnsi="Times New Roman" w:eastAsia="Times New Roman" w:cs="Times New Roman"/>
          <w:i/>
          <w:iCs/>
          <w:sz w:val="20"/>
          <w:szCs w:val="20"/>
        </w:rPr>
      </w:r>
      <w:r>
        <w:rPr>
          <w:rFonts w:ascii="Times New Roman" w:hAnsi="Times New Roman" w:cs="Times New Roman"/>
          <w:i/>
          <w:iCs/>
          <w:sz w:val="20"/>
          <w:szCs w:val="20"/>
        </w:rPr>
      </w:r>
    </w:p>
    <w:p w14:paraId="3E1D974F" w14:textId="23B3E27F">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2A911149" w14:textId="267F6798">
      <w:pPr>
        <w:pBdr/>
        <w:spacing w:after="0"/>
        <w:ind w:firstLine="720"/>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N</w:t>
      </w:r>
      <w:r>
        <w:rPr>
          <w:rFonts w:ascii="Times New Roman" w:hAnsi="Times New Roman" w:eastAsia="Times New Roman" w:cs="Times New Roman"/>
        </w:rPr>
        <w:t xml:space="preserve">o que diz respeito às modalidades procedimentais, observa-se que 62,0% das contratações foram realizadas por meio de contratação direta, seja por dispensa (45,7%) ou por inexigibilidade de licitação (16,3%). Em contrapartida, as modalidades competitivas re</w:t>
      </w:r>
      <w:r>
        <w:rPr>
          <w:rFonts w:ascii="Times New Roman" w:hAnsi="Times New Roman" w:eastAsia="Times New Roman" w:cs="Times New Roman"/>
        </w:rPr>
        <w:t xml:space="preserve">presentam 37,3% do total. </w:t>
      </w:r>
      <w:r>
        <w:rPr>
          <w:rFonts w:ascii="Times New Roman" w:hAnsi="Times New Roman" w:cs="Times New Roman"/>
        </w:rPr>
      </w:r>
      <w:r>
        <w:rPr>
          <w:rFonts w:ascii="Times New Roman" w:hAnsi="Times New Roman" w:eastAsia="Times New Roman" w:cs="Times New Roman"/>
        </w:rPr>
      </w:r>
    </w:p>
    <w:p w14:paraId="70D97FD7">
      <w:pPr>
        <w:pBdr/>
        <w:spacing w:after="0"/>
        <w:ind w:firstLine="720"/>
        <w:jc w:val="both"/>
        <w:rPr>
          <w:rFonts w:ascii="Times New Roman" w:hAnsi="Times New Roman" w:cs="Times New Roman"/>
        </w:rPr>
      </w:pPr>
      <w:r>
        <w:rPr>
          <w:rFonts w:ascii="Times New Roman" w:hAnsi="Times New Roman" w:eastAsia="Times New Roman" w:cs="Times New Roman"/>
        </w:rPr>
        <w:t xml:space="preserve">Sendo assim, a Figura 2 apresenta essa distribuição processual.</w:t>
      </w:r>
      <w:r>
        <w:rPr>
          <w:rFonts w:ascii="Times New Roman" w:hAnsi="Times New Roman" w:eastAsia="Times New Roman" w:cs="Times New Roman"/>
        </w:rPr>
      </w:r>
      <w:r>
        <w:rPr>
          <w:rFonts w:ascii="Times New Roman" w:hAnsi="Times New Roman" w:cs="Times New Roman"/>
        </w:rPr>
      </w:r>
    </w:p>
    <w:p w14:paraId="6F34FBB8" w14:textId="7F608448">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4D90013C" w14:textId="77777777">
      <w:pPr>
        <w:pBdr/>
        <w:spacing w:after="0"/>
        <w:ind/>
        <w:jc w:val="both"/>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 xml:space="preserve">Figura 2</w:t>
      </w:r>
      <w:r>
        <w:rPr>
          <w:rFonts w:ascii="Times New Roman" w:hAnsi="Times New Roman" w:cs="Times New Roman"/>
          <w:b/>
          <w:bCs/>
          <w:sz w:val="20"/>
          <w:szCs w:val="20"/>
        </w:rPr>
      </w:r>
      <w:r>
        <w:rPr>
          <w:rFonts w:ascii="Times New Roman" w:hAnsi="Times New Roman" w:eastAsia="Times New Roman" w:cs="Times New Roman"/>
          <w:b/>
          <w:bCs/>
          <w:sz w:val="20"/>
          <w:szCs w:val="20"/>
        </w:rPr>
      </w:r>
    </w:p>
    <w:p w14:paraId="48FA5980">
      <w:pPr>
        <w:pBdr/>
        <w:spacing w:after="0"/>
        <w:ind/>
        <w:jc w:val="both"/>
        <w:rPr>
          <w:rFonts w:ascii="Times New Roman" w:hAnsi="Times New Roman" w:cs="Times New Roman"/>
          <w:b/>
          <w:bCs/>
          <w:sz w:val="20"/>
          <w:szCs w:val="20"/>
        </w:rPr>
      </w:pPr>
      <w:r>
        <w:rPr>
          <w:rFonts w:ascii="Times New Roman" w:hAnsi="Times New Roman" w:eastAsia="Times New Roman" w:cs="Times New Roman"/>
          <w:b/>
          <w:bCs/>
          <w:sz w:val="20"/>
          <w:szCs w:val="20"/>
        </w:rPr>
      </w:r>
      <w:r>
        <w:rPr>
          <w:rFonts w:ascii="Times New Roman" w:hAnsi="Times New Roman" w:eastAsia="Times New Roman" w:cs="Times New Roman"/>
          <w:sz w:val="20"/>
          <w:szCs w:val="20"/>
        </w:rPr>
        <w:t xml:space="preserve">Distribuição das Contratações por Modalidade</w:t>
      </w:r>
      <w:r>
        <w:rPr>
          <w:rFonts w:ascii="Times New Roman" w:hAnsi="Times New Roman" w:eastAsia="Times New Roman" w:cs="Times New Roman"/>
          <w:b/>
          <w:bCs/>
          <w:sz w:val="20"/>
          <w:szCs w:val="20"/>
        </w:rPr>
      </w:r>
      <w:r>
        <w:rPr>
          <w:rFonts w:ascii="Times New Roman" w:hAnsi="Times New Roman" w:cs="Times New Roman"/>
          <w:b/>
          <w:bCs/>
          <w:sz w:val="20"/>
          <w:szCs w:val="20"/>
        </w:rPr>
      </w:r>
    </w:p>
    <w:p w14:paraId="41C8F396" w14:textId="77777777">
      <w:pPr>
        <w:pBdr/>
        <w:spacing w:after="0"/>
        <w:ind/>
        <w:jc w:val="both"/>
        <w:rPr>
          <w:rFonts w:ascii="Times New Roman" w:hAnsi="Times New Roman" w:cs="Times New Roman"/>
          <w:sz w:val="20"/>
          <w:szCs w:val="20"/>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334000" cy="2912075"/>
                <wp:effectExtent l="0" t="0" r="0" b="0"/>
                <wp:docPr id="2" name="Picture" descr="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descr="C:\Users\Renato\Documents\ThePapperAI\papers\paper-algoritmica-ia-blockchain-compras-publicas\05-documento\figuras/grafico_02_modalidade.png"/>
                        <pic:cNvPicPr>
                          <a:picLocks noChangeAspect="1"/>
                        </pic:cNvPicPr>
                        <pic:nvPr/>
                      </pic:nvPicPr>
                      <pic:blipFill rotWithShape="1">
                        <a:blip r:embed="rId10"/>
                        <a:stretch/>
                      </pic:blipFill>
                      <pic:spPr bwMode="auto">
                        <a:xfrm>
                          <a:off x="0" y="0"/>
                          <a:ext cx="5334000" cy="2912075"/>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0.00pt;height:229.30pt;mso-wrap-distance-left:0.00pt;mso-wrap-distance-top:0.00pt;mso-wrap-distance-right:0.00pt;mso-wrap-distance-bottom:0.00pt;z-index:1;" stroked="f" strokeweight="0.75pt">
                <v:imagedata r:id="rId10" o:title=""/>
                <o:lock v:ext="edit" rotation="t"/>
              </v:shape>
            </w:pict>
          </mc:Fallback>
        </mc:AlternateContent>
      </w:r>
      <w:r>
        <w:rPr>
          <w:rFonts w:ascii="Times New Roman" w:hAnsi="Times New Roman" w:eastAsia="Times New Roman" w:cs="Times New Roman"/>
          <w:sz w:val="20"/>
          <w:szCs w:val="20"/>
        </w:rPr>
      </w:r>
      <w:r>
        <w:rPr>
          <w:rFonts w:ascii="Times New Roman" w:hAnsi="Times New Roman" w:cs="Times New Roman"/>
          <w:sz w:val="20"/>
          <w:szCs w:val="20"/>
        </w:rPr>
      </w:r>
    </w:p>
    <w:p w14:paraId="0F8244D8" w14:textId="77777777">
      <w:pPr>
        <w:pBdr/>
        <w:spacing w:after="0"/>
        <w:ind/>
        <w:jc w:val="both"/>
        <w:rPr>
          <w:rFonts w:ascii="Times New Roman" w:hAnsi="Times New Roman" w:cs="Times New Roman"/>
          <w:i/>
          <w:iCs/>
          <w:sz w:val="20"/>
          <w:szCs w:val="20"/>
        </w:rPr>
      </w:pPr>
      <w:r>
        <w:rPr>
          <w:rFonts w:ascii="Times New Roman" w:hAnsi="Times New Roman" w:eastAsia="Times New Roman" w:cs="Times New Roman"/>
          <w:b w:val="0"/>
          <w:bCs w:val="0"/>
          <w:sz w:val="20"/>
          <w:szCs w:val="20"/>
        </w:rPr>
        <w:t xml:space="preserve">Fonte: </w:t>
      </w:r>
      <w:r>
        <w:rPr>
          <w:rFonts w:ascii="Times New Roman" w:hAnsi="Times New Roman" w:eastAsia="Times New Roman" w:cs="Times New Roman"/>
          <w:b w:val="0"/>
          <w:bCs w:val="0"/>
          <w:sz w:val="20"/>
          <w:szCs w:val="20"/>
        </w:rPr>
        <w:t xml:space="preserve">E</w:t>
      </w:r>
      <w:r>
        <w:rPr>
          <w:rFonts w:ascii="Times New Roman" w:hAnsi="Times New Roman" w:eastAsia="Times New Roman" w:cs="Times New Roman"/>
          <w:sz w:val="20"/>
          <w:szCs w:val="20"/>
        </w:rPr>
        <w:t xml:space="preserve">laboração própria com base em dados do PNCP (2024).</w:t>
      </w:r>
      <w:r>
        <w:rPr>
          <w:rFonts w:ascii="Times New Roman" w:hAnsi="Times New Roman" w:eastAsia="Times New Roman" w:cs="Times New Roman"/>
          <w:i/>
          <w:iCs/>
          <w:sz w:val="20"/>
          <w:szCs w:val="20"/>
        </w:rPr>
      </w:r>
      <w:r>
        <w:rPr>
          <w:rFonts w:ascii="Times New Roman" w:hAnsi="Times New Roman" w:cs="Times New Roman"/>
          <w:i/>
          <w:iCs/>
          <w:sz w:val="20"/>
          <w:szCs w:val="20"/>
        </w:rPr>
      </w:r>
    </w:p>
    <w:p w14:paraId="377349A9" w14:textId="7F57E43B">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1DD98577" w14:textId="77777777">
      <w:pPr>
        <w:pBdr/>
        <w:spacing w:after="0"/>
        <w:ind w:firstLine="720"/>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O</w:t>
      </w:r>
      <w:r>
        <w:rPr>
          <w:rFonts w:ascii="Times New Roman" w:hAnsi="Times New Roman" w:eastAsia="Times New Roman" w:cs="Times New Roman"/>
        </w:rPr>
        <w:t xml:space="preserve"> valor total estimado das contratações é de 434,42 bilhões de reais, enquanto o valor homologado alcança 244,87 bilhões de reais, indicando um desconto médio na ordem de 43,6%. Nesse sentido, a análise por tipo de contratação revela diferença nos valores m</w:t>
      </w:r>
      <w:r>
        <w:rPr>
          <w:rFonts w:ascii="Times New Roman" w:hAnsi="Times New Roman" w:eastAsia="Times New Roman" w:cs="Times New Roman"/>
        </w:rPr>
        <w:t xml:space="preserve">édios, visto que as contratações diretas apresentam o valor médio de 574.392 reais, enquanto as competitivas alcançam o valor de 3.249.411 reais. </w:t>
      </w:r>
      <w:r>
        <w:rPr>
          <w:rFonts w:ascii="Times New Roman" w:hAnsi="Times New Roman" w:cs="Times New Roman"/>
        </w:rPr>
      </w:r>
      <w:r>
        <w:rPr>
          <w:rFonts w:ascii="Times New Roman" w:hAnsi="Times New Roman" w:eastAsia="Times New Roman" w:cs="Times New Roman"/>
        </w:rPr>
      </w:r>
    </w:p>
    <w:p w14:paraId="4D7D1CD0">
      <w:pPr>
        <w:pBdr/>
        <w:spacing w:after="0"/>
        <w:ind w:firstLine="720"/>
        <w:jc w:val="both"/>
        <w:rPr>
          <w:rFonts w:ascii="Times New Roman" w:hAnsi="Times New Roman" w:cs="Times New Roman"/>
        </w:rPr>
      </w:pPr>
      <w:r>
        <w:rPr>
          <w:rFonts w:ascii="Times New Roman" w:hAnsi="Times New Roman" w:eastAsia="Times New Roman" w:cs="Times New Roman"/>
        </w:rPr>
        <w:t xml:space="preserve">Para ilustrar, a Figura 3 apresenta essa comparação.</w:t>
      </w:r>
      <w:r>
        <w:rPr>
          <w:rFonts w:ascii="Times New Roman" w:hAnsi="Times New Roman" w:eastAsia="Times New Roman" w:cs="Times New Roman"/>
        </w:rPr>
      </w:r>
      <w:r>
        <w:rPr>
          <w:rFonts w:ascii="Times New Roman" w:hAnsi="Times New Roman" w:cs="Times New Roman"/>
        </w:rPr>
      </w:r>
    </w:p>
    <w:p w14:paraId="3E92D463" w14:textId="77777777">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1BA1A492" w14:textId="77777777">
      <w:pPr>
        <w:pBdr/>
        <w:spacing w:after="0"/>
        <w:ind/>
        <w:jc w:val="both"/>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 xml:space="preserve">Figura 3</w:t>
      </w:r>
      <w:r>
        <w:rPr>
          <w:rFonts w:ascii="Times New Roman" w:hAnsi="Times New Roman" w:cs="Times New Roman"/>
          <w:b/>
          <w:bCs/>
          <w:sz w:val="20"/>
          <w:szCs w:val="20"/>
        </w:rPr>
      </w:r>
      <w:r>
        <w:rPr>
          <w:rFonts w:ascii="Times New Roman" w:hAnsi="Times New Roman" w:eastAsia="Times New Roman" w:cs="Times New Roman"/>
          <w:b/>
          <w:bCs/>
          <w:sz w:val="20"/>
          <w:szCs w:val="20"/>
        </w:rPr>
      </w:r>
    </w:p>
    <w:p w14:paraId="612D0571">
      <w:pPr>
        <w:pBdr/>
        <w:spacing w:after="0"/>
        <w:ind/>
        <w:jc w:val="both"/>
        <w:rPr>
          <w:rFonts w:ascii="Times New Roman" w:hAnsi="Times New Roman" w:cs="Times New Roman"/>
          <w:b/>
          <w:bCs/>
          <w:sz w:val="20"/>
          <w:szCs w:val="20"/>
        </w:rPr>
      </w:pPr>
      <w:r>
        <w:rPr>
          <w:rFonts w:ascii="Times New Roman" w:hAnsi="Times New Roman" w:eastAsia="Times New Roman" w:cs="Times New Roman"/>
          <w:b/>
          <w:bCs/>
          <w:sz w:val="20"/>
          <w:szCs w:val="20"/>
        </w:rPr>
      </w:r>
      <w:r>
        <w:rPr>
          <w:rFonts w:ascii="Times New Roman" w:hAnsi="Times New Roman" w:eastAsia="Times New Roman" w:cs="Times New Roman"/>
          <w:sz w:val="20"/>
          <w:szCs w:val="20"/>
        </w:rPr>
        <w:t xml:space="preserve">Valor Médio por Tipo de Contratação</w:t>
      </w:r>
      <w:r>
        <w:rPr>
          <w:rFonts w:ascii="Times New Roman" w:hAnsi="Times New Roman" w:eastAsia="Times New Roman" w:cs="Times New Roman"/>
          <w:b/>
          <w:bCs/>
          <w:sz w:val="20"/>
          <w:szCs w:val="20"/>
        </w:rPr>
      </w:r>
      <w:r>
        <w:rPr>
          <w:rFonts w:ascii="Times New Roman" w:hAnsi="Times New Roman" w:cs="Times New Roman"/>
          <w:b/>
          <w:bCs/>
          <w:sz w:val="20"/>
          <w:szCs w:val="20"/>
        </w:rPr>
      </w:r>
    </w:p>
    <w:p w14:paraId="72A3D3EC" w14:textId="77777777">
      <w:pPr>
        <w:pBdr/>
        <w:spacing w:after="0"/>
        <w:ind/>
        <w:jc w:val="both"/>
        <w:rPr>
          <w:rFonts w:ascii="Times New Roman" w:hAnsi="Times New Roman" w:cs="Times New Roman"/>
          <w:sz w:val="20"/>
          <w:szCs w:val="20"/>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334000" cy="3163893"/>
                <wp:effectExtent l="0" t="0" r="0" b="0"/>
                <wp:docPr id="3" name="Picture" descr="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descr="C:\Users\Renato\Documents\ThePapperAI\papers\paper-algoritmica-ia-blockchain-compras-publicas\05-documento\figuras/grafico_04_valor_medio_tipo.png"/>
                        <pic:cNvPicPr>
                          <a:picLocks noChangeAspect="1"/>
                        </pic:cNvPicPr>
                        <pic:nvPr/>
                      </pic:nvPicPr>
                      <pic:blipFill rotWithShape="1">
                        <a:blip r:embed="rId11"/>
                        <a:stretch/>
                      </pic:blipFill>
                      <pic:spPr bwMode="auto">
                        <a:xfrm>
                          <a:off x="0" y="0"/>
                          <a:ext cx="5334000" cy="3163892"/>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0.00pt;height:249.13pt;mso-wrap-distance-left:0.00pt;mso-wrap-distance-top:0.00pt;mso-wrap-distance-right:0.00pt;mso-wrap-distance-bottom:0.00pt;z-index:1;" stroked="f" strokeweight="0.75pt">
                <v:imagedata r:id="rId11" o:title=""/>
                <o:lock v:ext="edit" rotation="t"/>
              </v:shape>
            </w:pict>
          </mc:Fallback>
        </mc:AlternateContent>
      </w:r>
      <w:r>
        <w:rPr>
          <w:rFonts w:ascii="Times New Roman" w:hAnsi="Times New Roman" w:eastAsia="Times New Roman" w:cs="Times New Roman"/>
          <w:sz w:val="20"/>
          <w:szCs w:val="20"/>
        </w:rPr>
      </w:r>
      <w:r>
        <w:rPr>
          <w:rFonts w:ascii="Times New Roman" w:hAnsi="Times New Roman" w:cs="Times New Roman"/>
          <w:sz w:val="20"/>
          <w:szCs w:val="20"/>
        </w:rPr>
      </w:r>
    </w:p>
    <w:p w14:paraId="3A186DCB" w14:textId="77777777">
      <w:pPr>
        <w:pBdr/>
        <w:spacing w:after="0"/>
        <w:ind/>
        <w:jc w:val="both"/>
        <w:rPr>
          <w:rFonts w:ascii="Times New Roman" w:hAnsi="Times New Roman" w:cs="Times New Roman"/>
          <w:i/>
          <w:iCs/>
          <w:sz w:val="20"/>
          <w:szCs w:val="20"/>
        </w:rPr>
      </w:pPr>
      <w:r>
        <w:rPr>
          <w:rFonts w:ascii="Times New Roman" w:hAnsi="Times New Roman" w:eastAsia="Times New Roman" w:cs="Times New Roman"/>
          <w:b w:val="0"/>
          <w:bCs w:val="0"/>
          <w:sz w:val="20"/>
          <w:szCs w:val="20"/>
        </w:rPr>
        <w:t xml:space="preserve">Fonte:</w:t>
      </w:r>
      <w:r>
        <w:rPr>
          <w:rFonts w:ascii="Times New Roman" w:hAnsi="Times New Roman" w:eastAsia="Times New Roman" w:cs="Times New Roman"/>
          <w:b w:val="0"/>
          <w:bCs w:val="0"/>
          <w:sz w:val="20"/>
          <w:szCs w:val="20"/>
        </w:rPr>
        <w:t xml:space="preserve"> E</w:t>
      </w:r>
      <w:r>
        <w:rPr>
          <w:rFonts w:ascii="Times New Roman" w:hAnsi="Times New Roman" w:eastAsia="Times New Roman" w:cs="Times New Roman"/>
          <w:sz w:val="20"/>
          <w:szCs w:val="20"/>
        </w:rPr>
        <w:t xml:space="preserve">laboração própria com base em dados do PNCP (2024).</w:t>
      </w:r>
      <w:r>
        <w:rPr>
          <w:rFonts w:ascii="Times New Roman" w:hAnsi="Times New Roman" w:eastAsia="Times New Roman" w:cs="Times New Roman"/>
          <w:i/>
          <w:iCs/>
          <w:sz w:val="20"/>
          <w:szCs w:val="20"/>
        </w:rPr>
      </w:r>
      <w:r>
        <w:rPr>
          <w:rFonts w:ascii="Times New Roman" w:hAnsi="Times New Roman" w:cs="Times New Roman"/>
          <w:i/>
          <w:iCs/>
          <w:sz w:val="20"/>
          <w:szCs w:val="20"/>
        </w:rPr>
      </w:r>
    </w:p>
    <w:p w14:paraId="735AF57D" w14:textId="4E0EF6EF">
      <w:pPr>
        <w:pBd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r>
      <w:r>
        <w:rPr>
          <w:rFonts w:ascii="Times New Roman" w:hAnsi="Times New Roman" w:cs="Times New Roman"/>
          <w:sz w:val="20"/>
          <w:szCs w:val="20"/>
        </w:rPr>
      </w:r>
    </w:p>
    <w:p w14:paraId="01ADEA62">
      <w:pPr>
        <w:pBdr/>
        <w:spacing w:after="0"/>
        <w:ind w:firstLine="720"/>
        <w:jc w:val="both"/>
        <w:rPr>
          <w:rFonts w:ascii="Times New Roman" w:hAnsi="Times New Roman" w:eastAsia="Times New Roman" w:cs="Times New Roman"/>
        </w:rPr>
      </w:pPr>
      <w:r>
        <w:rPr>
          <w:rFonts w:ascii="Times New Roman" w:hAnsi="Times New Roman" w:eastAsia="Times New Roman" w:cs="Times New Roman"/>
        </w:rPr>
        <w:t xml:space="preserve">A distribuição geográfica mostra uma concentração específica dos dados. Com efeito, o estado de São Paulo responde isoladamente por 26,6% do total de contratações. </w:t>
      </w:r>
      <w:r>
        <w:rPr>
          <w:rFonts w:ascii="Times New Roman" w:hAnsi="Times New Roman" w:eastAsia="Times New Roman" w:cs="Times New Roman"/>
        </w:rPr>
      </w:r>
      <w:r>
        <w:rPr>
          <w:rFonts w:ascii="Times New Roman" w:hAnsi="Times New Roman" w:eastAsia="Times New Roman" w:cs="Times New Roman"/>
        </w:rPr>
      </w:r>
    </w:p>
    <w:p w14:paraId="26C2B941">
      <w:pPr>
        <w:pBdr/>
        <w:spacing w:after="0"/>
        <w:ind w:firstLine="720"/>
        <w:jc w:val="both"/>
        <w:rPr>
          <w:rFonts w:ascii="Times New Roman" w:hAnsi="Times New Roman" w:eastAsia="Times New Roman" w:cs="Times New Roman"/>
        </w:rPr>
      </w:pPr>
      <w:r>
        <w:rPr>
          <w:rFonts w:ascii="Times New Roman" w:hAnsi="Times New Roman" w:eastAsia="Times New Roman" w:cs="Times New Roman"/>
        </w:rPr>
        <w:t xml:space="preserve">Diante disso, a Tabela 2 apresenta a distribuição quantitativa por esfera.</w:t>
      </w:r>
      <w:r>
        <w:rPr>
          <w:rFonts w:ascii="Times New Roman" w:hAnsi="Times New Roman" w:eastAsia="Times New Roman" w:cs="Times New Roman"/>
        </w:rPr>
      </w:r>
    </w:p>
    <w:p w14:paraId="5D1407FF" w14:textId="730C1A90">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3383B0C0" w14:textId="4F886C74">
      <w:pPr>
        <w:pBdr/>
        <w:spacing w:after="0"/>
        <w:ind/>
        <w:jc w:val="both"/>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 xml:space="preserve">Tabela 2. </w:t>
      </w:r>
      <w:r>
        <w:rPr>
          <w:rFonts w:ascii="Times New Roman" w:hAnsi="Times New Roman" w:cs="Times New Roman"/>
          <w:sz w:val="20"/>
          <w:szCs w:val="20"/>
        </w:rPr>
      </w:r>
      <w:r>
        <w:rPr>
          <w:rFonts w:ascii="Times New Roman" w:hAnsi="Times New Roman" w:eastAsia="Times New Roman" w:cs="Times New Roman"/>
          <w:b/>
          <w:bCs/>
          <w:sz w:val="20"/>
          <w:szCs w:val="20"/>
        </w:rPr>
      </w:r>
    </w:p>
    <w:p w14:paraId="69B89EFF">
      <w:pPr>
        <w:pBdr/>
        <w:spacing w:after="0"/>
        <w:ind/>
        <w:jc w:val="both"/>
        <w:rPr>
          <w:rFonts w:ascii="Times New Roman" w:hAnsi="Times New Roman" w:cs="Times New Roman"/>
          <w:sz w:val="20"/>
          <w:szCs w:val="20"/>
        </w:rPr>
      </w:pPr>
      <w:r>
        <w:rPr>
          <w:rFonts w:ascii="Times New Roman" w:hAnsi="Times New Roman" w:eastAsia="Times New Roman" w:cs="Times New Roman"/>
          <w:b/>
          <w:bCs/>
          <w:sz w:val="20"/>
          <w:szCs w:val="20"/>
        </w:rPr>
      </w:r>
      <w:r>
        <w:rPr>
          <w:rFonts w:ascii="Times New Roman" w:hAnsi="Times New Roman" w:eastAsia="Times New Roman" w:cs="Times New Roman"/>
          <w:sz w:val="20"/>
          <w:szCs w:val="20"/>
        </w:rPr>
        <w:t xml:space="preserve">Distribuição das Contratações por Esfera</w:t>
      </w:r>
      <w:r>
        <w:rPr>
          <w:rFonts w:ascii="Times New Roman" w:hAnsi="Times New Roman" w:eastAsia="Times New Roman" w:cs="Times New Roman"/>
          <w:sz w:val="20"/>
          <w:szCs w:val="20"/>
        </w:rPr>
      </w:r>
      <w:r>
        <w:rPr>
          <w:rFonts w:ascii="Times New Roman" w:hAnsi="Times New Roman" w:cs="Times New Roman"/>
          <w:sz w:val="20"/>
          <w:szCs w:val="20"/>
        </w:rPr>
      </w:r>
    </w:p>
    <w:tbl>
      <w:tblPr>
        <w:tblStyle w:val="959"/>
        <w:tblW w:w="0" w:type="auto"/>
        <w:tblBorders/>
        <w:tblLook w:val="06A0" w:firstRow="1" w:lastRow="0" w:firstColumn="1" w:lastColumn="0" w:noHBand="1" w:noVBand="1"/>
      </w:tblPr>
      <w:tblGrid>
        <w:gridCol w:w="1407"/>
        <w:gridCol w:w="1620"/>
        <w:gridCol w:w="1527"/>
      </w:tblGrid>
      <w:tr>
        <w:trPr>
          <w:trHeight w:val="300"/>
        </w:trPr>
        <w:tc>
          <w:tcPr>
            <w:tcBorders/>
            <w:tcW w:w="1407" w:type="dxa"/>
          </w:tcPr>
          <w:p w14:paraId="16DDEFE1" w14:textId="6F6CD953">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Esfera</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620" w:type="dxa"/>
          </w:tcPr>
          <w:p w14:paraId="46A4DDC3" w14:textId="149616C4">
            <w:pPr>
              <w:pBdr/>
              <w:spacing/>
              <w:ind/>
              <w:rPr>
                <w:rFonts w:ascii="Times New Roman" w:hAnsi="Times New Roman" w:cs="Times New Roman"/>
                <w:b w:val="0"/>
                <w:bCs w:val="0"/>
                <w:sz w:val="20"/>
                <w:szCs w:val="20"/>
              </w:rPr>
            </w:pPr>
            <w:r>
              <w:rPr>
                <w:rFonts w:ascii="Times New Roman" w:hAnsi="Times New Roman" w:eastAsia="Times New Roman" w:cs="Times New Roman"/>
                <w:sz w:val="20"/>
                <w:szCs w:val="20"/>
              </w:rPr>
              <w:t xml:space="preserve">Quantidade</w:t>
            </w:r>
            <w:r>
              <w:rPr>
                <w:rFonts w:ascii="Times New Roman" w:hAnsi="Times New Roman" w:eastAsia="Times New Roman" w:cs="Times New Roman"/>
                <w:b w:val="0"/>
                <w:bCs w:val="0"/>
                <w:sz w:val="20"/>
                <w:szCs w:val="20"/>
              </w:rPr>
            </w:r>
            <w:r>
              <w:rPr>
                <w:rFonts w:ascii="Times New Roman" w:hAnsi="Times New Roman" w:cs="Times New Roman"/>
                <w:b w:val="0"/>
                <w:bCs w:val="0"/>
                <w:sz w:val="20"/>
                <w:szCs w:val="20"/>
              </w:rPr>
            </w:r>
          </w:p>
        </w:tc>
        <w:tc>
          <w:tcPr>
            <w:tcBorders/>
            <w:tcW w:w="1527" w:type="dxa"/>
          </w:tcPr>
          <w:p w14:paraId="1DF08733" w14:textId="2918A843">
            <w:pPr>
              <w:pBdr/>
              <w:spacing/>
              <w:ind/>
              <w:rPr>
                <w:rFonts w:ascii="Times New Roman" w:hAnsi="Times New Roman" w:cs="Times New Roman"/>
                <w:b w:val="0"/>
                <w:bCs w:val="0"/>
                <w:sz w:val="20"/>
                <w:szCs w:val="20"/>
              </w:rPr>
            </w:pPr>
            <w:r>
              <w:rPr>
                <w:rFonts w:ascii="Times New Roman" w:hAnsi="Times New Roman" w:eastAsia="Times New Roman" w:cs="Times New Roman"/>
                <w:sz w:val="20"/>
                <w:szCs w:val="20"/>
              </w:rPr>
              <w:t xml:space="preserve">Percentual</w:t>
            </w:r>
            <w:r>
              <w:rPr>
                <w:rFonts w:ascii="Times New Roman" w:hAnsi="Times New Roman" w:eastAsia="Times New Roman" w:cs="Times New Roman"/>
                <w:b w:val="0"/>
                <w:bCs w:val="0"/>
                <w:sz w:val="20"/>
                <w:szCs w:val="20"/>
              </w:rPr>
            </w:r>
            <w:r>
              <w:rPr>
                <w:rFonts w:ascii="Times New Roman" w:hAnsi="Times New Roman" w:cs="Times New Roman"/>
                <w:b w:val="0"/>
                <w:bCs w:val="0"/>
                <w:sz w:val="20"/>
                <w:szCs w:val="20"/>
              </w:rPr>
            </w:r>
          </w:p>
        </w:tc>
      </w:tr>
      <w:tr>
        <w:trPr>
          <w:trHeight w:val="300"/>
        </w:trPr>
        <w:tc>
          <w:tcPr>
            <w:tcBorders/>
            <w:tcW w:w="1407" w:type="dxa"/>
          </w:tcPr>
          <w:p w14:paraId="6838537F" w14:textId="1FEA8925">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Federal</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620" w:type="dxa"/>
          </w:tcPr>
          <w:p w14:paraId="07999556" w14:textId="5E94AF76">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131.205</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527" w:type="dxa"/>
          </w:tcPr>
          <w:p w14:paraId="7DE9FABF" w14:textId="3DB207EF">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48,0%</w:t>
            </w:r>
            <w:r>
              <w:rPr>
                <w:rFonts w:ascii="Times New Roman" w:hAnsi="Times New Roman" w:eastAsia="Times New Roman" w:cs="Times New Roman"/>
                <w:sz w:val="20"/>
                <w:szCs w:val="20"/>
              </w:rPr>
            </w:r>
            <w:r>
              <w:rPr>
                <w:rFonts w:ascii="Times New Roman" w:hAnsi="Times New Roman" w:cs="Times New Roman"/>
                <w:sz w:val="20"/>
                <w:szCs w:val="20"/>
              </w:rPr>
            </w:r>
          </w:p>
        </w:tc>
      </w:tr>
      <w:tr>
        <w:trPr>
          <w:trHeight w:val="300"/>
        </w:trPr>
        <w:tc>
          <w:tcPr>
            <w:tcBorders/>
            <w:tcW w:w="1407" w:type="dxa"/>
          </w:tcPr>
          <w:p w14:paraId="6477F57D" w14:textId="7618011F">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Estadual</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620" w:type="dxa"/>
          </w:tcPr>
          <w:p w14:paraId="2DF20E1B" w14:textId="1EF07152">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82.917</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527" w:type="dxa"/>
          </w:tcPr>
          <w:p w14:paraId="5C0D513A" w14:textId="6EDD69B4">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30,3%</w:t>
            </w:r>
            <w:r>
              <w:rPr>
                <w:rFonts w:ascii="Times New Roman" w:hAnsi="Times New Roman" w:eastAsia="Times New Roman" w:cs="Times New Roman"/>
                <w:sz w:val="20"/>
                <w:szCs w:val="20"/>
              </w:rPr>
            </w:r>
            <w:r>
              <w:rPr>
                <w:rFonts w:ascii="Times New Roman" w:hAnsi="Times New Roman" w:cs="Times New Roman"/>
                <w:sz w:val="20"/>
                <w:szCs w:val="20"/>
              </w:rPr>
            </w:r>
          </w:p>
        </w:tc>
      </w:tr>
      <w:tr>
        <w:trPr>
          <w:trHeight w:val="300"/>
        </w:trPr>
        <w:tc>
          <w:tcPr>
            <w:tcBorders/>
            <w:tcW w:w="1407" w:type="dxa"/>
          </w:tcPr>
          <w:p w14:paraId="76B17F6E" w14:textId="6450F98A">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Municipal</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620" w:type="dxa"/>
          </w:tcPr>
          <w:p w14:paraId="4868A5B4" w14:textId="1A131940">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53.813</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527" w:type="dxa"/>
          </w:tcPr>
          <w:p w14:paraId="53A00387" w14:textId="3F23F9A5">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19,7%</w:t>
            </w:r>
            <w:r>
              <w:rPr>
                <w:rFonts w:ascii="Times New Roman" w:hAnsi="Times New Roman" w:eastAsia="Times New Roman" w:cs="Times New Roman"/>
                <w:sz w:val="20"/>
                <w:szCs w:val="20"/>
              </w:rPr>
            </w:r>
            <w:r>
              <w:rPr>
                <w:rFonts w:ascii="Times New Roman" w:hAnsi="Times New Roman" w:cs="Times New Roman"/>
                <w:sz w:val="20"/>
                <w:szCs w:val="20"/>
              </w:rPr>
            </w:r>
          </w:p>
        </w:tc>
      </w:tr>
    </w:tbl>
    <w:p w14:paraId="746EEDED" w14:textId="4CD0C1F0">
      <w:pPr>
        <w:pBdr/>
        <w:spacing w:after="0"/>
        <w:ind/>
        <w:jc w:val="both"/>
        <w:rPr>
          <w:rFonts w:ascii="Times New Roman" w:hAnsi="Times New Roman" w:cs="Times New Roman"/>
          <w:i/>
          <w:iCs/>
          <w:sz w:val="20"/>
          <w:szCs w:val="20"/>
        </w:rPr>
      </w:pPr>
      <w:r>
        <w:rPr>
          <w:rFonts w:ascii="Times New Roman" w:hAnsi="Times New Roman" w:eastAsia="Times New Roman" w:cs="Times New Roman"/>
          <w:b w:val="0"/>
          <w:bCs w:val="0"/>
          <w:sz w:val="20"/>
          <w:szCs w:val="20"/>
        </w:rPr>
        <w:t xml:space="preserve">Fonte:</w:t>
      </w:r>
      <w:r>
        <w:rPr>
          <w:rFonts w:ascii="Times New Roman" w:hAnsi="Times New Roman" w:eastAsia="Times New Roman" w:cs="Times New Roman"/>
          <w:b w:val="0"/>
          <w:bCs w:val="0"/>
          <w:sz w:val="20"/>
          <w:szCs w:val="20"/>
        </w:rPr>
        <w:t xml:space="preserve"> E</w:t>
      </w:r>
      <w:r>
        <w:rPr>
          <w:rFonts w:ascii="Times New Roman" w:hAnsi="Times New Roman" w:eastAsia="Times New Roman" w:cs="Times New Roman"/>
          <w:sz w:val="20"/>
          <w:szCs w:val="20"/>
        </w:rPr>
        <w:t xml:space="preserve">laboração própria com base em dados do PNCP (2024).</w:t>
      </w:r>
      <w:r>
        <w:rPr>
          <w:rFonts w:ascii="Times New Roman" w:hAnsi="Times New Roman" w:eastAsia="Times New Roman" w:cs="Times New Roman"/>
          <w:i/>
          <w:iCs/>
          <w:sz w:val="20"/>
          <w:szCs w:val="20"/>
        </w:rPr>
      </w:r>
      <w:r>
        <w:rPr>
          <w:rFonts w:ascii="Times New Roman" w:hAnsi="Times New Roman" w:cs="Times New Roman"/>
          <w:i/>
          <w:iCs/>
          <w:sz w:val="20"/>
          <w:szCs w:val="20"/>
        </w:rPr>
      </w:r>
    </w:p>
    <w:p w14:paraId="7EA25E75" w14:textId="6C75B395">
      <w:pPr>
        <w:pBdr/>
        <w:spacing w:after="0"/>
        <w:ind/>
        <w:jc w:val="both"/>
        <w:rPr>
          <w:rFonts w:ascii="Times New Roman" w:hAnsi="Times New Roman" w:cs="Times New Roman"/>
        </w:rPr>
      </w:pPr>
      <w:r>
        <w:rPr>
          <w:rFonts w:ascii="Times New Roman" w:hAnsi="Times New Roman" w:eastAsia="Times New Roman" w:cs="Times New Roman"/>
        </w:rPr>
      </w:r>
      <w:bookmarkStart w:id="23" w:name="compras-com-indício-de-inovação"/>
      <w:r>
        <w:rPr>
          <w:rFonts w:ascii="Times New Roman" w:hAnsi="Times New Roman" w:eastAsia="Times New Roman" w:cs="Times New Roman"/>
        </w:rPr>
      </w:r>
      <w:bookmarkEnd w:id="22"/>
      <w:r>
        <w:rPr>
          <w:rFonts w:ascii="Times New Roman" w:hAnsi="Times New Roman" w:eastAsia="Times New Roman" w:cs="Times New Roman"/>
        </w:rPr>
      </w:r>
      <w:r>
        <w:rPr>
          <w:rFonts w:ascii="Times New Roman" w:hAnsi="Times New Roman" w:cs="Times New Roman"/>
        </w:rPr>
      </w:r>
    </w:p>
    <w:p w14:paraId="49C53025" w14:textId="77777777">
      <w:pPr>
        <w:pBdr/>
        <w:spacing w:after="0"/>
        <w:ind/>
        <w:jc w:val="both"/>
        <w:rPr>
          <w:rFonts w:ascii="Times New Roman" w:hAnsi="Times New Roman" w:cs="Times New Roman"/>
          <w:b/>
          <w:bCs/>
        </w:rPr>
      </w:pPr>
      <w:r>
        <w:rPr>
          <w:rFonts w:ascii="Times New Roman" w:hAnsi="Times New Roman" w:eastAsia="Times New Roman" w:cs="Times New Roman"/>
          <w:b/>
          <w:bCs/>
        </w:rPr>
        <w:t xml:space="preserve">4.3 Compras com Indício de Inovação</w:t>
      </w:r>
      <w:r>
        <w:rPr>
          <w:rFonts w:ascii="Times New Roman" w:hAnsi="Times New Roman" w:eastAsia="Times New Roman" w:cs="Times New Roman"/>
          <w:b/>
          <w:bCs/>
        </w:rPr>
      </w:r>
      <w:r>
        <w:rPr>
          <w:rFonts w:ascii="Times New Roman" w:hAnsi="Times New Roman" w:cs="Times New Roman"/>
          <w:b/>
          <w:bCs/>
        </w:rPr>
      </w:r>
    </w:p>
    <w:p w14:paraId="585740C5" w14:textId="564000A1">
      <w:pPr>
        <w:pBdr/>
        <w:spacing w:after="0"/>
        <w:ind w:firstLine="720"/>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A</w:t>
      </w:r>
      <w:r>
        <w:rPr>
          <w:rFonts w:ascii="Times New Roman" w:hAnsi="Times New Roman" w:eastAsia="Times New Roman" w:cs="Times New Roman"/>
        </w:rPr>
        <w:t xml:space="preserve"> identificação de contratações com potencial conteúdo de inovação foi realizada por meio de análise textual dos campos de objeto e de informação complementar. Posteriormente ao refinamento do dicionário de termos, a variável categórica identificou 3.150 re</w:t>
      </w:r>
      <w:r>
        <w:rPr>
          <w:rFonts w:ascii="Times New Roman" w:hAnsi="Times New Roman" w:eastAsia="Times New Roman" w:cs="Times New Roman"/>
        </w:rPr>
        <w:t xml:space="preserve">gistos, correspondendo a 1,15% do total de contratações. </w:t>
      </w:r>
      <w:r>
        <w:rPr>
          <w:rFonts w:ascii="Times New Roman" w:hAnsi="Times New Roman" w:cs="Times New Roman"/>
        </w:rPr>
      </w:r>
      <w:r>
        <w:rPr>
          <w:rFonts w:ascii="Times New Roman" w:hAnsi="Times New Roman" w:eastAsia="Times New Roman" w:cs="Times New Roman"/>
        </w:rPr>
      </w:r>
    </w:p>
    <w:p w14:paraId="760E50D5">
      <w:pPr>
        <w:pBdr/>
        <w:spacing w:after="0"/>
        <w:ind w:firstLine="720"/>
        <w:jc w:val="both"/>
        <w:rPr>
          <w:rFonts w:ascii="Times New Roman" w:hAnsi="Times New Roman" w:cs="Times New Roman"/>
        </w:rPr>
      </w:pPr>
      <w:r>
        <w:rPr>
          <w:rFonts w:ascii="Times New Roman" w:hAnsi="Times New Roman" w:eastAsia="Times New Roman" w:cs="Times New Roman"/>
        </w:rPr>
        <w:t xml:space="preserve">Como resultado, a Figura 4 apresenta a proporção de contratações com indício de inovação.</w:t>
      </w:r>
      <w:r>
        <w:rPr>
          <w:rFonts w:ascii="Times New Roman" w:hAnsi="Times New Roman" w:eastAsia="Times New Roman" w:cs="Times New Roman"/>
        </w:rPr>
      </w:r>
      <w:r>
        <w:rPr>
          <w:rFonts w:ascii="Times New Roman" w:hAnsi="Times New Roman" w:cs="Times New Roman"/>
        </w:rPr>
      </w:r>
    </w:p>
    <w:p w14:paraId="3543675D" w14:textId="77777777">
      <w:pPr>
        <w:pBdr/>
        <w:spacing w:after="0"/>
        <w:ind/>
        <w:jc w:val="both"/>
        <w:rPr>
          <w:rFonts w:ascii="Times New Roman" w:hAnsi="Times New Roman" w:cs="Times New Roman"/>
          <w:b/>
          <w:bCs/>
          <w:sz w:val="20"/>
          <w:szCs w:val="20"/>
        </w:rPr>
      </w:pPr>
      <w:r>
        <w:rPr>
          <w:rFonts w:ascii="Times New Roman" w:hAnsi="Times New Roman" w:eastAsia="Times New Roman" w:cs="Times New Roman"/>
          <w:b/>
          <w:bCs/>
          <w:sz w:val="20"/>
          <w:szCs w:val="20"/>
        </w:rPr>
      </w:r>
      <w:r>
        <w:rPr>
          <w:rFonts w:ascii="Times New Roman" w:hAnsi="Times New Roman" w:eastAsia="Times New Roman" w:cs="Times New Roman"/>
          <w:b/>
          <w:bCs/>
          <w:sz w:val="20"/>
          <w:szCs w:val="20"/>
        </w:rPr>
      </w:r>
      <w:r>
        <w:rPr>
          <w:rFonts w:ascii="Times New Roman" w:hAnsi="Times New Roman" w:cs="Times New Roman"/>
          <w:b/>
          <w:bCs/>
          <w:sz w:val="20"/>
          <w:szCs w:val="20"/>
        </w:rPr>
      </w:r>
    </w:p>
    <w:p w14:paraId="5893537D" w14:textId="77777777">
      <w:pPr>
        <w:pBdr/>
        <w:spacing w:after="0"/>
        <w:ind/>
        <w:jc w:val="both"/>
        <w:rPr>
          <w:rFonts w:ascii="Times New Roman" w:hAnsi="Times New Roman" w:cs="Times New Roman"/>
          <w:b/>
          <w:bCs/>
          <w:sz w:val="20"/>
          <w:szCs w:val="20"/>
        </w:rPr>
      </w:pPr>
      <w:r>
        <w:rPr>
          <w:rFonts w:ascii="Times New Roman" w:hAnsi="Times New Roman" w:eastAsia="Times New Roman" w:cs="Times New Roman"/>
          <w:b/>
          <w:bCs/>
          <w:sz w:val="20"/>
          <w:szCs w:val="20"/>
        </w:rPr>
      </w:r>
      <w:r>
        <w:rPr>
          <w:rFonts w:ascii="Times New Roman" w:hAnsi="Times New Roman" w:eastAsia="Times New Roman" w:cs="Times New Roman"/>
          <w:b/>
          <w:bCs/>
          <w:sz w:val="20"/>
          <w:szCs w:val="20"/>
        </w:rPr>
      </w:r>
      <w:r>
        <w:rPr>
          <w:rFonts w:ascii="Times New Roman" w:hAnsi="Times New Roman" w:cs="Times New Roman"/>
          <w:b/>
          <w:bCs/>
          <w:sz w:val="20"/>
          <w:szCs w:val="20"/>
        </w:rPr>
      </w:r>
    </w:p>
    <w:p w14:paraId="7B424ED3" w14:textId="5B95AFFA">
      <w:pPr>
        <w:pBdr/>
        <w:spacing w:after="0"/>
        <w:ind/>
        <w:jc w:val="both"/>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 xml:space="preserve">Figura 4</w:t>
      </w:r>
      <w:r>
        <w:rPr>
          <w:rFonts w:ascii="Times New Roman" w:hAnsi="Times New Roman" w:cs="Times New Roman"/>
          <w:b/>
          <w:bCs/>
          <w:sz w:val="20"/>
          <w:szCs w:val="20"/>
        </w:rPr>
      </w:r>
      <w:r>
        <w:rPr>
          <w:rFonts w:ascii="Times New Roman" w:hAnsi="Times New Roman" w:eastAsia="Times New Roman" w:cs="Times New Roman"/>
          <w:b/>
          <w:bCs/>
          <w:sz w:val="20"/>
          <w:szCs w:val="20"/>
        </w:rPr>
      </w:r>
    </w:p>
    <w:p w14:paraId="302F24EC">
      <w:pPr>
        <w:pBdr/>
        <w:spacing w:after="0"/>
        <w:ind/>
        <w:jc w:val="both"/>
        <w:rPr>
          <w:rFonts w:ascii="Times New Roman" w:hAnsi="Times New Roman" w:cs="Times New Roman"/>
          <w:b/>
          <w:bCs/>
          <w:sz w:val="20"/>
          <w:szCs w:val="20"/>
        </w:rPr>
      </w:pPr>
      <w:r>
        <w:rPr>
          <w:rFonts w:ascii="Times New Roman" w:hAnsi="Times New Roman" w:eastAsia="Times New Roman" w:cs="Times New Roman"/>
          <w:b/>
          <w:bCs/>
          <w:sz w:val="20"/>
          <w:szCs w:val="20"/>
        </w:rPr>
      </w:r>
      <w:r>
        <w:rPr>
          <w:rFonts w:ascii="Times New Roman" w:hAnsi="Times New Roman" w:eastAsia="Times New Roman" w:cs="Times New Roman"/>
          <w:sz w:val="20"/>
          <w:szCs w:val="20"/>
        </w:rPr>
        <w:t xml:space="preserve">Contratações com Indício de Inovação</w:t>
      </w:r>
      <w:r>
        <w:rPr>
          <w:rFonts w:ascii="Times New Roman" w:hAnsi="Times New Roman" w:eastAsia="Times New Roman" w:cs="Times New Roman"/>
          <w:b/>
          <w:bCs/>
          <w:sz w:val="20"/>
          <w:szCs w:val="20"/>
        </w:rPr>
      </w:r>
      <w:r>
        <w:rPr>
          <w:rFonts w:ascii="Times New Roman" w:hAnsi="Times New Roman" w:cs="Times New Roman"/>
          <w:b/>
          <w:bCs/>
          <w:sz w:val="20"/>
          <w:szCs w:val="20"/>
        </w:rPr>
      </w:r>
    </w:p>
    <w:p w14:paraId="0D0B940D" w14:textId="77777777">
      <w:pPr>
        <w:pBdr/>
        <w:spacing w:after="0"/>
        <w:ind/>
        <w:jc w:val="both"/>
        <w:rPr>
          <w:rFonts w:ascii="Times New Roman" w:hAnsi="Times New Roman" w:cs="Times New Roman"/>
          <w:sz w:val="20"/>
          <w:szCs w:val="20"/>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3691467" cy="3904343"/>
                <wp:effectExtent l="0" t="0" r="0" b="0"/>
                <wp:docPr id="4" name="Picture" descr="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descr="C:\Users\Renato\Documents\ThePapperAI\papers\paper-algoritmica-ia-blockchain-compras-publicas\05-documento\figuras/grafico_05_inovacao_donut.png"/>
                        <pic:cNvPicPr>
                          <a:picLocks noChangeAspect="1"/>
                        </pic:cNvPicPr>
                        <pic:nvPr/>
                      </pic:nvPicPr>
                      <pic:blipFill rotWithShape="1">
                        <a:blip r:embed="rId12"/>
                        <a:stretch/>
                      </pic:blipFill>
                      <pic:spPr bwMode="auto">
                        <a:xfrm>
                          <a:off x="0" y="0"/>
                          <a:ext cx="3697399" cy="391061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90.67pt;height:307.43pt;mso-wrap-distance-left:0.00pt;mso-wrap-distance-top:0.00pt;mso-wrap-distance-right:0.00pt;mso-wrap-distance-bottom:0.00pt;z-index:1;" stroked="f" strokeweight="0.75pt">
                <v:imagedata r:id="rId12" o:title=""/>
                <o:lock v:ext="edit" rotation="t"/>
              </v:shape>
            </w:pict>
          </mc:Fallback>
        </mc:AlternateContent>
      </w:r>
      <w:r>
        <w:rPr>
          <w:rFonts w:ascii="Times New Roman" w:hAnsi="Times New Roman" w:eastAsia="Times New Roman" w:cs="Times New Roman"/>
          <w:sz w:val="20"/>
          <w:szCs w:val="20"/>
        </w:rPr>
      </w:r>
      <w:r>
        <w:rPr>
          <w:rFonts w:ascii="Times New Roman" w:hAnsi="Times New Roman" w:cs="Times New Roman"/>
          <w:sz w:val="20"/>
          <w:szCs w:val="20"/>
        </w:rPr>
      </w:r>
    </w:p>
    <w:p w14:paraId="6A20FB9A" w14:textId="77777777">
      <w:pPr>
        <w:pBdr/>
        <w:spacing w:after="0"/>
        <w:ind/>
        <w:jc w:val="both"/>
        <w:rPr>
          <w:rFonts w:ascii="Times New Roman" w:hAnsi="Times New Roman" w:cs="Times New Roman"/>
          <w:i/>
          <w:iCs/>
          <w:sz w:val="20"/>
          <w:szCs w:val="20"/>
        </w:rPr>
      </w:pPr>
      <w:r>
        <w:rPr>
          <w:rFonts w:ascii="Times New Roman" w:hAnsi="Times New Roman" w:eastAsia="Times New Roman" w:cs="Times New Roman"/>
          <w:b w:val="0"/>
          <w:bCs w:val="0"/>
          <w:sz w:val="20"/>
          <w:szCs w:val="20"/>
        </w:rPr>
        <w:t xml:space="preserve">Fonte: </w:t>
      </w:r>
      <w:r>
        <w:rPr>
          <w:rFonts w:ascii="Times New Roman" w:hAnsi="Times New Roman" w:eastAsia="Times New Roman" w:cs="Times New Roman"/>
          <w:sz w:val="20"/>
          <w:szCs w:val="20"/>
        </w:rPr>
        <w:t xml:space="preserve">Elaboração própria com base em dados do PNCP (2024).</w:t>
      </w:r>
      <w:r>
        <w:rPr>
          <w:rFonts w:ascii="Times New Roman" w:hAnsi="Times New Roman" w:eastAsia="Times New Roman" w:cs="Times New Roman"/>
          <w:i/>
          <w:iCs/>
          <w:sz w:val="20"/>
          <w:szCs w:val="20"/>
        </w:rPr>
      </w:r>
      <w:r>
        <w:rPr>
          <w:rFonts w:ascii="Times New Roman" w:hAnsi="Times New Roman" w:cs="Times New Roman"/>
          <w:i/>
          <w:iCs/>
          <w:sz w:val="20"/>
          <w:szCs w:val="20"/>
        </w:rPr>
      </w:r>
    </w:p>
    <w:p w14:paraId="0D4FCFF6" w14:textId="49E18B8B">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3B831270" w14:textId="13BADF01">
      <w:pPr>
        <w:pBdr/>
        <w:spacing w:after="0"/>
        <w:ind w:firstLine="720"/>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A distribuição por modalidade revela a concentração nos instrumentos de contratação direta. Para ilustrar esse padrão, a inexigibilidade apresenta 2,37% de registos com inovação, a dispensa 1,11% e o pregão eletrónico apenas 0,69%. </w:t>
      </w:r>
      <w:r>
        <w:rPr>
          <w:rFonts w:ascii="Times New Roman" w:hAnsi="Times New Roman" w:cs="Times New Roman"/>
        </w:rPr>
      </w:r>
      <w:r>
        <w:rPr>
          <w:rFonts w:ascii="Times New Roman" w:hAnsi="Times New Roman" w:eastAsia="Times New Roman" w:cs="Times New Roman"/>
        </w:rPr>
      </w:r>
    </w:p>
    <w:p w14:paraId="33733CAF">
      <w:pPr>
        <w:pBdr/>
        <w:spacing w:after="0"/>
        <w:ind w:firstLine="720"/>
        <w:jc w:val="both"/>
        <w:rPr>
          <w:rFonts w:ascii="Times New Roman" w:hAnsi="Times New Roman" w:cs="Times New Roman"/>
        </w:rPr>
      </w:pPr>
      <w:r>
        <w:rPr>
          <w:rFonts w:ascii="Times New Roman" w:hAnsi="Times New Roman" w:eastAsia="Times New Roman" w:cs="Times New Roman"/>
        </w:rPr>
        <w:t xml:space="preserve">Consequentemente, a Figur</w:t>
      </w:r>
      <w:r>
        <w:rPr>
          <w:rFonts w:ascii="Times New Roman" w:hAnsi="Times New Roman" w:eastAsia="Times New Roman" w:cs="Times New Roman"/>
        </w:rPr>
        <w:t xml:space="preserve">a 5 apresenta essa distribuição detalhada.</w:t>
      </w:r>
      <w:r>
        <w:rPr>
          <w:rFonts w:ascii="Times New Roman" w:hAnsi="Times New Roman" w:eastAsia="Times New Roman" w:cs="Times New Roman"/>
        </w:rPr>
      </w:r>
      <w:r>
        <w:rPr>
          <w:rFonts w:ascii="Times New Roman" w:hAnsi="Times New Roman" w:cs="Times New Roman"/>
        </w:rPr>
      </w:r>
    </w:p>
    <w:p w14:paraId="2543650F" w14:textId="612F9D58">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74773C09" w14:textId="77777777">
      <w:pPr>
        <w:pBdr/>
        <w:spacing w:after="0"/>
        <w:ind/>
        <w:jc w:val="both"/>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 xml:space="preserve">Figura 5</w:t>
      </w:r>
      <w:r>
        <w:rPr>
          <w:rFonts w:ascii="Times New Roman" w:hAnsi="Times New Roman" w:cs="Times New Roman"/>
          <w:b/>
          <w:bCs/>
          <w:sz w:val="20"/>
          <w:szCs w:val="20"/>
        </w:rPr>
      </w:r>
      <w:r>
        <w:rPr>
          <w:rFonts w:ascii="Times New Roman" w:hAnsi="Times New Roman" w:eastAsia="Times New Roman" w:cs="Times New Roman"/>
          <w:b/>
          <w:bCs/>
          <w:sz w:val="20"/>
          <w:szCs w:val="20"/>
        </w:rPr>
      </w:r>
    </w:p>
    <w:p w14:paraId="264B3356">
      <w:pPr>
        <w:pBdr/>
        <w:spacing w:after="0"/>
        <w:ind/>
        <w:jc w:val="both"/>
        <w:rPr>
          <w:rFonts w:ascii="Times New Roman" w:hAnsi="Times New Roman" w:cs="Times New Roman"/>
          <w:b/>
          <w:bCs/>
          <w:sz w:val="20"/>
          <w:szCs w:val="20"/>
        </w:rPr>
      </w:pPr>
      <w:r>
        <w:rPr>
          <w:rFonts w:ascii="Times New Roman" w:hAnsi="Times New Roman" w:eastAsia="Times New Roman" w:cs="Times New Roman"/>
          <w:b/>
          <w:bCs/>
          <w:sz w:val="20"/>
          <w:szCs w:val="20"/>
        </w:rPr>
      </w:r>
      <w:r>
        <w:rPr>
          <w:rFonts w:ascii="Times New Roman" w:hAnsi="Times New Roman" w:eastAsia="Times New Roman" w:cs="Times New Roman"/>
          <w:sz w:val="20"/>
          <w:szCs w:val="20"/>
        </w:rPr>
        <w:t xml:space="preserve">Percentual de Inovação por Modalidade</w:t>
      </w:r>
      <w:r>
        <w:rPr>
          <w:rFonts w:ascii="Times New Roman" w:hAnsi="Times New Roman" w:eastAsia="Times New Roman" w:cs="Times New Roman"/>
          <w:b/>
          <w:bCs/>
          <w:sz w:val="20"/>
          <w:szCs w:val="20"/>
        </w:rPr>
      </w:r>
      <w:r>
        <w:rPr>
          <w:rFonts w:ascii="Times New Roman" w:hAnsi="Times New Roman" w:cs="Times New Roman"/>
          <w:b/>
          <w:bCs/>
          <w:sz w:val="20"/>
          <w:szCs w:val="20"/>
        </w:rPr>
      </w:r>
    </w:p>
    <w:p w14:paraId="0E27B00A" w14:textId="77777777">
      <w:pPr>
        <w:pBdr/>
        <w:spacing w:after="0"/>
        <w:ind/>
        <w:jc w:val="both"/>
        <w:rPr>
          <w:rFonts w:ascii="Times New Roman" w:hAnsi="Times New Roman" w:cs="Times New Roman"/>
          <w:sz w:val="20"/>
          <w:szCs w:val="20"/>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4589145" cy="2480310"/>
                <wp:effectExtent l="0" t="0" r="0" b="0"/>
                <wp:docPr id="5" name="Picture" descr="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C:\Users\Renato\Documents\ThePapperAI\papers\paper-algoritmica-ia-blockchain-compras-publicas\05-documento\figuras/grafico_06_inovacao_modalidade.png"/>
                        <pic:cNvPicPr>
                          <a:picLocks noChangeAspect="1"/>
                        </pic:cNvPicPr>
                        <pic:nvPr/>
                      </pic:nvPicPr>
                      <pic:blipFill rotWithShape="1">
                        <a:blip r:embed="rId13"/>
                        <a:stretch/>
                      </pic:blipFill>
                      <pic:spPr bwMode="auto">
                        <a:xfrm>
                          <a:off x="0" y="0"/>
                          <a:ext cx="4590002" cy="2480773"/>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61.35pt;height:195.30pt;mso-wrap-distance-left:0.00pt;mso-wrap-distance-top:0.00pt;mso-wrap-distance-right:0.00pt;mso-wrap-distance-bottom:0.00pt;z-index:1;" stroked="f" strokeweight="0.75pt">
                <v:imagedata r:id="rId13" o:title=""/>
                <o:lock v:ext="edit" rotation="t"/>
              </v:shape>
            </w:pict>
          </mc:Fallback>
        </mc:AlternateContent>
      </w:r>
      <w:r>
        <w:rPr>
          <w:rFonts w:ascii="Times New Roman" w:hAnsi="Times New Roman" w:eastAsia="Times New Roman" w:cs="Times New Roman"/>
          <w:sz w:val="20"/>
          <w:szCs w:val="20"/>
        </w:rPr>
      </w:r>
      <w:r>
        <w:rPr>
          <w:rFonts w:ascii="Times New Roman" w:hAnsi="Times New Roman" w:cs="Times New Roman"/>
          <w:sz w:val="20"/>
          <w:szCs w:val="20"/>
        </w:rPr>
      </w:r>
    </w:p>
    <w:p w14:paraId="083F565C" w14:textId="77777777">
      <w:pPr>
        <w:pBdr/>
        <w:spacing w:after="0"/>
        <w:ind/>
        <w:jc w:val="both"/>
        <w:rPr>
          <w:rFonts w:ascii="Times New Roman" w:hAnsi="Times New Roman" w:cs="Times New Roman"/>
          <w:i/>
          <w:iCs/>
          <w:sz w:val="20"/>
          <w:szCs w:val="20"/>
        </w:rPr>
      </w:pPr>
      <w:r>
        <w:rPr>
          <w:rFonts w:ascii="Times New Roman" w:hAnsi="Times New Roman" w:eastAsia="Times New Roman" w:cs="Times New Roman"/>
          <w:b w:val="0"/>
          <w:bCs w:val="0"/>
          <w:sz w:val="20"/>
          <w:szCs w:val="20"/>
        </w:rPr>
        <w:t xml:space="preserve">Fonte:</w:t>
      </w:r>
      <w:r>
        <w:rPr>
          <w:rFonts w:ascii="Times New Roman" w:hAnsi="Times New Roman" w:eastAsia="Times New Roman" w:cs="Times New Roman"/>
          <w:sz w:val="20"/>
          <w:szCs w:val="20"/>
        </w:rPr>
        <w:t xml:space="preserve"> Elaboração própria com base em dados do PNCP (2024).</w:t>
      </w:r>
      <w:r>
        <w:rPr>
          <w:rFonts w:ascii="Times New Roman" w:hAnsi="Times New Roman" w:eastAsia="Times New Roman" w:cs="Times New Roman"/>
          <w:i/>
          <w:iCs/>
          <w:sz w:val="20"/>
          <w:szCs w:val="20"/>
        </w:rPr>
      </w:r>
      <w:r>
        <w:rPr>
          <w:rFonts w:ascii="Times New Roman" w:hAnsi="Times New Roman" w:cs="Times New Roman"/>
          <w:i/>
          <w:iCs/>
          <w:sz w:val="20"/>
          <w:szCs w:val="20"/>
        </w:rPr>
      </w:r>
    </w:p>
    <w:p w14:paraId="71A9D341" w14:textId="3C1A8586">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4EFAAF61" w14:textId="77777777">
      <w:pPr>
        <w:pBdr/>
        <w:spacing w:after="0"/>
        <w:ind w:firstLine="720"/>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O</w:t>
      </w:r>
      <w:r>
        <w:rPr>
          <w:rFonts w:ascii="Times New Roman" w:hAnsi="Times New Roman" w:eastAsia="Times New Roman" w:cs="Times New Roman"/>
        </w:rPr>
        <w:t xml:space="preserve">s termos frequentemente detetados na base incluem: “inovação” (1.189 ocorrências), “etec” (1.010), “inteligência artificial” (284) e “pesquisa e desenvolvimento” (195). De forma complementar, identificaram-se também os termos “inovador” (143), “tecnologia”</w:t>
      </w:r>
      <w:r>
        <w:rPr>
          <w:rFonts w:ascii="Times New Roman" w:hAnsi="Times New Roman" w:eastAsia="Times New Roman" w:cs="Times New Roman"/>
        </w:rPr>
        <w:t xml:space="preserve"> (87), “software” (76), “digital” (52), “startup” (41) e “p&amp;d” (38). </w:t>
      </w:r>
      <w:r>
        <w:rPr>
          <w:rFonts w:ascii="Times New Roman" w:hAnsi="Times New Roman" w:cs="Times New Roman"/>
        </w:rPr>
      </w:r>
      <w:r>
        <w:rPr>
          <w:rFonts w:ascii="Times New Roman" w:hAnsi="Times New Roman" w:eastAsia="Times New Roman" w:cs="Times New Roman"/>
        </w:rPr>
      </w:r>
    </w:p>
    <w:p w14:paraId="54831EFA">
      <w:pPr>
        <w:pBdr/>
        <w:spacing w:after="0"/>
        <w:ind w:firstLine="720"/>
        <w:jc w:val="both"/>
        <w:rPr>
          <w:rFonts w:ascii="Times New Roman" w:hAnsi="Times New Roman" w:cs="Times New Roman"/>
        </w:rPr>
      </w:pPr>
      <w:r>
        <w:rPr>
          <w:rFonts w:ascii="Times New Roman" w:hAnsi="Times New Roman" w:eastAsia="Times New Roman" w:cs="Times New Roman"/>
        </w:rPr>
        <w:t xml:space="preserve">Dessa forma, a Figura 6 apresenta os dez vocábulos com maior incidência.</w:t>
      </w:r>
      <w:r>
        <w:rPr>
          <w:rFonts w:ascii="Times New Roman" w:hAnsi="Times New Roman" w:eastAsia="Times New Roman" w:cs="Times New Roman"/>
        </w:rPr>
      </w:r>
      <w:r>
        <w:rPr>
          <w:rFonts w:ascii="Times New Roman" w:hAnsi="Times New Roman" w:cs="Times New Roman"/>
        </w:rPr>
      </w:r>
    </w:p>
    <w:p w14:paraId="02AA5B4B" w14:textId="25E4C2F7">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5CF6445D" w14:textId="77777777">
      <w:pPr>
        <w:pBdr/>
        <w:spacing w:after="0"/>
        <w:ind/>
        <w:jc w:val="both"/>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 xml:space="preserve">Figura 6</w:t>
      </w:r>
      <w:r>
        <w:rPr>
          <w:rFonts w:ascii="Times New Roman" w:hAnsi="Times New Roman" w:cs="Times New Roman"/>
          <w:b/>
          <w:bCs/>
          <w:sz w:val="20"/>
          <w:szCs w:val="20"/>
        </w:rPr>
      </w:r>
      <w:r>
        <w:rPr>
          <w:rFonts w:ascii="Times New Roman" w:hAnsi="Times New Roman" w:eastAsia="Times New Roman" w:cs="Times New Roman"/>
          <w:b/>
          <w:bCs/>
          <w:sz w:val="20"/>
          <w:szCs w:val="20"/>
        </w:rPr>
      </w:r>
    </w:p>
    <w:p w14:paraId="60518E3C">
      <w:pPr>
        <w:pBdr/>
        <w:spacing w:after="0"/>
        <w:ind/>
        <w:jc w:val="both"/>
        <w:rPr>
          <w:rFonts w:ascii="Times New Roman" w:hAnsi="Times New Roman" w:cs="Times New Roman"/>
          <w:b/>
          <w:bCs/>
          <w:sz w:val="20"/>
          <w:szCs w:val="20"/>
        </w:rPr>
      </w:pPr>
      <w:r>
        <w:rPr>
          <w:rFonts w:ascii="Times New Roman" w:hAnsi="Times New Roman" w:eastAsia="Times New Roman" w:cs="Times New Roman"/>
          <w:b/>
          <w:bCs/>
          <w:sz w:val="20"/>
          <w:szCs w:val="20"/>
        </w:rPr>
      </w:r>
      <w:r>
        <w:rPr>
          <w:rFonts w:ascii="Times New Roman" w:hAnsi="Times New Roman" w:eastAsia="Times New Roman" w:cs="Times New Roman"/>
          <w:sz w:val="20"/>
          <w:szCs w:val="20"/>
        </w:rPr>
        <w:t xml:space="preserve">Termos Mais Frequentes em Contratações com Inovação</w:t>
      </w:r>
      <w:r>
        <w:rPr>
          <w:rFonts w:ascii="Times New Roman" w:hAnsi="Times New Roman" w:eastAsia="Times New Roman" w:cs="Times New Roman"/>
          <w:b/>
          <w:bCs/>
          <w:sz w:val="20"/>
          <w:szCs w:val="20"/>
        </w:rPr>
      </w:r>
      <w:r>
        <w:rPr>
          <w:rFonts w:ascii="Times New Roman" w:hAnsi="Times New Roman" w:cs="Times New Roman"/>
          <w:b/>
          <w:bCs/>
          <w:sz w:val="20"/>
          <w:szCs w:val="20"/>
        </w:rPr>
      </w:r>
    </w:p>
    <w:p w14:paraId="60061E4C" w14:textId="77777777">
      <w:pPr>
        <w:pBdr/>
        <w:spacing w:after="0"/>
        <w:ind/>
        <w:jc w:val="both"/>
        <w:rPr>
          <w:rFonts w:ascii="Times New Roman" w:hAnsi="Times New Roman" w:cs="Times New Roman"/>
          <w:sz w:val="20"/>
          <w:szCs w:val="20"/>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334000" cy="2884787"/>
                <wp:effectExtent l="0" t="0" r="0" b="0"/>
                <wp:docPr id="6" name="Picture" descr="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descr="C:\Users\Renato\Documents\ThePapperAI\papers\paper-algoritmica-ia-blockchain-compras-publicas\05-documento\figuras/grafico_07_termos_inovacao.png"/>
                        <pic:cNvPicPr>
                          <a:picLocks noChangeAspect="1"/>
                        </pic:cNvPicPr>
                        <pic:nvPr/>
                      </pic:nvPicPr>
                      <pic:blipFill rotWithShape="1">
                        <a:blip r:embed="rId14"/>
                        <a:stretch/>
                      </pic:blipFill>
                      <pic:spPr bwMode="auto">
                        <a:xfrm>
                          <a:off x="0" y="0"/>
                          <a:ext cx="5334000" cy="2884787"/>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20.00pt;height:227.15pt;mso-wrap-distance-left:0.00pt;mso-wrap-distance-top:0.00pt;mso-wrap-distance-right:0.00pt;mso-wrap-distance-bottom:0.00pt;z-index:1;" stroked="f" strokeweight="0.75pt">
                <v:imagedata r:id="rId14" o:title=""/>
                <o:lock v:ext="edit" rotation="t"/>
              </v:shape>
            </w:pict>
          </mc:Fallback>
        </mc:AlternateContent>
      </w:r>
      <w:r>
        <w:rPr>
          <w:rFonts w:ascii="Times New Roman" w:hAnsi="Times New Roman" w:eastAsia="Times New Roman" w:cs="Times New Roman"/>
          <w:sz w:val="20"/>
          <w:szCs w:val="20"/>
        </w:rPr>
      </w:r>
      <w:r>
        <w:rPr>
          <w:rFonts w:ascii="Times New Roman" w:hAnsi="Times New Roman" w:cs="Times New Roman"/>
          <w:sz w:val="20"/>
          <w:szCs w:val="20"/>
        </w:rPr>
      </w:r>
    </w:p>
    <w:p w14:paraId="00D1F91B" w14:textId="77777777">
      <w:pPr>
        <w:pBdr/>
        <w:spacing w:after="0"/>
        <w:ind/>
        <w:jc w:val="both"/>
        <w:rPr>
          <w:rFonts w:ascii="Times New Roman" w:hAnsi="Times New Roman" w:cs="Times New Roman"/>
          <w:sz w:val="20"/>
          <w:szCs w:val="20"/>
        </w:rPr>
      </w:pPr>
      <w:r>
        <w:rPr>
          <w:rFonts w:ascii="Times New Roman" w:hAnsi="Times New Roman" w:eastAsia="Times New Roman" w:cs="Times New Roman"/>
          <w:b w:val="0"/>
          <w:bCs w:val="0"/>
          <w:sz w:val="20"/>
          <w:szCs w:val="20"/>
        </w:rPr>
        <w:t xml:space="preserve">Fonte:</w:t>
      </w:r>
      <w:r>
        <w:rPr>
          <w:rFonts w:ascii="Times New Roman" w:hAnsi="Times New Roman" w:eastAsia="Times New Roman" w:cs="Times New Roman"/>
          <w:b w:val="0"/>
          <w:bCs w:val="0"/>
          <w:sz w:val="20"/>
          <w:szCs w:val="20"/>
        </w:rPr>
        <w:t xml:space="preserve"> E</w:t>
      </w:r>
      <w:r>
        <w:rPr>
          <w:rFonts w:ascii="Times New Roman" w:hAnsi="Times New Roman" w:eastAsia="Times New Roman" w:cs="Times New Roman"/>
          <w:sz w:val="20"/>
          <w:szCs w:val="20"/>
        </w:rPr>
        <w:t xml:space="preserve">laboração própria com base em dados do PNCP (2024).</w:t>
      </w:r>
      <w:r>
        <w:rPr>
          <w:rFonts w:ascii="Times New Roman" w:hAnsi="Times New Roman" w:eastAsia="Times New Roman" w:cs="Times New Roman"/>
          <w:sz w:val="20"/>
          <w:szCs w:val="20"/>
        </w:rPr>
      </w:r>
      <w:r>
        <w:rPr>
          <w:rFonts w:ascii="Times New Roman" w:hAnsi="Times New Roman" w:cs="Times New Roman"/>
          <w:sz w:val="20"/>
          <w:szCs w:val="20"/>
        </w:rPr>
      </w:r>
    </w:p>
    <w:p w14:paraId="6A109B83" w14:textId="43400BE7">
      <w:pPr>
        <w:pBdr/>
        <w:spacing w:after="0"/>
        <w:ind/>
        <w:jc w:val="both"/>
        <w:rPr>
          <w:rFonts w:ascii="Times New Roman" w:hAnsi="Times New Roman" w:cs="Times New Roman"/>
        </w:rPr>
      </w:pPr>
      <w:r>
        <w:rPr>
          <w:rFonts w:ascii="Times New Roman" w:hAnsi="Times New Roman" w:eastAsia="Times New Roman" w:cs="Times New Roman"/>
        </w:rPr>
      </w:r>
      <w:bookmarkStart w:id="24" w:name="proxies-de-risco-processual"/>
      <w:r>
        <w:rPr>
          <w:rFonts w:ascii="Times New Roman" w:hAnsi="Times New Roman" w:eastAsia="Times New Roman" w:cs="Times New Roman"/>
        </w:rPr>
      </w:r>
      <w:bookmarkEnd w:id="23"/>
      <w:r>
        <w:rPr>
          <w:rFonts w:ascii="Times New Roman" w:hAnsi="Times New Roman" w:eastAsia="Times New Roman" w:cs="Times New Roman"/>
        </w:rPr>
      </w:r>
      <w:r>
        <w:rPr>
          <w:rFonts w:ascii="Times New Roman" w:hAnsi="Times New Roman" w:cs="Times New Roman"/>
        </w:rPr>
      </w:r>
    </w:p>
    <w:p w14:paraId="43422EC7" w14:textId="77777777">
      <w:pPr>
        <w:pBdr/>
        <w:spacing w:after="0"/>
        <w:ind/>
        <w:jc w:val="both"/>
        <w:rPr>
          <w:rFonts w:ascii="Times New Roman" w:hAnsi="Times New Roman" w:cs="Times New Roman"/>
          <w:b/>
          <w:bCs/>
        </w:rPr>
      </w:pPr>
      <w:r>
        <w:rPr>
          <w:rFonts w:ascii="Times New Roman" w:hAnsi="Times New Roman" w:eastAsia="Times New Roman" w:cs="Times New Roman"/>
          <w:b/>
          <w:bCs/>
        </w:rPr>
        <w:t xml:space="preserve">4.4 Proxies de Risco Processual</w:t>
      </w:r>
      <w:r>
        <w:rPr>
          <w:rFonts w:ascii="Times New Roman" w:hAnsi="Times New Roman" w:eastAsia="Times New Roman" w:cs="Times New Roman"/>
          <w:b/>
          <w:bCs/>
        </w:rPr>
      </w:r>
      <w:r>
        <w:rPr>
          <w:rFonts w:ascii="Times New Roman" w:hAnsi="Times New Roman" w:cs="Times New Roman"/>
          <w:b/>
          <w:bCs/>
        </w:rPr>
      </w:r>
    </w:p>
    <w:p w14:paraId="70734C73" w14:textId="0E929D69">
      <w:pPr>
        <w:pBdr/>
        <w:spacing w:after="0"/>
        <w:ind w:firstLine="720"/>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A</w:t>
      </w:r>
      <w:r>
        <w:rPr>
          <w:rFonts w:ascii="Times New Roman" w:hAnsi="Times New Roman" w:eastAsia="Times New Roman" w:cs="Times New Roman"/>
        </w:rPr>
        <w:t xml:space="preserve"> distribuição do escore de risco estruturado mostra uma concentração na faixa intermediária. Por conseguinte, 71,8% das contratações recebem o escore 1 (médio risco), enquanto 11,0% recebem o escore 0 (baixo risco). Adicionalmente, os escores de risco elev</w:t>
      </w:r>
      <w:r>
        <w:rPr>
          <w:rFonts w:ascii="Times New Roman" w:hAnsi="Times New Roman" w:eastAsia="Times New Roman" w:cs="Times New Roman"/>
        </w:rPr>
        <w:t xml:space="preserve">ado (2 e 3) correspondem a 17,2% do total, sendo que o nível crítico (escore 3) representa 0,07% da amostra. </w:t>
      </w:r>
      <w:r>
        <w:rPr>
          <w:rFonts w:ascii="Times New Roman" w:hAnsi="Times New Roman" w:cs="Times New Roman"/>
        </w:rPr>
      </w:r>
      <w:r>
        <w:rPr>
          <w:rFonts w:ascii="Times New Roman" w:hAnsi="Times New Roman" w:eastAsia="Times New Roman" w:cs="Times New Roman"/>
        </w:rPr>
      </w:r>
    </w:p>
    <w:p w14:paraId="784AAEA8">
      <w:pPr>
        <w:pBdr/>
        <w:spacing w:after="0"/>
        <w:ind w:firstLine="720"/>
        <w:jc w:val="both"/>
        <w:rPr>
          <w:rFonts w:ascii="Times New Roman" w:hAnsi="Times New Roman" w:cs="Times New Roman"/>
        </w:rPr>
      </w:pPr>
      <w:r>
        <w:rPr>
          <w:rFonts w:ascii="Times New Roman" w:hAnsi="Times New Roman" w:eastAsia="Times New Roman" w:cs="Times New Roman"/>
        </w:rPr>
        <w:t xml:space="preserve">Em vista disso, a Figura 7 apresenta essa dispersão.</w:t>
      </w:r>
      <w:r>
        <w:rPr>
          <w:rFonts w:ascii="Times New Roman" w:hAnsi="Times New Roman" w:eastAsia="Times New Roman" w:cs="Times New Roman"/>
        </w:rPr>
      </w:r>
      <w:r>
        <w:rPr>
          <w:rFonts w:ascii="Times New Roman" w:hAnsi="Times New Roman" w:cs="Times New Roman"/>
        </w:rPr>
      </w:r>
    </w:p>
    <w:p w14:paraId="56D6CFAD" w14:textId="7688A601">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1402DFB9" w14:textId="726381B5">
      <w:pPr>
        <w:pBdr/>
        <w:spacing w:after="0"/>
        <w:ind/>
        <w:jc w:val="both"/>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 xml:space="preserve">Figura 7</w:t>
      </w:r>
      <w:r>
        <w:rPr>
          <w:rFonts w:ascii="Times New Roman" w:hAnsi="Times New Roman" w:cs="Times New Roman"/>
          <w:b/>
          <w:bCs/>
          <w:sz w:val="20"/>
          <w:szCs w:val="20"/>
        </w:rPr>
      </w:r>
      <w:r>
        <w:rPr>
          <w:rFonts w:ascii="Times New Roman" w:hAnsi="Times New Roman" w:eastAsia="Times New Roman" w:cs="Times New Roman"/>
          <w:b/>
          <w:bCs/>
          <w:sz w:val="20"/>
          <w:szCs w:val="20"/>
        </w:rPr>
      </w:r>
    </w:p>
    <w:p w14:paraId="6D2D06A0">
      <w:pPr>
        <w:pBdr/>
        <w:spacing w:after="0"/>
        <w:ind/>
        <w:jc w:val="both"/>
        <w:rPr>
          <w:rFonts w:ascii="Times New Roman" w:hAnsi="Times New Roman" w:cs="Times New Roman"/>
          <w:b/>
          <w:bCs/>
          <w:sz w:val="20"/>
          <w:szCs w:val="20"/>
        </w:rPr>
      </w:pPr>
      <w:r>
        <w:rPr>
          <w:rFonts w:ascii="Times New Roman" w:hAnsi="Times New Roman" w:eastAsia="Times New Roman" w:cs="Times New Roman"/>
          <w:b/>
          <w:bCs/>
          <w:sz w:val="20"/>
          <w:szCs w:val="20"/>
        </w:rPr>
      </w:r>
      <w:r>
        <w:rPr>
          <w:rFonts w:ascii="Times New Roman" w:hAnsi="Times New Roman" w:eastAsia="Times New Roman" w:cs="Times New Roman"/>
          <w:sz w:val="20"/>
          <w:szCs w:val="20"/>
        </w:rPr>
        <w:t xml:space="preserve">Distribuição do Escore de Risco Processual</w:t>
      </w:r>
      <w:r>
        <w:rPr>
          <w:rFonts w:ascii="Times New Roman" w:hAnsi="Times New Roman" w:eastAsia="Times New Roman" w:cs="Times New Roman"/>
          <w:b/>
          <w:bCs/>
          <w:sz w:val="20"/>
          <w:szCs w:val="20"/>
        </w:rPr>
      </w:r>
      <w:r>
        <w:rPr>
          <w:rFonts w:ascii="Times New Roman" w:hAnsi="Times New Roman" w:cs="Times New Roman"/>
          <w:b/>
          <w:bCs/>
          <w:sz w:val="20"/>
          <w:szCs w:val="20"/>
        </w:rPr>
      </w:r>
    </w:p>
    <w:p w14:paraId="44EAFD9C" w14:textId="77777777">
      <w:pPr>
        <w:pBdr/>
        <w:spacing w:after="0"/>
        <w:ind/>
        <w:jc w:val="both"/>
        <w:rPr>
          <w:rFonts w:ascii="Times New Roman" w:hAnsi="Times New Roman" w:cs="Times New Roman"/>
          <w:sz w:val="20"/>
          <w:szCs w:val="20"/>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4402667" cy="2472267"/>
                <wp:effectExtent l="0" t="0" r="0" b="0"/>
                <wp:docPr id="7" name="Picture" descr="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descr="C:\Users\Renato\Documents\ThePapperAI\papers\paper-algoritmica-ia-blockchain-compras-publicas\05-documento\figuras/grafico_08_escore_distribuicao.png"/>
                        <pic:cNvPicPr>
                          <a:picLocks noChangeAspect="1"/>
                        </pic:cNvPicPr>
                        <pic:nvPr/>
                      </pic:nvPicPr>
                      <pic:blipFill rotWithShape="1">
                        <a:blip r:embed="rId15"/>
                        <a:stretch/>
                      </pic:blipFill>
                      <pic:spPr bwMode="auto">
                        <a:xfrm>
                          <a:off x="0" y="0"/>
                          <a:ext cx="4442778" cy="2494791"/>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46.67pt;height:194.67pt;mso-wrap-distance-left:0.00pt;mso-wrap-distance-top:0.00pt;mso-wrap-distance-right:0.00pt;mso-wrap-distance-bottom:0.00pt;z-index:1;" stroked="f" strokeweight="0.75pt">
                <v:imagedata r:id="rId15" o:title=""/>
                <o:lock v:ext="edit" rotation="t"/>
              </v:shape>
            </w:pict>
          </mc:Fallback>
        </mc:AlternateContent>
      </w:r>
      <w:r>
        <w:rPr>
          <w:rFonts w:ascii="Times New Roman" w:hAnsi="Times New Roman" w:eastAsia="Times New Roman" w:cs="Times New Roman"/>
          <w:sz w:val="20"/>
          <w:szCs w:val="20"/>
        </w:rPr>
      </w:r>
      <w:r>
        <w:rPr>
          <w:rFonts w:ascii="Times New Roman" w:hAnsi="Times New Roman" w:cs="Times New Roman"/>
          <w:sz w:val="20"/>
          <w:szCs w:val="20"/>
        </w:rPr>
      </w:r>
    </w:p>
    <w:p w14:paraId="470801D4" w14:textId="77777777">
      <w:pPr>
        <w:pBdr/>
        <w:spacing w:after="0"/>
        <w:ind/>
        <w:jc w:val="both"/>
        <w:rPr>
          <w:rFonts w:ascii="Times New Roman" w:hAnsi="Times New Roman" w:cs="Times New Roman"/>
          <w:i/>
          <w:iCs/>
          <w:sz w:val="20"/>
          <w:szCs w:val="20"/>
        </w:rPr>
      </w:pPr>
      <w:r>
        <w:rPr>
          <w:rFonts w:ascii="Times New Roman" w:hAnsi="Times New Roman" w:eastAsia="Times New Roman" w:cs="Times New Roman"/>
          <w:b w:val="0"/>
          <w:bCs w:val="0"/>
          <w:sz w:val="20"/>
          <w:szCs w:val="20"/>
        </w:rPr>
        <w:t xml:space="preserve">Fonte:</w:t>
      </w:r>
      <w:r>
        <w:rPr>
          <w:rFonts w:ascii="Times New Roman" w:hAnsi="Times New Roman" w:eastAsia="Times New Roman" w:cs="Times New Roman"/>
          <w:b/>
          <w:bCs/>
          <w:sz w:val="20"/>
          <w:szCs w:val="20"/>
        </w:rPr>
        <w:t xml:space="preserve"> </w:t>
      </w:r>
      <w:r>
        <w:rPr>
          <w:rFonts w:ascii="Times New Roman" w:hAnsi="Times New Roman" w:eastAsia="Times New Roman" w:cs="Times New Roman"/>
          <w:sz w:val="20"/>
          <w:szCs w:val="20"/>
        </w:rPr>
        <w:t xml:space="preserve">Elaboração própria com base em dados do PNCP (2024).</w:t>
      </w:r>
      <w:r>
        <w:rPr>
          <w:rFonts w:ascii="Times New Roman" w:hAnsi="Times New Roman" w:eastAsia="Times New Roman" w:cs="Times New Roman"/>
          <w:i/>
          <w:iCs/>
          <w:sz w:val="20"/>
          <w:szCs w:val="20"/>
        </w:rPr>
      </w:r>
      <w:r>
        <w:rPr>
          <w:rFonts w:ascii="Times New Roman" w:hAnsi="Times New Roman" w:cs="Times New Roman"/>
          <w:i/>
          <w:iCs/>
          <w:sz w:val="20"/>
          <w:szCs w:val="20"/>
        </w:rPr>
      </w:r>
    </w:p>
    <w:p w14:paraId="5A7882C6" w14:textId="3E7ACBA4">
      <w:pPr>
        <w:pBdr/>
        <w:spacing w:after="0"/>
        <w:ind w:firstLine="720"/>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08596F5D" w14:textId="1B550284">
      <w:pPr>
        <w:pBdr/>
        <w:spacing w:after="0"/>
        <w:ind w:firstLine="720"/>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Além disso, a análise do escore por esfera federativa revela que a esfera federal apresenta um risco médio superior (1,15) quando comparada à estadual (1,02) e à municipal (0,92). De fato, este fenómeno está associado à maior proporção de contratações dire</w:t>
      </w:r>
      <w:r>
        <w:rPr>
          <w:rFonts w:ascii="Times New Roman" w:hAnsi="Times New Roman" w:eastAsia="Times New Roman" w:cs="Times New Roman"/>
        </w:rPr>
        <w:t xml:space="preserve">tas nesse âmbito.</w:t>
      </w:r>
      <w:r>
        <w:rPr>
          <w:rFonts w:ascii="Times New Roman" w:hAnsi="Times New Roman" w:cs="Times New Roman"/>
        </w:rPr>
      </w:r>
      <w:r>
        <w:rPr>
          <w:rFonts w:ascii="Times New Roman" w:hAnsi="Times New Roman" w:eastAsia="Times New Roman" w:cs="Times New Roman"/>
        </w:rPr>
      </w:r>
    </w:p>
    <w:p w14:paraId="27C0ADCF">
      <w:pPr>
        <w:pBdr/>
        <w:spacing w:after="0"/>
        <w:ind w:firstLine="720"/>
        <w:jc w:val="both"/>
        <w:rPr>
          <w:rFonts w:ascii="Times New Roman" w:hAnsi="Times New Roman" w:cs="Times New Roman"/>
        </w:rPr>
      </w:pPr>
      <w:r>
        <w:rPr>
          <w:rFonts w:ascii="Times New Roman" w:hAnsi="Times New Roman" w:eastAsia="Times New Roman" w:cs="Times New Roman"/>
        </w:rPr>
        <w:t xml:space="preserve">Logo, a Figura 8 apresenta a respetiva comparação.</w:t>
      </w:r>
      <w:r>
        <w:rPr>
          <w:rFonts w:ascii="Times New Roman" w:hAnsi="Times New Roman" w:eastAsia="Times New Roman" w:cs="Times New Roman"/>
        </w:rPr>
      </w:r>
      <w:r>
        <w:rPr>
          <w:rFonts w:ascii="Times New Roman" w:hAnsi="Times New Roman" w:cs="Times New Roman"/>
        </w:rPr>
      </w:r>
    </w:p>
    <w:p w14:paraId="2C07BF17" w14:textId="32E1B4E4">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3A75DF7D" w14:textId="77777777">
      <w:pPr>
        <w:pBdr/>
        <w:spacing w:after="0"/>
        <w:ind/>
        <w:jc w:val="both"/>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 xml:space="preserve">Figura 8</w:t>
      </w:r>
      <w:r>
        <w:rPr>
          <w:rFonts w:ascii="Times New Roman" w:hAnsi="Times New Roman" w:eastAsia="Times New Roman" w:cs="Times New Roman"/>
          <w:b/>
          <w:bCs/>
          <w:sz w:val="20"/>
          <w:szCs w:val="20"/>
        </w:rPr>
      </w:r>
      <w:r>
        <w:rPr>
          <w:rFonts w:ascii="Times New Roman" w:hAnsi="Times New Roman" w:eastAsia="Times New Roman" w:cs="Times New Roman"/>
          <w:b/>
          <w:bCs/>
          <w:sz w:val="20"/>
          <w:szCs w:val="20"/>
        </w:rPr>
      </w:r>
    </w:p>
    <w:p w14:paraId="134245A7">
      <w:pPr>
        <w:pBdr/>
        <w:spacing w:after="0"/>
        <w:ind/>
        <w:jc w:val="both"/>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r>
      <w:r>
        <w:rPr>
          <w:rFonts w:ascii="Times New Roman" w:hAnsi="Times New Roman" w:eastAsia="Times New Roman" w:cs="Times New Roman"/>
          <w:sz w:val="20"/>
          <w:szCs w:val="20"/>
        </w:rPr>
        <w:t xml:space="preserve">Escore Médio de Risco por Esfera Federativa</w:t>
      </w:r>
      <w:r>
        <w:rPr>
          <w:rFonts w:ascii="Times New Roman" w:hAnsi="Times New Roman" w:eastAsia="Times New Roman" w:cs="Times New Roman"/>
          <w:b/>
          <w:bCs/>
          <w:sz w:val="20"/>
          <w:szCs w:val="20"/>
        </w:rPr>
      </w:r>
      <w:r>
        <w:rPr>
          <w:rFonts w:ascii="Times New Roman" w:hAnsi="Times New Roman" w:eastAsia="Times New Roman" w:cs="Times New Roman"/>
          <w:b/>
          <w:bCs/>
          <w:sz w:val="20"/>
          <w:szCs w:val="20"/>
        </w:rPr>
      </w:r>
    </w:p>
    <w:p w14:paraId="4B94D5A5" w14:textId="77777777">
      <w:pPr>
        <w:pBdr/>
        <w:spacing w:after="0"/>
        <w:ind/>
        <w:jc w:val="both"/>
        <w:rPr>
          <w:rFonts w:ascii="Times New Roman" w:hAnsi="Times New Roman" w:cs="Times New Roman"/>
          <w:sz w:val="20"/>
          <w:szCs w:val="20"/>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229981" cy="3280228"/>
                <wp:effectExtent l="0" t="0" r="0" b="0"/>
                <wp:docPr id="8" name="Picture" descr="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descr="C:\Users\Renato\Documents\ThePapperAI\papers\paper-algoritmica-ia-blockchain-compras-publicas\05-documento\figuras/grafico_09_escore_esfera.png"/>
                        <pic:cNvPicPr>
                          <a:picLocks noChangeAspect="1"/>
                        </pic:cNvPicPr>
                        <pic:nvPr/>
                      </pic:nvPicPr>
                      <pic:blipFill rotWithShape="1">
                        <a:blip r:embed="rId16"/>
                        <a:stretch/>
                      </pic:blipFill>
                      <pic:spPr bwMode="auto">
                        <a:xfrm>
                          <a:off x="0" y="0"/>
                          <a:ext cx="5238010" cy="3285265"/>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11.81pt;height:258.29pt;mso-wrap-distance-left:0.00pt;mso-wrap-distance-top:0.00pt;mso-wrap-distance-right:0.00pt;mso-wrap-distance-bottom:0.00pt;z-index:1;" stroked="f" strokeweight="0.75pt">
                <v:imagedata r:id="rId16" o:title=""/>
                <o:lock v:ext="edit" rotation="t"/>
              </v:shape>
            </w:pict>
          </mc:Fallback>
        </mc:AlternateContent>
      </w:r>
      <w:r>
        <w:rPr>
          <w:rFonts w:ascii="Times New Roman" w:hAnsi="Times New Roman" w:eastAsia="Times New Roman" w:cs="Times New Roman"/>
          <w:sz w:val="20"/>
          <w:szCs w:val="20"/>
        </w:rPr>
      </w:r>
      <w:r>
        <w:rPr>
          <w:rFonts w:ascii="Times New Roman" w:hAnsi="Times New Roman" w:cs="Times New Roman"/>
          <w:sz w:val="20"/>
          <w:szCs w:val="20"/>
        </w:rPr>
      </w:r>
    </w:p>
    <w:p w14:paraId="09392218" w14:textId="77777777">
      <w:pPr>
        <w:pBdr/>
        <w:spacing w:after="0"/>
        <w:ind/>
        <w:jc w:val="both"/>
        <w:rPr>
          <w:rFonts w:ascii="Times New Roman" w:hAnsi="Times New Roman" w:cs="Times New Roman"/>
          <w:i/>
          <w:iCs/>
          <w:sz w:val="20"/>
          <w:szCs w:val="20"/>
        </w:rPr>
      </w:pPr>
      <w:r>
        <w:rPr>
          <w:rFonts w:ascii="Times New Roman" w:hAnsi="Times New Roman" w:eastAsia="Times New Roman" w:cs="Times New Roman"/>
          <w:b w:val="0"/>
          <w:bCs w:val="0"/>
          <w:sz w:val="20"/>
          <w:szCs w:val="20"/>
        </w:rPr>
        <w:t xml:space="preserve">Fonte:</w:t>
      </w:r>
      <w:r>
        <w:rPr>
          <w:rFonts w:ascii="Times New Roman" w:hAnsi="Times New Roman" w:eastAsia="Times New Roman" w:cs="Times New Roman"/>
          <w:b w:val="0"/>
          <w:bCs w:val="0"/>
          <w:sz w:val="20"/>
          <w:szCs w:val="20"/>
        </w:rPr>
        <w:t xml:space="preserve"> </w:t>
      </w:r>
      <w:r>
        <w:rPr>
          <w:rFonts w:ascii="Times New Roman" w:hAnsi="Times New Roman" w:eastAsia="Times New Roman" w:cs="Times New Roman"/>
          <w:sz w:val="20"/>
          <w:szCs w:val="20"/>
        </w:rPr>
        <w:t xml:space="preserve">Elaboração própria com base em dados do PNCP (2024).</w:t>
      </w:r>
      <w:r>
        <w:rPr>
          <w:rFonts w:ascii="Times New Roman" w:hAnsi="Times New Roman" w:eastAsia="Times New Roman" w:cs="Times New Roman"/>
          <w:i/>
          <w:iCs/>
          <w:sz w:val="20"/>
          <w:szCs w:val="20"/>
        </w:rPr>
      </w:r>
      <w:r>
        <w:rPr>
          <w:rFonts w:ascii="Times New Roman" w:hAnsi="Times New Roman" w:cs="Times New Roman"/>
          <w:i/>
          <w:iCs/>
          <w:sz w:val="20"/>
          <w:szCs w:val="20"/>
        </w:rPr>
      </w:r>
    </w:p>
    <w:p w14:paraId="6EE67FBF" w14:textId="46A298AC">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00059139" w14:textId="77777777">
      <w:pPr>
        <w:pBdr/>
        <w:spacing w:after="0"/>
        <w:ind w:firstLine="720"/>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Para consolidar as informações, a Tabela 3 apresenta a distribuição do escore de risco processual. Paralelamente, a Tabela 4 documenta a comparação entre a contratação direta e a via competitiva.</w:t>
      </w:r>
      <w:r>
        <w:rPr>
          <w:rFonts w:ascii="Times New Roman" w:hAnsi="Times New Roman" w:eastAsia="Times New Roman" w:cs="Times New Roman"/>
        </w:rPr>
      </w:r>
      <w:r>
        <w:rPr>
          <w:rFonts w:ascii="Times New Roman" w:hAnsi="Times New Roman" w:cs="Times New Roman"/>
        </w:rPr>
      </w:r>
    </w:p>
    <w:p w14:paraId="1F135863" w14:textId="37D2E401">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0BF28ED3" w14:textId="459FD828">
      <w:pPr>
        <w:pBdr/>
        <w:spacing w:after="0"/>
        <w:ind/>
        <w:jc w:val="both"/>
        <w:rPr>
          <w:rFonts w:ascii="Times New Roman" w:hAnsi="Times New Roman" w:eastAsia="Times New Roman" w:cs="Times New Roman"/>
          <w:sz w:val="20"/>
          <w:szCs w:val="20"/>
        </w:rPr>
      </w:pPr>
      <w:r>
        <w:rPr>
          <w:rFonts w:ascii="Times New Roman" w:hAnsi="Times New Roman" w:eastAsia="Times New Roman" w:cs="Times New Roman"/>
          <w:b/>
          <w:bCs/>
          <w:sz w:val="20"/>
          <w:szCs w:val="20"/>
        </w:rPr>
        <w:t xml:space="preserve">Tabela 3.</w:t>
      </w:r>
      <w:r>
        <w:rPr>
          <w:rFonts w:ascii="Times New Roman" w:hAnsi="Times New Roman" w:eastAsia="Times New Roman" w:cs="Times New Roman"/>
          <w:sz w:val="20"/>
          <w:szCs w:val="20"/>
        </w:rPr>
        <w:t xml:space="preserve"> </w:t>
      </w:r>
      <w:r>
        <w:rPr>
          <w:rFonts w:ascii="Times New Roman" w:hAnsi="Times New Roman" w:cs="Times New Roman"/>
          <w:sz w:val="20"/>
          <w:szCs w:val="20"/>
        </w:rPr>
      </w:r>
      <w:r>
        <w:rPr>
          <w:rFonts w:ascii="Times New Roman" w:hAnsi="Times New Roman" w:eastAsia="Times New Roman" w:cs="Times New Roman"/>
          <w:sz w:val="20"/>
          <w:szCs w:val="20"/>
        </w:rPr>
      </w:r>
    </w:p>
    <w:p w14:paraId="6EDB686E">
      <w:pPr>
        <w:pBdr/>
        <w:spacing w:after="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Distribuição do Escore de Risco Processual</w:t>
      </w:r>
      <w:r>
        <w:rPr>
          <w:rFonts w:ascii="Times New Roman" w:hAnsi="Times New Roman" w:eastAsia="Times New Roman" w:cs="Times New Roman"/>
          <w:sz w:val="20"/>
          <w:szCs w:val="20"/>
        </w:rPr>
      </w:r>
      <w:r>
        <w:rPr>
          <w:rFonts w:ascii="Times New Roman" w:hAnsi="Times New Roman" w:cs="Times New Roman"/>
          <w:sz w:val="20"/>
          <w:szCs w:val="20"/>
        </w:rPr>
      </w:r>
    </w:p>
    <w:tbl>
      <w:tblPr>
        <w:tblStyle w:val="959"/>
        <w:tblW w:w="0" w:type="auto"/>
        <w:tblBorders/>
        <w:tblLook w:val="06A0" w:firstRow="1" w:lastRow="0" w:firstColumn="1" w:lastColumn="0" w:noHBand="1" w:noVBand="1"/>
      </w:tblPr>
      <w:tblGrid>
        <w:gridCol w:w="1522"/>
        <w:gridCol w:w="1522"/>
        <w:gridCol w:w="1522"/>
      </w:tblGrid>
      <w:tr>
        <w:trPr>
          <w:trHeight w:val="300"/>
        </w:trPr>
        <w:tc>
          <w:tcPr>
            <w:tcBorders/>
            <w:tcW w:w="1522" w:type="dxa"/>
            <w:vAlign w:val="center"/>
          </w:tcPr>
          <w:p w14:paraId="74DF2D3E" w14:textId="010FBFDD">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Escore</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522" w:type="dxa"/>
            <w:vAlign w:val="center"/>
          </w:tcPr>
          <w:p w14:paraId="37D24000" w14:textId="1B225B30">
            <w:pPr>
              <w:pBdr/>
              <w:spacing/>
              <w:ind/>
              <w:rPr>
                <w:rFonts w:ascii="Times New Roman" w:hAnsi="Times New Roman" w:cs="Times New Roman"/>
                <w:b w:val="0"/>
                <w:bCs w:val="0"/>
                <w:sz w:val="20"/>
                <w:szCs w:val="20"/>
              </w:rPr>
            </w:pPr>
            <w:r>
              <w:rPr>
                <w:rFonts w:ascii="Times New Roman" w:hAnsi="Times New Roman" w:eastAsia="Times New Roman" w:cs="Times New Roman"/>
                <w:sz w:val="20"/>
                <w:szCs w:val="20"/>
              </w:rPr>
              <w:t xml:space="preserve">Quantidade</w:t>
            </w:r>
            <w:r>
              <w:rPr>
                <w:rFonts w:ascii="Times New Roman" w:hAnsi="Times New Roman" w:eastAsia="Times New Roman" w:cs="Times New Roman"/>
                <w:b w:val="0"/>
                <w:bCs w:val="0"/>
                <w:sz w:val="20"/>
                <w:szCs w:val="20"/>
              </w:rPr>
            </w:r>
            <w:r>
              <w:rPr>
                <w:rFonts w:ascii="Times New Roman" w:hAnsi="Times New Roman" w:cs="Times New Roman"/>
                <w:b w:val="0"/>
                <w:bCs w:val="0"/>
                <w:sz w:val="20"/>
                <w:szCs w:val="20"/>
              </w:rPr>
            </w:r>
          </w:p>
        </w:tc>
        <w:tc>
          <w:tcPr>
            <w:tcBorders/>
            <w:tcW w:w="1522" w:type="dxa"/>
            <w:vAlign w:val="center"/>
          </w:tcPr>
          <w:p w14:paraId="06BE5551" w14:textId="42F2CF5A">
            <w:pPr>
              <w:pBdr/>
              <w:spacing/>
              <w:ind/>
              <w:rPr>
                <w:rFonts w:ascii="Times New Roman" w:hAnsi="Times New Roman" w:cs="Times New Roman"/>
                <w:b w:val="0"/>
                <w:bCs w:val="0"/>
                <w:sz w:val="20"/>
                <w:szCs w:val="20"/>
              </w:rPr>
            </w:pPr>
            <w:r>
              <w:rPr>
                <w:rFonts w:ascii="Times New Roman" w:hAnsi="Times New Roman" w:eastAsia="Times New Roman" w:cs="Times New Roman"/>
                <w:sz w:val="20"/>
                <w:szCs w:val="20"/>
              </w:rPr>
              <w:t xml:space="preserve">Percentual</w:t>
            </w:r>
            <w:r>
              <w:rPr>
                <w:rFonts w:ascii="Times New Roman" w:hAnsi="Times New Roman" w:eastAsia="Times New Roman" w:cs="Times New Roman"/>
                <w:b w:val="0"/>
                <w:bCs w:val="0"/>
                <w:sz w:val="20"/>
                <w:szCs w:val="20"/>
              </w:rPr>
            </w:r>
            <w:r>
              <w:rPr>
                <w:rFonts w:ascii="Times New Roman" w:hAnsi="Times New Roman" w:cs="Times New Roman"/>
                <w:b w:val="0"/>
                <w:bCs w:val="0"/>
                <w:sz w:val="20"/>
                <w:szCs w:val="20"/>
              </w:rPr>
            </w:r>
          </w:p>
        </w:tc>
      </w:tr>
      <w:tr>
        <w:trPr>
          <w:trHeight w:val="300"/>
        </w:trPr>
        <w:tc>
          <w:tcPr>
            <w:tcBorders/>
            <w:tcW w:w="1522" w:type="dxa"/>
            <w:vAlign w:val="center"/>
          </w:tcPr>
          <w:p w14:paraId="7D65A1DF" w14:textId="408FF77B">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0 (Baixo)</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522" w:type="dxa"/>
            <w:vAlign w:val="center"/>
          </w:tcPr>
          <w:p w14:paraId="43075605" w14:textId="348D3BCA">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30.077</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522" w:type="dxa"/>
            <w:vAlign w:val="center"/>
          </w:tcPr>
          <w:p w14:paraId="13941B5B" w14:textId="4FC31F05">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11,0%</w:t>
            </w:r>
            <w:r>
              <w:rPr>
                <w:rFonts w:ascii="Times New Roman" w:hAnsi="Times New Roman" w:eastAsia="Times New Roman" w:cs="Times New Roman"/>
                <w:sz w:val="20"/>
                <w:szCs w:val="20"/>
              </w:rPr>
            </w:r>
            <w:r>
              <w:rPr>
                <w:rFonts w:ascii="Times New Roman" w:hAnsi="Times New Roman" w:cs="Times New Roman"/>
                <w:sz w:val="20"/>
                <w:szCs w:val="20"/>
              </w:rPr>
            </w:r>
          </w:p>
        </w:tc>
      </w:tr>
      <w:tr>
        <w:trPr>
          <w:trHeight w:val="300"/>
        </w:trPr>
        <w:tc>
          <w:tcPr>
            <w:tcBorders/>
            <w:tcW w:w="1522" w:type="dxa"/>
            <w:vAlign w:val="center"/>
          </w:tcPr>
          <w:p w14:paraId="266D86E0" w14:textId="3DDFADF3">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1 (Médio)</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522" w:type="dxa"/>
            <w:vAlign w:val="center"/>
          </w:tcPr>
          <w:p w14:paraId="024C717B" w14:textId="2C6B1130">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196.184</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522" w:type="dxa"/>
            <w:vAlign w:val="center"/>
          </w:tcPr>
          <w:p w14:paraId="281A869F" w14:textId="01075DFF">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71,8%</w:t>
            </w:r>
            <w:r>
              <w:rPr>
                <w:rFonts w:ascii="Times New Roman" w:hAnsi="Times New Roman" w:eastAsia="Times New Roman" w:cs="Times New Roman"/>
                <w:sz w:val="20"/>
                <w:szCs w:val="20"/>
              </w:rPr>
            </w:r>
            <w:r>
              <w:rPr>
                <w:rFonts w:ascii="Times New Roman" w:hAnsi="Times New Roman" w:cs="Times New Roman"/>
                <w:sz w:val="20"/>
                <w:szCs w:val="20"/>
              </w:rPr>
            </w:r>
          </w:p>
        </w:tc>
      </w:tr>
      <w:tr>
        <w:trPr>
          <w:trHeight w:val="300"/>
        </w:trPr>
        <w:tc>
          <w:tcPr>
            <w:tcBorders/>
            <w:tcW w:w="1522" w:type="dxa"/>
            <w:vAlign w:val="center"/>
          </w:tcPr>
          <w:p w14:paraId="44579C4F" w14:textId="3282A559">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2 (Alto)</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522" w:type="dxa"/>
            <w:vAlign w:val="center"/>
          </w:tcPr>
          <w:p w14:paraId="3043B4A1" w14:textId="50F47E5F">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46.870</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522" w:type="dxa"/>
            <w:vAlign w:val="center"/>
          </w:tcPr>
          <w:p w14:paraId="21218831" w14:textId="01F37F66">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17,2%</w:t>
            </w:r>
            <w:r>
              <w:rPr>
                <w:rFonts w:ascii="Times New Roman" w:hAnsi="Times New Roman" w:eastAsia="Times New Roman" w:cs="Times New Roman"/>
                <w:sz w:val="20"/>
                <w:szCs w:val="20"/>
              </w:rPr>
            </w:r>
            <w:r>
              <w:rPr>
                <w:rFonts w:ascii="Times New Roman" w:hAnsi="Times New Roman" w:cs="Times New Roman"/>
                <w:sz w:val="20"/>
                <w:szCs w:val="20"/>
              </w:rPr>
            </w:r>
          </w:p>
        </w:tc>
      </w:tr>
      <w:tr>
        <w:trPr>
          <w:trHeight w:val="300"/>
        </w:trPr>
        <w:tc>
          <w:tcPr>
            <w:tcBorders/>
            <w:tcW w:w="1522" w:type="dxa"/>
            <w:vAlign w:val="center"/>
          </w:tcPr>
          <w:p w14:paraId="6A1380F5" w14:textId="0A98C069">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3 (Crítico)</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522" w:type="dxa"/>
            <w:vAlign w:val="center"/>
          </w:tcPr>
          <w:p w14:paraId="25356261" w14:textId="3A72DDFD">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178</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522" w:type="dxa"/>
            <w:vAlign w:val="center"/>
          </w:tcPr>
          <w:p w14:paraId="299C7032" w14:textId="714331A2">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0,07%</w:t>
            </w:r>
            <w:r>
              <w:rPr>
                <w:rFonts w:ascii="Times New Roman" w:hAnsi="Times New Roman" w:eastAsia="Times New Roman" w:cs="Times New Roman"/>
                <w:sz w:val="20"/>
                <w:szCs w:val="20"/>
              </w:rPr>
            </w:r>
            <w:r>
              <w:rPr>
                <w:rFonts w:ascii="Times New Roman" w:hAnsi="Times New Roman" w:cs="Times New Roman"/>
                <w:sz w:val="20"/>
                <w:szCs w:val="20"/>
              </w:rPr>
            </w:r>
          </w:p>
        </w:tc>
      </w:tr>
    </w:tbl>
    <w:p w14:paraId="619C0B61" w14:textId="528C6D6E">
      <w:pPr>
        <w:pBdr/>
        <w:spacing w:after="0"/>
        <w:ind/>
        <w:jc w:val="both"/>
        <w:rPr>
          <w:rFonts w:ascii="Times New Roman" w:hAnsi="Times New Roman" w:cs="Times New Roman"/>
          <w:i/>
          <w:iCs/>
          <w:sz w:val="20"/>
          <w:szCs w:val="20"/>
        </w:rPr>
      </w:pPr>
      <w:r>
        <w:rPr>
          <w:rFonts w:ascii="Times New Roman" w:hAnsi="Times New Roman" w:eastAsia="Times New Roman" w:cs="Times New Roman"/>
          <w:b w:val="0"/>
          <w:bCs w:val="0"/>
          <w:sz w:val="20"/>
          <w:szCs w:val="20"/>
        </w:rPr>
        <w:t xml:space="preserve">Fonte:</w:t>
      </w:r>
      <w:r>
        <w:rPr>
          <w:rFonts w:ascii="Times New Roman" w:hAnsi="Times New Roman" w:eastAsia="Times New Roman" w:cs="Times New Roman"/>
          <w:b w:val="0"/>
          <w:bCs w:val="0"/>
          <w:sz w:val="20"/>
          <w:szCs w:val="20"/>
        </w:rPr>
        <w:t xml:space="preserve"> E</w:t>
      </w:r>
      <w:r>
        <w:rPr>
          <w:rFonts w:ascii="Times New Roman" w:hAnsi="Times New Roman" w:eastAsia="Times New Roman" w:cs="Times New Roman"/>
          <w:sz w:val="20"/>
          <w:szCs w:val="20"/>
        </w:rPr>
        <w:t xml:space="preserve">laboração própria com base em dados do PNCP (2024).</w:t>
      </w:r>
      <w:r>
        <w:rPr>
          <w:rFonts w:ascii="Times New Roman" w:hAnsi="Times New Roman" w:eastAsia="Times New Roman" w:cs="Times New Roman"/>
          <w:i/>
          <w:iCs/>
          <w:sz w:val="20"/>
          <w:szCs w:val="20"/>
        </w:rPr>
      </w:r>
      <w:r>
        <w:rPr>
          <w:rFonts w:ascii="Times New Roman" w:hAnsi="Times New Roman" w:cs="Times New Roman"/>
          <w:i/>
          <w:iCs/>
          <w:sz w:val="20"/>
          <w:szCs w:val="20"/>
        </w:rPr>
      </w:r>
    </w:p>
    <w:p w14:paraId="456A3436" w14:textId="68E06139">
      <w:pPr>
        <w:pBdr/>
        <w:spacing w:after="0"/>
        <w:ind/>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EA97C34" w14:textId="11108B30">
      <w:pPr>
        <w:pBdr/>
        <w:spacing w:after="0"/>
        <w:ind/>
        <w:jc w:val="both"/>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 xml:space="preserve">Tabela 4. </w:t>
      </w:r>
      <w:r>
        <w:rPr>
          <w:rFonts w:ascii="Times New Roman" w:hAnsi="Times New Roman" w:cs="Times New Roman"/>
          <w:b/>
          <w:bCs/>
          <w:sz w:val="20"/>
          <w:szCs w:val="20"/>
        </w:rPr>
      </w:r>
      <w:r>
        <w:rPr>
          <w:rFonts w:ascii="Times New Roman" w:hAnsi="Times New Roman" w:eastAsia="Times New Roman" w:cs="Times New Roman"/>
          <w:b/>
          <w:bCs/>
          <w:sz w:val="20"/>
          <w:szCs w:val="20"/>
        </w:rPr>
      </w:r>
    </w:p>
    <w:p w14:paraId="06040B18">
      <w:pPr>
        <w:pBdr/>
        <w:spacing w:after="0"/>
        <w:ind/>
        <w:jc w:val="both"/>
        <w:rPr>
          <w:rFonts w:ascii="Times New Roman" w:hAnsi="Times New Roman" w:cs="Times New Roman"/>
          <w:b/>
          <w:bCs/>
          <w:sz w:val="20"/>
          <w:szCs w:val="20"/>
        </w:rPr>
      </w:pPr>
      <w:r>
        <w:rPr>
          <w:rFonts w:ascii="Times New Roman" w:hAnsi="Times New Roman" w:eastAsia="Times New Roman" w:cs="Times New Roman"/>
          <w:b/>
          <w:bCs/>
          <w:sz w:val="20"/>
          <w:szCs w:val="20"/>
        </w:rPr>
      </w:r>
      <w:r>
        <w:rPr>
          <w:rFonts w:ascii="Times New Roman" w:hAnsi="Times New Roman" w:eastAsia="Times New Roman" w:cs="Times New Roman"/>
          <w:sz w:val="20"/>
          <w:szCs w:val="20"/>
        </w:rPr>
        <w:t xml:space="preserve">Comparação entre Contratação Direta e Competitiva</w:t>
      </w:r>
      <w:r>
        <w:rPr>
          <w:rFonts w:ascii="Times New Roman" w:hAnsi="Times New Roman" w:eastAsia="Times New Roman" w:cs="Times New Roman"/>
          <w:b/>
          <w:bCs/>
          <w:sz w:val="20"/>
          <w:szCs w:val="20"/>
        </w:rPr>
      </w:r>
      <w:r>
        <w:rPr>
          <w:rFonts w:ascii="Times New Roman" w:hAnsi="Times New Roman" w:cs="Times New Roman"/>
          <w:b/>
          <w:bCs/>
          <w:sz w:val="20"/>
          <w:szCs w:val="20"/>
        </w:rPr>
      </w:r>
    </w:p>
    <w:tbl>
      <w:tblPr>
        <w:tblStyle w:val="959"/>
        <w:tblW w:w="0" w:type="auto"/>
        <w:tblBorders/>
        <w:tblLook w:val="06A0" w:firstRow="1" w:lastRow="0" w:firstColumn="1" w:lastColumn="0" w:noHBand="1" w:noVBand="1"/>
      </w:tblPr>
      <w:tblGrid>
        <w:gridCol w:w="1859"/>
        <w:gridCol w:w="1859"/>
        <w:gridCol w:w="1859"/>
      </w:tblGrid>
      <w:tr>
        <w:trPr>
          <w:trHeight w:val="305"/>
        </w:trPr>
        <w:tc>
          <w:tcPr>
            <w:tcBorders/>
            <w:tcW w:w="1859" w:type="dxa"/>
            <w:vAlign w:val="center"/>
          </w:tcPr>
          <w:p w14:paraId="0962E9EB" w14:textId="043B7209">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Métrica</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859" w:type="dxa"/>
            <w:vAlign w:val="center"/>
          </w:tcPr>
          <w:p w14:paraId="75A8E6D9" w14:textId="44E1DBE1">
            <w:pPr>
              <w:pBdr/>
              <w:spacing/>
              <w:ind/>
              <w:rPr>
                <w:rFonts w:ascii="Times New Roman" w:hAnsi="Times New Roman" w:cs="Times New Roman"/>
                <w:b w:val="0"/>
                <w:bCs w:val="0"/>
                <w:sz w:val="20"/>
                <w:szCs w:val="20"/>
              </w:rPr>
            </w:pPr>
            <w:r>
              <w:rPr>
                <w:rFonts w:ascii="Times New Roman" w:hAnsi="Times New Roman" w:eastAsia="Times New Roman" w:cs="Times New Roman"/>
                <w:sz w:val="20"/>
                <w:szCs w:val="20"/>
              </w:rPr>
              <w:t xml:space="preserve">Direta</w:t>
            </w:r>
            <w:r>
              <w:rPr>
                <w:rFonts w:ascii="Times New Roman" w:hAnsi="Times New Roman" w:eastAsia="Times New Roman" w:cs="Times New Roman"/>
                <w:b w:val="0"/>
                <w:bCs w:val="0"/>
                <w:sz w:val="20"/>
                <w:szCs w:val="20"/>
              </w:rPr>
            </w:r>
            <w:r>
              <w:rPr>
                <w:rFonts w:ascii="Times New Roman" w:hAnsi="Times New Roman" w:cs="Times New Roman"/>
                <w:b w:val="0"/>
                <w:bCs w:val="0"/>
                <w:sz w:val="20"/>
                <w:szCs w:val="20"/>
              </w:rPr>
            </w:r>
          </w:p>
        </w:tc>
        <w:tc>
          <w:tcPr>
            <w:tcBorders/>
            <w:tcW w:w="1859" w:type="dxa"/>
            <w:vAlign w:val="center"/>
          </w:tcPr>
          <w:p w14:paraId="38967069" w14:textId="03DF401A">
            <w:pPr>
              <w:pBdr/>
              <w:spacing/>
              <w:ind/>
              <w:rPr>
                <w:rFonts w:ascii="Times New Roman" w:hAnsi="Times New Roman" w:cs="Times New Roman"/>
                <w:b w:val="0"/>
                <w:bCs w:val="0"/>
                <w:sz w:val="20"/>
                <w:szCs w:val="20"/>
              </w:rPr>
            </w:pPr>
            <w:r>
              <w:rPr>
                <w:rFonts w:ascii="Times New Roman" w:hAnsi="Times New Roman" w:eastAsia="Times New Roman" w:cs="Times New Roman"/>
                <w:sz w:val="20"/>
                <w:szCs w:val="20"/>
              </w:rPr>
              <w:t xml:space="preserve">Competitiva</w:t>
            </w:r>
            <w:r>
              <w:rPr>
                <w:rFonts w:ascii="Times New Roman" w:hAnsi="Times New Roman" w:eastAsia="Times New Roman" w:cs="Times New Roman"/>
                <w:b w:val="0"/>
                <w:bCs w:val="0"/>
                <w:sz w:val="20"/>
                <w:szCs w:val="20"/>
              </w:rPr>
            </w:r>
            <w:r>
              <w:rPr>
                <w:rFonts w:ascii="Times New Roman" w:hAnsi="Times New Roman" w:cs="Times New Roman"/>
                <w:b w:val="0"/>
                <w:bCs w:val="0"/>
                <w:sz w:val="20"/>
                <w:szCs w:val="20"/>
              </w:rPr>
            </w:r>
          </w:p>
        </w:tc>
      </w:tr>
      <w:tr>
        <w:trPr>
          <w:trHeight w:val="305"/>
        </w:trPr>
        <w:tc>
          <w:tcPr>
            <w:tcBorders/>
            <w:tcW w:w="1859" w:type="dxa"/>
            <w:vAlign w:val="center"/>
          </w:tcPr>
          <w:p w14:paraId="4F7649BD" w14:textId="5C1CB9D6">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Quantidade</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859" w:type="dxa"/>
            <w:vAlign w:val="center"/>
          </w:tcPr>
          <w:p w14:paraId="3C252DAB" w14:textId="177C02CE">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169.595</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859" w:type="dxa"/>
            <w:vAlign w:val="center"/>
          </w:tcPr>
          <w:p w14:paraId="49D0B155" w14:textId="4116DE24">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103.714</w:t>
            </w:r>
            <w:r>
              <w:rPr>
                <w:rFonts w:ascii="Times New Roman" w:hAnsi="Times New Roman" w:eastAsia="Times New Roman" w:cs="Times New Roman"/>
                <w:sz w:val="20"/>
                <w:szCs w:val="20"/>
              </w:rPr>
            </w:r>
            <w:r>
              <w:rPr>
                <w:rFonts w:ascii="Times New Roman" w:hAnsi="Times New Roman" w:cs="Times New Roman"/>
                <w:sz w:val="20"/>
                <w:szCs w:val="20"/>
              </w:rPr>
            </w:r>
          </w:p>
        </w:tc>
      </w:tr>
      <w:tr>
        <w:trPr>
          <w:trHeight w:val="305"/>
        </w:trPr>
        <w:tc>
          <w:tcPr>
            <w:tcBorders/>
            <w:tcW w:w="1859" w:type="dxa"/>
            <w:vAlign w:val="center"/>
          </w:tcPr>
          <w:p w14:paraId="7ECC4734" w14:textId="293E7D5F">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Valor médio</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859" w:type="dxa"/>
            <w:vAlign w:val="center"/>
          </w:tcPr>
          <w:p w14:paraId="3F7A722F" w14:textId="3BD4AFD6">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R$ 574.392</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859" w:type="dxa"/>
            <w:vAlign w:val="center"/>
          </w:tcPr>
          <w:p w14:paraId="0940D617" w14:textId="6D27C058">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R$ 3.249.411</w:t>
            </w:r>
            <w:r>
              <w:rPr>
                <w:rFonts w:ascii="Times New Roman" w:hAnsi="Times New Roman" w:eastAsia="Times New Roman" w:cs="Times New Roman"/>
                <w:sz w:val="20"/>
                <w:szCs w:val="20"/>
              </w:rPr>
            </w:r>
            <w:r>
              <w:rPr>
                <w:rFonts w:ascii="Times New Roman" w:hAnsi="Times New Roman" w:cs="Times New Roman"/>
                <w:sz w:val="20"/>
                <w:szCs w:val="20"/>
              </w:rPr>
            </w:r>
          </w:p>
        </w:tc>
      </w:tr>
      <w:tr>
        <w:trPr>
          <w:trHeight w:val="305"/>
        </w:trPr>
        <w:tc>
          <w:tcPr>
            <w:tcBorders/>
            <w:tcW w:w="1859" w:type="dxa"/>
            <w:vAlign w:val="center"/>
          </w:tcPr>
          <w:p w14:paraId="6034C871" w14:textId="07AFC0EA">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Escore médio</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859" w:type="dxa"/>
            <w:vAlign w:val="center"/>
          </w:tcPr>
          <w:p w14:paraId="0A63A341" w14:textId="51301085">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1,28</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859" w:type="dxa"/>
            <w:vAlign w:val="center"/>
          </w:tcPr>
          <w:p w14:paraId="7648460E" w14:textId="05036175">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0,71</w:t>
            </w:r>
            <w:r>
              <w:rPr>
                <w:rFonts w:ascii="Times New Roman" w:hAnsi="Times New Roman" w:eastAsia="Times New Roman" w:cs="Times New Roman"/>
                <w:sz w:val="20"/>
                <w:szCs w:val="20"/>
              </w:rPr>
            </w:r>
            <w:r>
              <w:rPr>
                <w:rFonts w:ascii="Times New Roman" w:hAnsi="Times New Roman" w:cs="Times New Roman"/>
                <w:sz w:val="20"/>
                <w:szCs w:val="20"/>
              </w:rPr>
            </w:r>
          </w:p>
        </w:tc>
      </w:tr>
      <w:tr>
        <w:trPr>
          <w:trHeight w:val="305"/>
        </w:trPr>
        <w:tc>
          <w:tcPr>
            <w:tcBorders/>
            <w:tcW w:w="1859" w:type="dxa"/>
            <w:vAlign w:val="center"/>
          </w:tcPr>
          <w:p w14:paraId="1AE7184C" w14:textId="4B8CE415">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Taxa de inovação</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859" w:type="dxa"/>
            <w:vAlign w:val="center"/>
          </w:tcPr>
          <w:p w14:paraId="436BAA97" w14:textId="53766EC5">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1,15%</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859" w:type="dxa"/>
            <w:vAlign w:val="center"/>
          </w:tcPr>
          <w:p w14:paraId="485E609A" w14:textId="5326C40B">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0,82%</w:t>
            </w:r>
            <w:r>
              <w:rPr>
                <w:rFonts w:ascii="Times New Roman" w:hAnsi="Times New Roman" w:eastAsia="Times New Roman" w:cs="Times New Roman"/>
                <w:sz w:val="20"/>
                <w:szCs w:val="20"/>
              </w:rPr>
            </w:r>
            <w:r>
              <w:rPr>
                <w:rFonts w:ascii="Times New Roman" w:hAnsi="Times New Roman" w:cs="Times New Roman"/>
                <w:sz w:val="20"/>
                <w:szCs w:val="20"/>
              </w:rPr>
            </w:r>
          </w:p>
        </w:tc>
      </w:tr>
    </w:tbl>
    <w:p w14:paraId="05767854" w14:textId="247BB8C5">
      <w:pPr>
        <w:pBdr/>
        <w:spacing w:after="0"/>
        <w:ind/>
        <w:jc w:val="both"/>
        <w:rPr>
          <w:rFonts w:ascii="Times New Roman" w:hAnsi="Times New Roman" w:cs="Times New Roman"/>
          <w:b w:val="0"/>
          <w:bCs w:val="0"/>
          <w:sz w:val="20"/>
          <w:szCs w:val="20"/>
        </w:rPr>
      </w:pPr>
      <w:r>
        <w:rPr>
          <w:rFonts w:ascii="Times New Roman" w:hAnsi="Times New Roman" w:eastAsia="Times New Roman" w:cs="Times New Roman"/>
          <w:b w:val="0"/>
          <w:bCs w:val="0"/>
          <w:sz w:val="20"/>
          <w:szCs w:val="20"/>
        </w:rPr>
        <w:t xml:space="preserve">Fonte: </w:t>
      </w:r>
      <w:r>
        <w:rPr>
          <w:rFonts w:ascii="Times New Roman" w:hAnsi="Times New Roman" w:eastAsia="Times New Roman" w:cs="Times New Roman"/>
          <w:b w:val="0"/>
          <w:bCs w:val="0"/>
          <w:sz w:val="20"/>
          <w:szCs w:val="20"/>
        </w:rPr>
        <w:t xml:space="preserve">Elaboração própria com base em dados do PNCP (2024).</w:t>
      </w:r>
      <w:r>
        <w:rPr>
          <w:rFonts w:ascii="Times New Roman" w:hAnsi="Times New Roman" w:eastAsia="Times New Roman" w:cs="Times New Roman"/>
          <w:b w:val="0"/>
          <w:bCs w:val="0"/>
          <w:sz w:val="20"/>
          <w:szCs w:val="20"/>
        </w:rPr>
      </w:r>
      <w:r>
        <w:rPr>
          <w:rFonts w:ascii="Times New Roman" w:hAnsi="Times New Roman" w:cs="Times New Roman"/>
          <w:b w:val="0"/>
          <w:bCs w:val="0"/>
          <w:sz w:val="20"/>
          <w:szCs w:val="20"/>
        </w:rPr>
      </w:r>
    </w:p>
    <w:p w14:paraId="46D76954">
      <w:pPr>
        <w:pBdr/>
        <w:spacing w:after="0"/>
        <w:ind/>
        <w:jc w:val="both"/>
        <w:rPr>
          <w:rFonts w:ascii="Times New Roman" w:hAnsi="Times New Roman" w:cs="Times New Roman"/>
          <w:b/>
          <w:bCs/>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bookmarkStart w:id="25" w:name="resultados-da-modelagem"/>
      <w:r>
        <w:rPr>
          <w:rFonts w:ascii="Times New Roman" w:hAnsi="Times New Roman" w:eastAsia="Times New Roman" w:cs="Times New Roman"/>
          <w:b/>
          <w:bCs/>
          <w:highlight w:val="none"/>
        </w:rPr>
      </w:r>
      <w:bookmarkEnd w:id="24"/>
      <w:r>
        <w:rPr>
          <w:rFonts w:ascii="Times New Roman" w:hAnsi="Times New Roman" w:eastAsia="Times New Roman" w:cs="Times New Roman"/>
          <w:b/>
          <w:bCs/>
          <w:highlight w:val="none"/>
        </w:rPr>
      </w:r>
      <w:r>
        <w:rPr>
          <w:rFonts w:ascii="Times New Roman" w:hAnsi="Times New Roman" w:cs="Times New Roman"/>
          <w:b/>
          <w:bCs/>
        </w:rPr>
      </w:r>
    </w:p>
    <w:p w14:paraId="1E4D124B" w14:textId="77777777">
      <w:pPr>
        <w:pBdr/>
        <w:spacing w:after="0"/>
        <w:ind/>
        <w:jc w:val="both"/>
        <w:rPr>
          <w:rFonts w:ascii="Times New Roman" w:hAnsi="Times New Roman" w:eastAsia="Times New Roman" w:cs="Times New Roman"/>
          <w:b/>
          <w:bCs/>
          <w:highlight w:val="none"/>
        </w:rPr>
      </w:pPr>
      <w:r>
        <w:rPr>
          <w:rFonts w:ascii="Times New Roman" w:hAnsi="Times New Roman" w:eastAsia="Times New Roman" w:cs="Times New Roman"/>
          <w:b/>
          <w:bCs/>
        </w:rPr>
        <w:t xml:space="preserve">4.5 Resultados da Modelagem</w:t>
      </w:r>
      <w:r>
        <w:rPr>
          <w:rFonts w:ascii="Times New Roman" w:hAnsi="Times New Roman" w:eastAsia="Times New Roman" w:cs="Times New Roman"/>
          <w:b/>
          <w:bCs/>
        </w:rPr>
      </w:r>
      <w:r>
        <w:rPr>
          <w:rFonts w:ascii="Times New Roman" w:hAnsi="Times New Roman" w:eastAsia="Times New Roman" w:cs="Times New Roman"/>
          <w:b/>
          <w:bCs/>
          <w:highlight w:val="none"/>
        </w:rPr>
      </w:r>
    </w:p>
    <w:p w14:paraId="7BB9CC4C">
      <w:pPr>
        <w:pBdr/>
        <w:spacing w:after="0"/>
        <w:ind w:firstLine="720"/>
        <w:jc w:val="both"/>
        <w:rPr/>
      </w:pPr>
      <w:r>
        <w:rPr>
          <w:rFonts w:ascii="Times New Roman" w:hAnsi="Times New Roman" w:eastAsia="Times New Roman" w:cs="Times New Roman"/>
        </w:rPr>
        <w:t xml:space="preserve">O</w:t>
      </w:r>
      <w:r>
        <w:rPr>
          <w:rFonts w:ascii="Times New Roman" w:hAnsi="Times New Roman" w:eastAsia="Times New Roman" w:cs="Times New Roman"/>
        </w:rPr>
        <w:t xml:space="preserve">s testes empíricos foram executados comparando o desempenho dos modelos sob duas abordagens de especificação distintas. No cenário do Modelo A, que incorpora a totalidade das variáveis preditoras, o algoritmo de floresta aleatória alcançou a acurácia de 1,</w:t>
      </w:r>
      <w:r>
        <w:rPr>
          <w:rFonts w:ascii="Times New Roman" w:hAnsi="Times New Roman" w:eastAsia="Times New Roman" w:cs="Times New Roman"/>
        </w:rPr>
        <w:t xml:space="preserve">0000. Por outro lado, a regressão linear múltipla operando como modelo basal obteve o índice de 0,8514 para a mesma base informacional.</w:t>
      </w:r>
      <w:r>
        <w:rPr>
          <w:rFonts w:ascii="Times New Roman" w:hAnsi="Times New Roman" w:eastAsia="Times New Roman" w:cs="Times New Roman"/>
        </w:rPr>
      </w:r>
      <w:r/>
    </w:p>
    <w:p w14:paraId="00EBB571">
      <w:pPr>
        <w:pBdr/>
        <w:spacing w:after="0"/>
        <w:ind w:firstLine="720"/>
        <w:jc w:val="both"/>
        <w:rPr>
          <w:rFonts w:ascii="Times New Roman" w:hAnsi="Times New Roman" w:cs="Times New Roman"/>
        </w:rPr>
      </w:pPr>
      <w:r>
        <w:rPr>
          <w:rFonts w:ascii="Times New Roman" w:hAnsi="Times New Roman" w:eastAsia="Times New Roman" w:cs="Times New Roman"/>
        </w:rPr>
        <w:t xml:space="preserve">N</w:t>
      </w:r>
      <w:r>
        <w:rPr>
          <w:rFonts w:ascii="Times New Roman" w:hAnsi="Times New Roman" w:eastAsia="Times New Roman" w:cs="Times New Roman"/>
        </w:rPr>
        <w:t xml:space="preserve">o cenário do Modelo B, caracterizado pelo expurgo das variáveis de cálculo direto do escore, observou-se uma contração na capacidade inferencial. Especificamente, a acurácia da regressão linear múltipla recuou para o patamar de 0,3213. De modo semelhante, </w:t>
      </w:r>
      <w:r>
        <w:rPr>
          <w:rFonts w:ascii="Times New Roman" w:hAnsi="Times New Roman" w:eastAsia="Times New Roman" w:cs="Times New Roman"/>
        </w:rPr>
        <w:t xml:space="preserve">o modelo de floresta aleatória registou o índice de 0,5829. Consequentemente, essa queda de desempenho comprova os limites dos sinais secundários disponíveis na base e valida a perspetiva de que o escore atua como uma estrutura balizada por regras formais.</w:t>
      </w:r>
      <w:r>
        <w:rPr>
          <w:rFonts w:ascii="Times New Roman" w:hAnsi="Times New Roman" w:eastAsia="Times New Roman" w:cs="Times New Roman"/>
        </w:rPr>
      </w:r>
      <w:r>
        <w:rPr>
          <w:rFonts w:ascii="Times New Roman" w:hAnsi="Times New Roman" w:cs="Times New Roman"/>
        </w:rPr>
      </w:r>
    </w:p>
    <w:p w14:paraId="3C6E2F6F" w14:textId="188833CD">
      <w:pPr>
        <w:pBdr/>
        <w:spacing w:after="0"/>
        <w:ind w:firstLine="720"/>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A Tabela 5 apresenta o desempenho detalhado das abordagens analíticas adotadas.</w:t>
      </w:r>
      <w:r>
        <w:rPr>
          <w:rFonts w:ascii="Times New Roman" w:hAnsi="Times New Roman" w:eastAsia="Times New Roman" w:cs="Times New Roman"/>
        </w:rPr>
      </w:r>
      <w:r>
        <w:rPr>
          <w:rFonts w:ascii="Times New Roman" w:hAnsi="Times New Roman" w:cs="Times New Roman"/>
        </w:rPr>
      </w:r>
    </w:p>
    <w:p w14:paraId="423B640B" w14:textId="1696A585">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312966AF" w14:textId="288A3805">
      <w:pPr>
        <w:pBdr/>
        <w:spacing w:after="0"/>
        <w:ind/>
        <w:jc w:val="both"/>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 xml:space="preserve">Tabela 5. </w:t>
      </w:r>
      <w:r>
        <w:rPr>
          <w:rFonts w:ascii="Times New Roman" w:hAnsi="Times New Roman" w:cs="Times New Roman"/>
          <w:b/>
          <w:bCs/>
          <w:sz w:val="20"/>
          <w:szCs w:val="20"/>
        </w:rPr>
      </w:r>
      <w:r>
        <w:rPr>
          <w:rFonts w:ascii="Times New Roman" w:hAnsi="Times New Roman" w:eastAsia="Times New Roman" w:cs="Times New Roman"/>
          <w:b/>
          <w:bCs/>
          <w:sz w:val="20"/>
          <w:szCs w:val="20"/>
        </w:rPr>
      </w:r>
    </w:p>
    <w:p w14:paraId="04B2ED15">
      <w:pPr>
        <w:pBdr/>
        <w:spacing w:after="0"/>
        <w:ind/>
        <w:jc w:val="both"/>
        <w:rPr>
          <w:rFonts w:ascii="Times New Roman" w:hAnsi="Times New Roman" w:cs="Times New Roman"/>
          <w:b/>
          <w:bCs/>
          <w:sz w:val="20"/>
          <w:szCs w:val="20"/>
        </w:rPr>
      </w:pPr>
      <w:r>
        <w:rPr>
          <w:rFonts w:ascii="Times New Roman" w:hAnsi="Times New Roman" w:eastAsia="Times New Roman" w:cs="Times New Roman"/>
          <w:b/>
          <w:bCs/>
          <w:sz w:val="20"/>
          <w:szCs w:val="20"/>
        </w:rPr>
      </w:r>
      <w:r>
        <w:rPr>
          <w:rFonts w:ascii="Times New Roman" w:hAnsi="Times New Roman" w:eastAsia="Times New Roman" w:cs="Times New Roman"/>
          <w:sz w:val="20"/>
          <w:szCs w:val="20"/>
        </w:rPr>
        <w:t xml:space="preserve">Desempenho dos Modelos</w:t>
      </w:r>
      <w:r>
        <w:rPr>
          <w:rFonts w:ascii="Times New Roman" w:hAnsi="Times New Roman" w:eastAsia="Times New Roman" w:cs="Times New Roman"/>
          <w:b/>
          <w:bCs/>
          <w:sz w:val="20"/>
          <w:szCs w:val="20"/>
        </w:rPr>
      </w:r>
      <w:r>
        <w:rPr>
          <w:rFonts w:ascii="Times New Roman" w:hAnsi="Times New Roman" w:cs="Times New Roman"/>
          <w:b/>
          <w:bCs/>
          <w:sz w:val="20"/>
          <w:szCs w:val="20"/>
        </w:rPr>
      </w:r>
    </w:p>
    <w:tbl>
      <w:tblPr>
        <w:tblStyle w:val="959"/>
        <w:tblW w:w="0" w:type="auto"/>
        <w:tblBorders/>
        <w:tblLook w:val="06A0" w:firstRow="1" w:lastRow="0" w:firstColumn="1" w:lastColumn="0" w:noHBand="1" w:noVBand="1"/>
      </w:tblPr>
      <w:tblGrid>
        <w:gridCol w:w="1444"/>
        <w:gridCol w:w="1444"/>
        <w:gridCol w:w="1444"/>
        <w:gridCol w:w="1444"/>
        <w:gridCol w:w="1444"/>
        <w:gridCol w:w="1444"/>
      </w:tblGrid>
      <w:tr>
        <w:trPr>
          <w:trHeight w:val="300"/>
        </w:trPr>
        <w:tc>
          <w:tcPr>
            <w:tcBorders/>
            <w:tcW w:w="1444" w:type="dxa"/>
            <w:vAlign w:val="center"/>
          </w:tcPr>
          <w:p w14:paraId="75B7B3A9" w14:textId="46A1A0D2">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Modelo</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444" w:type="dxa"/>
            <w:vAlign w:val="center"/>
          </w:tcPr>
          <w:p w14:paraId="51AB60BF" w14:textId="40979E8B">
            <w:pPr>
              <w:pBdr/>
              <w:spacing/>
              <w:ind/>
              <w:rPr>
                <w:rFonts w:ascii="Times New Roman" w:hAnsi="Times New Roman" w:cs="Times New Roman"/>
                <w:b w:val="0"/>
                <w:bCs w:val="0"/>
                <w:sz w:val="20"/>
                <w:szCs w:val="20"/>
              </w:rPr>
            </w:pPr>
            <w:r>
              <w:rPr>
                <w:rFonts w:ascii="Times New Roman" w:hAnsi="Times New Roman" w:eastAsia="Times New Roman" w:cs="Times New Roman"/>
                <w:sz w:val="20"/>
                <w:szCs w:val="20"/>
              </w:rPr>
              <w:t xml:space="preserve">Features</w:t>
            </w:r>
            <w:r>
              <w:rPr>
                <w:rFonts w:ascii="Times New Roman" w:hAnsi="Times New Roman" w:eastAsia="Times New Roman" w:cs="Times New Roman"/>
                <w:b w:val="0"/>
                <w:bCs w:val="0"/>
                <w:sz w:val="20"/>
                <w:szCs w:val="20"/>
              </w:rPr>
            </w:r>
            <w:r>
              <w:rPr>
                <w:rFonts w:ascii="Times New Roman" w:hAnsi="Times New Roman" w:cs="Times New Roman"/>
                <w:b w:val="0"/>
                <w:bCs w:val="0"/>
                <w:sz w:val="20"/>
                <w:szCs w:val="20"/>
              </w:rPr>
            </w:r>
          </w:p>
        </w:tc>
        <w:tc>
          <w:tcPr>
            <w:tcBorders/>
            <w:tcW w:w="1444" w:type="dxa"/>
            <w:vAlign w:val="center"/>
          </w:tcPr>
          <w:p w14:paraId="10BF9255" w14:textId="6C4949E7">
            <w:pPr>
              <w:pBdr/>
              <w:spacing/>
              <w:ind/>
              <w:rPr>
                <w:rFonts w:ascii="Times New Roman" w:hAnsi="Times New Roman" w:cs="Times New Roman"/>
                <w:b w:val="0"/>
                <w:bCs w:val="0"/>
                <w:sz w:val="20"/>
                <w:szCs w:val="20"/>
              </w:rPr>
            </w:pPr>
            <w:r>
              <w:rPr>
                <w:rFonts w:ascii="Times New Roman" w:hAnsi="Times New Roman" w:eastAsia="Times New Roman" w:cs="Times New Roman"/>
                <w:sz w:val="20"/>
                <w:szCs w:val="20"/>
              </w:rPr>
              <w:t xml:space="preserve">Accuracy</w:t>
            </w:r>
            <w:r>
              <w:rPr>
                <w:rFonts w:ascii="Times New Roman" w:hAnsi="Times New Roman" w:eastAsia="Times New Roman" w:cs="Times New Roman"/>
                <w:b w:val="0"/>
                <w:bCs w:val="0"/>
                <w:sz w:val="20"/>
                <w:szCs w:val="20"/>
              </w:rPr>
            </w:r>
            <w:r>
              <w:rPr>
                <w:rFonts w:ascii="Times New Roman" w:hAnsi="Times New Roman" w:cs="Times New Roman"/>
                <w:b w:val="0"/>
                <w:bCs w:val="0"/>
                <w:sz w:val="20"/>
                <w:szCs w:val="20"/>
              </w:rPr>
            </w:r>
          </w:p>
        </w:tc>
        <w:tc>
          <w:tcPr>
            <w:tcBorders/>
            <w:tcW w:w="1444" w:type="dxa"/>
            <w:vAlign w:val="center"/>
          </w:tcPr>
          <w:p w14:paraId="1C89A5D6" w14:textId="60F8563D">
            <w:pPr>
              <w:pBdr/>
              <w:spacing/>
              <w:ind/>
              <w:rPr>
                <w:rFonts w:ascii="Times New Roman" w:hAnsi="Times New Roman" w:cs="Times New Roman"/>
                <w:b w:val="0"/>
                <w:bCs w:val="0"/>
                <w:sz w:val="20"/>
                <w:szCs w:val="20"/>
              </w:rPr>
            </w:pPr>
            <w:r>
              <w:rPr>
                <w:rFonts w:ascii="Times New Roman" w:hAnsi="Times New Roman" w:eastAsia="Times New Roman" w:cs="Times New Roman"/>
                <w:sz w:val="20"/>
                <w:szCs w:val="20"/>
              </w:rPr>
              <w:t xml:space="preserve">Balanced Accuracy</w:t>
            </w:r>
            <w:r>
              <w:rPr>
                <w:rFonts w:ascii="Times New Roman" w:hAnsi="Times New Roman" w:eastAsia="Times New Roman" w:cs="Times New Roman"/>
                <w:b w:val="0"/>
                <w:bCs w:val="0"/>
                <w:sz w:val="20"/>
                <w:szCs w:val="20"/>
              </w:rPr>
            </w:r>
            <w:r>
              <w:rPr>
                <w:rFonts w:ascii="Times New Roman" w:hAnsi="Times New Roman" w:cs="Times New Roman"/>
                <w:b w:val="0"/>
                <w:bCs w:val="0"/>
                <w:sz w:val="20"/>
                <w:szCs w:val="20"/>
              </w:rPr>
            </w:r>
          </w:p>
        </w:tc>
        <w:tc>
          <w:tcPr>
            <w:tcBorders/>
            <w:tcW w:w="1444" w:type="dxa"/>
            <w:vAlign w:val="center"/>
          </w:tcPr>
          <w:p w14:paraId="474CF26D" w14:textId="0F70CA73">
            <w:pPr>
              <w:pBdr/>
              <w:spacing/>
              <w:ind/>
              <w:rPr>
                <w:rFonts w:ascii="Times New Roman" w:hAnsi="Times New Roman" w:cs="Times New Roman"/>
                <w:b w:val="0"/>
                <w:bCs w:val="0"/>
                <w:sz w:val="20"/>
                <w:szCs w:val="20"/>
              </w:rPr>
            </w:pPr>
            <w:r>
              <w:rPr>
                <w:rFonts w:ascii="Times New Roman" w:hAnsi="Times New Roman" w:eastAsia="Times New Roman" w:cs="Times New Roman"/>
                <w:sz w:val="20"/>
                <w:szCs w:val="20"/>
              </w:rPr>
              <w:t xml:space="preserve">F1 Macro</w:t>
            </w:r>
            <w:r>
              <w:rPr>
                <w:rFonts w:ascii="Times New Roman" w:hAnsi="Times New Roman" w:eastAsia="Times New Roman" w:cs="Times New Roman"/>
                <w:b w:val="0"/>
                <w:bCs w:val="0"/>
                <w:sz w:val="20"/>
                <w:szCs w:val="20"/>
              </w:rPr>
            </w:r>
            <w:r>
              <w:rPr>
                <w:rFonts w:ascii="Times New Roman" w:hAnsi="Times New Roman" w:cs="Times New Roman"/>
                <w:b w:val="0"/>
                <w:bCs w:val="0"/>
                <w:sz w:val="20"/>
                <w:szCs w:val="20"/>
              </w:rPr>
            </w:r>
          </w:p>
        </w:tc>
        <w:tc>
          <w:tcPr>
            <w:tcBorders/>
            <w:tcW w:w="1444" w:type="dxa"/>
            <w:vAlign w:val="center"/>
          </w:tcPr>
          <w:p w14:paraId="0130C070" w14:textId="5777509C">
            <w:pPr>
              <w:pBdr/>
              <w:spacing/>
              <w:ind/>
              <w:rPr>
                <w:rFonts w:ascii="Times New Roman" w:hAnsi="Times New Roman" w:cs="Times New Roman"/>
                <w:b w:val="0"/>
                <w:bCs w:val="0"/>
                <w:sz w:val="20"/>
                <w:szCs w:val="20"/>
              </w:rPr>
            </w:pPr>
            <w:r>
              <w:rPr>
                <w:rFonts w:ascii="Times New Roman" w:hAnsi="Times New Roman" w:eastAsia="Times New Roman" w:cs="Times New Roman"/>
                <w:sz w:val="20"/>
                <w:szCs w:val="20"/>
              </w:rPr>
              <w:t xml:space="preserve">Kappa</w:t>
            </w:r>
            <w:r>
              <w:rPr>
                <w:rFonts w:ascii="Times New Roman" w:hAnsi="Times New Roman" w:eastAsia="Times New Roman" w:cs="Times New Roman"/>
                <w:b w:val="0"/>
                <w:bCs w:val="0"/>
                <w:sz w:val="20"/>
                <w:szCs w:val="20"/>
              </w:rPr>
            </w:r>
            <w:r>
              <w:rPr>
                <w:rFonts w:ascii="Times New Roman" w:hAnsi="Times New Roman" w:cs="Times New Roman"/>
                <w:b w:val="0"/>
                <w:bCs w:val="0"/>
                <w:sz w:val="20"/>
                <w:szCs w:val="20"/>
              </w:rPr>
            </w:r>
          </w:p>
        </w:tc>
      </w:tr>
      <w:tr>
        <w:trPr>
          <w:trHeight w:val="300"/>
        </w:trPr>
        <w:tc>
          <w:tcPr>
            <w:tcBorders/>
            <w:tcW w:w="1444" w:type="dxa"/>
            <w:vAlign w:val="center"/>
          </w:tcPr>
          <w:p w14:paraId="41159454" w14:textId="03E01318">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Regressão Logística A</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444" w:type="dxa"/>
            <w:vAlign w:val="center"/>
          </w:tcPr>
          <w:p w14:paraId="714AB448" w14:textId="78C2B497">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14</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444" w:type="dxa"/>
            <w:vAlign w:val="center"/>
          </w:tcPr>
          <w:p w14:paraId="7D43B0E7" w14:textId="7FC5E323">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0,8514</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444" w:type="dxa"/>
            <w:vAlign w:val="center"/>
          </w:tcPr>
          <w:p w14:paraId="634B19A6" w14:textId="5A9A89F3">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0,9104</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444" w:type="dxa"/>
            <w:vAlign w:val="center"/>
          </w:tcPr>
          <w:p w14:paraId="68AA7D53" w14:textId="3C173450">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0,7458</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444" w:type="dxa"/>
            <w:vAlign w:val="center"/>
          </w:tcPr>
          <w:p w14:paraId="7DA96CC9" w14:textId="382E1D70">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0,7104</w:t>
            </w:r>
            <w:r>
              <w:rPr>
                <w:rFonts w:ascii="Times New Roman" w:hAnsi="Times New Roman" w:eastAsia="Times New Roman" w:cs="Times New Roman"/>
                <w:sz w:val="20"/>
                <w:szCs w:val="20"/>
              </w:rPr>
            </w:r>
            <w:r>
              <w:rPr>
                <w:rFonts w:ascii="Times New Roman" w:hAnsi="Times New Roman" w:cs="Times New Roman"/>
                <w:sz w:val="20"/>
                <w:szCs w:val="20"/>
              </w:rPr>
            </w:r>
          </w:p>
        </w:tc>
      </w:tr>
      <w:tr>
        <w:trPr>
          <w:trHeight w:val="300"/>
        </w:trPr>
        <w:tc>
          <w:tcPr>
            <w:tcBorders/>
            <w:tcW w:w="1444" w:type="dxa"/>
            <w:vAlign w:val="center"/>
          </w:tcPr>
          <w:p w14:paraId="60ED41CD" w14:textId="38AD3A8B">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Random Forest A</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444" w:type="dxa"/>
            <w:vAlign w:val="center"/>
          </w:tcPr>
          <w:p w14:paraId="5D313684" w14:textId="0B69728C">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14</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444" w:type="dxa"/>
            <w:vAlign w:val="center"/>
          </w:tcPr>
          <w:p w14:paraId="5A48DC28" w14:textId="7B1F5C7C">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1,0000</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444" w:type="dxa"/>
            <w:vAlign w:val="center"/>
          </w:tcPr>
          <w:p w14:paraId="3B67C013" w14:textId="4AB1CD15">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1,0000</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444" w:type="dxa"/>
            <w:vAlign w:val="center"/>
          </w:tcPr>
          <w:p w14:paraId="43E3AD43" w14:textId="5A36B025">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1,0000</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444" w:type="dxa"/>
            <w:vAlign w:val="center"/>
          </w:tcPr>
          <w:p w14:paraId="29FDEE61" w14:textId="40AAA3C1">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1,0000</w:t>
            </w:r>
            <w:r>
              <w:rPr>
                <w:rFonts w:ascii="Times New Roman" w:hAnsi="Times New Roman" w:eastAsia="Times New Roman" w:cs="Times New Roman"/>
                <w:sz w:val="20"/>
                <w:szCs w:val="20"/>
              </w:rPr>
            </w:r>
            <w:r>
              <w:rPr>
                <w:rFonts w:ascii="Times New Roman" w:hAnsi="Times New Roman" w:cs="Times New Roman"/>
                <w:sz w:val="20"/>
                <w:szCs w:val="20"/>
              </w:rPr>
            </w:r>
          </w:p>
        </w:tc>
      </w:tr>
      <w:tr>
        <w:trPr>
          <w:trHeight w:val="300"/>
        </w:trPr>
        <w:tc>
          <w:tcPr>
            <w:tcBorders/>
            <w:tcW w:w="1444" w:type="dxa"/>
            <w:vAlign w:val="center"/>
          </w:tcPr>
          <w:p w14:paraId="232E71ED" w14:textId="41D4DCD2">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Regressão Logística B</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444" w:type="dxa"/>
            <w:vAlign w:val="center"/>
          </w:tcPr>
          <w:p w14:paraId="42D62502" w14:textId="3331E571">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11</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444" w:type="dxa"/>
            <w:vAlign w:val="center"/>
          </w:tcPr>
          <w:p w14:paraId="64A4991B" w14:textId="2462C37A">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0,3213</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444" w:type="dxa"/>
            <w:vAlign w:val="center"/>
          </w:tcPr>
          <w:p w14:paraId="001311C6" w14:textId="29DD15DA">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0,5822</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444" w:type="dxa"/>
            <w:vAlign w:val="center"/>
          </w:tcPr>
          <w:p w14:paraId="0062F321" w14:textId="29DD60BD">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0,3089</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444" w:type="dxa"/>
            <w:vAlign w:val="center"/>
          </w:tcPr>
          <w:p w14:paraId="09A204B5" w14:textId="7032AB83">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0,1896</w:t>
            </w:r>
            <w:r>
              <w:rPr>
                <w:rFonts w:ascii="Times New Roman" w:hAnsi="Times New Roman" w:eastAsia="Times New Roman" w:cs="Times New Roman"/>
                <w:sz w:val="20"/>
                <w:szCs w:val="20"/>
              </w:rPr>
            </w:r>
            <w:r>
              <w:rPr>
                <w:rFonts w:ascii="Times New Roman" w:hAnsi="Times New Roman" w:cs="Times New Roman"/>
                <w:sz w:val="20"/>
                <w:szCs w:val="20"/>
              </w:rPr>
            </w:r>
          </w:p>
        </w:tc>
      </w:tr>
      <w:tr>
        <w:trPr>
          <w:trHeight w:val="300"/>
        </w:trPr>
        <w:tc>
          <w:tcPr>
            <w:tcBorders/>
            <w:tcW w:w="1444" w:type="dxa"/>
            <w:vAlign w:val="center"/>
          </w:tcPr>
          <w:p w14:paraId="6CA9996D" w14:textId="1FC82DE3">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Random Forest B</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444" w:type="dxa"/>
            <w:vAlign w:val="center"/>
          </w:tcPr>
          <w:p w14:paraId="5C88D715" w14:textId="67F1CB23">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11</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444" w:type="dxa"/>
            <w:vAlign w:val="center"/>
          </w:tcPr>
          <w:p w14:paraId="101A83DC" w14:textId="3B367D6A">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0,5829</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444" w:type="dxa"/>
            <w:vAlign w:val="center"/>
          </w:tcPr>
          <w:p w14:paraId="6D99B943" w14:textId="38E3949F">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0,5870</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444" w:type="dxa"/>
            <w:vAlign w:val="center"/>
          </w:tcPr>
          <w:p w14:paraId="49BA5F2F" w14:textId="336D3BBC">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0,4347</w:t>
            </w:r>
            <w:r>
              <w:rPr>
                <w:rFonts w:ascii="Times New Roman" w:hAnsi="Times New Roman" w:eastAsia="Times New Roman" w:cs="Times New Roman"/>
                <w:sz w:val="20"/>
                <w:szCs w:val="20"/>
              </w:rPr>
            </w:r>
            <w:r>
              <w:rPr>
                <w:rFonts w:ascii="Times New Roman" w:hAnsi="Times New Roman" w:cs="Times New Roman"/>
                <w:sz w:val="20"/>
                <w:szCs w:val="20"/>
              </w:rPr>
            </w:r>
          </w:p>
        </w:tc>
        <w:tc>
          <w:tcPr>
            <w:tcBorders/>
            <w:tcW w:w="1444" w:type="dxa"/>
            <w:vAlign w:val="center"/>
          </w:tcPr>
          <w:p w14:paraId="4ABA108E" w14:textId="508439D8">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0,3723</w:t>
            </w:r>
            <w:r>
              <w:rPr>
                <w:rFonts w:ascii="Times New Roman" w:hAnsi="Times New Roman" w:eastAsia="Times New Roman" w:cs="Times New Roman"/>
                <w:sz w:val="20"/>
                <w:szCs w:val="20"/>
              </w:rPr>
            </w:r>
            <w:r>
              <w:rPr>
                <w:rFonts w:ascii="Times New Roman" w:hAnsi="Times New Roman" w:cs="Times New Roman"/>
                <w:sz w:val="20"/>
                <w:szCs w:val="20"/>
              </w:rPr>
            </w:r>
          </w:p>
        </w:tc>
      </w:tr>
    </w:tbl>
    <w:p w14:paraId="08691314" w14:textId="69CD55E4">
      <w:pPr>
        <w:pBdr/>
        <w:spacing w:after="0"/>
        <w:ind/>
        <w:jc w:val="both"/>
        <w:rPr>
          <w:rFonts w:ascii="Times New Roman" w:hAnsi="Times New Roman" w:cs="Times New Roman"/>
          <w:b w:val="0"/>
          <w:bCs w:val="0"/>
          <w:i/>
          <w:iCs/>
          <w:sz w:val="20"/>
          <w:szCs w:val="20"/>
        </w:rPr>
      </w:pPr>
      <w:r>
        <w:rPr>
          <w:rFonts w:ascii="Times New Roman" w:hAnsi="Times New Roman" w:eastAsia="Times New Roman" w:cs="Times New Roman"/>
          <w:b w:val="0"/>
          <w:bCs w:val="0"/>
          <w:sz w:val="20"/>
          <w:szCs w:val="20"/>
        </w:rPr>
        <w:t xml:space="preserve">Fonte:</w:t>
      </w:r>
      <w:r>
        <w:rPr>
          <w:rFonts w:ascii="Times New Roman" w:hAnsi="Times New Roman" w:eastAsia="Times New Roman" w:cs="Times New Roman"/>
          <w:b w:val="0"/>
          <w:bCs w:val="0"/>
          <w:sz w:val="20"/>
          <w:szCs w:val="20"/>
        </w:rPr>
        <w:t xml:space="preserve"> Elaboração própria.</w:t>
      </w:r>
      <w:r>
        <w:rPr>
          <w:rFonts w:ascii="Times New Roman" w:hAnsi="Times New Roman" w:eastAsia="Times New Roman" w:cs="Times New Roman"/>
          <w:b w:val="0"/>
          <w:bCs w:val="0"/>
          <w:i/>
          <w:iCs/>
          <w:sz w:val="20"/>
          <w:szCs w:val="20"/>
        </w:rPr>
      </w:r>
      <w:r>
        <w:rPr>
          <w:rFonts w:ascii="Times New Roman" w:hAnsi="Times New Roman" w:cs="Times New Roman"/>
          <w:b w:val="0"/>
          <w:bCs w:val="0"/>
          <w:i/>
          <w:iCs/>
          <w:sz w:val="20"/>
          <w:szCs w:val="20"/>
        </w:rPr>
      </w:r>
    </w:p>
    <w:p w14:paraId="7FFD2585">
      <w:pPr>
        <w:pBdr/>
        <w:spacing w:after="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29C284C3">
      <w:pPr>
        <w:pBdr/>
        <w:spacing w:after="0"/>
        <w:ind w:firstLine="720"/>
        <w:jc w:val="both"/>
        <w:rPr>
          <w:rFonts w:ascii="Times New Roman" w:hAnsi="Times New Roman" w:cs="Times New Roman"/>
        </w:rPr>
      </w:pPr>
      <w:r>
        <w:rPr>
          <w:rFonts w:ascii="Times New Roman" w:hAnsi="Times New Roman" w:cs="Times New Roman"/>
        </w:rPr>
      </w:r>
      <w:r>
        <w:rPr>
          <w:rFonts w:ascii="Times New Roman" w:hAnsi="Times New Roman" w:cs="Times New Roman"/>
        </w:rPr>
        <w:t xml:space="preserve">Ressalta-se que as representações gráficas detalhadas, referentes à importância das variáveis e às matrizes de confusão dos modelos estimados, encontram-se consolidadas no Apêndice B deste artigo.</w:t>
      </w:r>
      <w:r>
        <w:rPr>
          <w:rFonts w:ascii="Times New Roman" w:hAnsi="Times New Roman" w:cs="Times New Roman"/>
        </w:rPr>
      </w:r>
      <w:r>
        <w:rPr>
          <w:rFonts w:ascii="Times New Roman" w:hAnsi="Times New Roman" w:cs="Times New Roman"/>
        </w:rPr>
      </w:r>
    </w:p>
    <w:p w14:paraId="595AB063" w14:textId="77777777">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36A1DD4B" w14:textId="77777777">
      <w:pPr>
        <w:pBdr/>
        <w:spacing w:after="0"/>
        <w:ind/>
        <w:jc w:val="both"/>
        <w:rPr>
          <w:rFonts w:ascii="Times New Roman" w:hAnsi="Times New Roman" w:cs="Times New Roman"/>
          <w:b/>
          <w:bCs/>
        </w:rPr>
      </w:pPr>
      <w:r>
        <w:rPr>
          <w:rFonts w:ascii="Times New Roman" w:hAnsi="Times New Roman" w:eastAsia="Times New Roman" w:cs="Times New Roman"/>
        </w:rPr>
      </w:r>
      <w:r>
        <w:rPr>
          <w:rFonts w:ascii="Times New Roman" w:hAnsi="Times New Roman" w:eastAsia="Times New Roman" w:cs="Times New Roman"/>
        </w:rPr>
      </w:r>
      <w:bookmarkEnd w:id="25"/>
      <w:r>
        <w:rPr>
          <w:rFonts w:ascii="Times New Roman" w:hAnsi="Times New Roman" w:eastAsia="Times New Roman" w:cs="Times New Roman"/>
          <w:b/>
          <w:bCs/>
        </w:rPr>
        <w:t xml:space="preserve">5. DISCUSSÃO</w:t>
      </w:r>
      <w:r>
        <w:rPr>
          <w:rFonts w:ascii="Times New Roman" w:hAnsi="Times New Roman" w:eastAsia="Times New Roman" w:cs="Times New Roman"/>
          <w:b/>
          <w:bCs/>
        </w:rPr>
      </w:r>
      <w:r>
        <w:rPr>
          <w:rFonts w:ascii="Times New Roman" w:hAnsi="Times New Roman" w:cs="Times New Roman"/>
          <w:b/>
          <w:bCs/>
        </w:rPr>
      </w:r>
    </w:p>
    <w:p w14:paraId="5FF4781B" w14:textId="77777777">
      <w:pPr>
        <w:pBdr/>
        <w:spacing w:after="0"/>
        <w:ind/>
        <w:jc w:val="both"/>
        <w:rPr>
          <w:rFonts w:ascii="Times New Roman" w:hAnsi="Times New Roman" w:cs="Times New Roman"/>
          <w:b/>
          <w:bCs/>
        </w:rPr>
      </w:pPr>
      <w:r>
        <w:rPr>
          <w:rFonts w:ascii="Times New Roman" w:hAnsi="Times New Roman" w:eastAsia="Times New Roman" w:cs="Times New Roman"/>
        </w:rPr>
      </w:r>
      <w:r>
        <w:rPr>
          <w:rFonts w:ascii="Times New Roman" w:hAnsi="Times New Roman" w:eastAsia="Times New Roman" w:cs="Times New Roman"/>
          <w:b/>
          <w:bCs/>
        </w:rPr>
        <w:t xml:space="preserve">5.1 Reinterpretação dos Achados à Luz do Problema de Pesquisa</w:t>
      </w:r>
      <w:r>
        <w:rPr>
          <w:rFonts w:ascii="Times New Roman" w:hAnsi="Times New Roman" w:eastAsia="Times New Roman" w:cs="Times New Roman"/>
          <w:b/>
          <w:bCs/>
        </w:rPr>
      </w:r>
      <w:r>
        <w:rPr>
          <w:rFonts w:ascii="Times New Roman" w:hAnsi="Times New Roman" w:cs="Times New Roman"/>
          <w:b/>
          <w:bCs/>
        </w:rPr>
      </w:r>
    </w:p>
    <w:p w14:paraId="1EAB0E9F" w14:textId="3109CBA4">
      <w:pPr>
        <w:pBdr/>
        <w:spacing w:after="0"/>
        <w:ind w:firstLine="720"/>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O</w:t>
      </w:r>
      <w:r>
        <w:rPr>
          <w:rFonts w:ascii="Times New Roman" w:hAnsi="Times New Roman" w:eastAsia="Times New Roman" w:cs="Times New Roman"/>
        </w:rPr>
        <w:t xml:space="preserve">s resultados demonstram que existe um conjunto de sinais observáveis, de natureza processual e monetária, que permitem organizar as contratações segundo a sua complexidade. Nessa perspetiva, o escore ordinal proposto oferece um mecanismo de triagem que ope</w:t>
      </w:r>
      <w:r>
        <w:rPr>
          <w:rFonts w:ascii="Times New Roman" w:hAnsi="Times New Roman" w:eastAsia="Times New Roman" w:cs="Times New Roman"/>
        </w:rPr>
        <w:t xml:space="preserve">racionaliza a avaliação de risco de forma padronizada. A relevância dessa abordagem torna-se evidente no contexto da insegurança decisória que caracteriza o ambiente das compras públicas brasileiras. </w:t>
      </w:r>
      <w:r>
        <w:rPr>
          <w:rFonts w:ascii="Times New Roman" w:hAnsi="Times New Roman" w:cs="Times New Roman"/>
        </w:rPr>
      </w:r>
      <w:r>
        <w:rPr>
          <w:rFonts w:ascii="Times New Roman" w:hAnsi="Times New Roman" w:eastAsia="Times New Roman" w:cs="Times New Roman"/>
        </w:rPr>
      </w:r>
    </w:p>
    <w:p w14:paraId="7B46B60A">
      <w:pPr>
        <w:pBdr/>
        <w:spacing w:after="0"/>
        <w:ind w:firstLine="720"/>
        <w:jc w:val="both"/>
        <w:rPr>
          <w:rFonts w:ascii="Times New Roman" w:hAnsi="Times New Roman" w:cs="Times New Roman"/>
        </w:rPr>
      </w:pPr>
      <w:r>
        <w:rPr>
          <w:rFonts w:ascii="Times New Roman" w:hAnsi="Times New Roman" w:eastAsia="Times New Roman" w:cs="Times New Roman"/>
        </w:rPr>
        <w:t xml:space="preserve">Nesse cenário, o gestor público que decide sobre uma cont</w:t>
      </w:r>
      <w:r>
        <w:rPr>
          <w:rFonts w:ascii="Times New Roman" w:hAnsi="Times New Roman" w:eastAsia="Times New Roman" w:cs="Times New Roman"/>
        </w:rPr>
        <w:t xml:space="preserve">r</w:t>
      </w:r>
      <w:r>
        <w:rPr>
          <w:rFonts w:ascii="Times New Roman" w:hAnsi="Times New Roman" w:eastAsia="Times New Roman" w:cs="Times New Roman"/>
        </w:rPr>
        <w:t xml:space="preserve">atação tecnológica enfrenta múltiplas fontes de incerteza que extrapolam a normatividade da lei (Guimarães, 2016; Fiuza &amp; Medeiros, 2014). Diante disso, o framework desenvolvido oferece uma infraestrutura de apoio que não elimina a discricionariedade do ge</w:t>
      </w:r>
      <w:r>
        <w:rPr>
          <w:rFonts w:ascii="Times New Roman" w:hAnsi="Times New Roman" w:eastAsia="Times New Roman" w:cs="Times New Roman"/>
        </w:rPr>
        <w:t xml:space="preserve">stor, mas fornece elementos visuais para fundamentar a decisão (Veale &amp; Brass, 2019). Portanto, a contribuição do modelo reside na capacidade material de organizar, explicar e documentar a avaliação de risco da operação.</w:t>
      </w:r>
      <w:r>
        <w:rPr>
          <w:rFonts w:ascii="Times New Roman" w:hAnsi="Times New Roman" w:cs="Times New Roman"/>
        </w:rPr>
      </w:r>
      <w:r>
        <w:rPr>
          <w:rFonts w:ascii="Times New Roman" w:hAnsi="Times New Roman" w:cs="Times New Roman"/>
        </w:rPr>
      </w:r>
    </w:p>
    <w:p w14:paraId="44786AA2" w14:textId="3BB98450">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16873A93" w14:textId="77777777">
      <w:pPr>
        <w:pBdr/>
        <w:spacing w:after="0"/>
        <w:ind/>
        <w:jc w:val="both"/>
        <w:rPr>
          <w:rFonts w:ascii="Times New Roman" w:hAnsi="Times New Roman" w:cs="Times New Roman"/>
          <w:b/>
          <w:bCs/>
        </w:rPr>
      </w:pPr>
      <w:r>
        <w:rPr>
          <w:rFonts w:ascii="Times New Roman" w:hAnsi="Times New Roman" w:eastAsia="Times New Roman" w:cs="Times New Roman"/>
          <w:b/>
          <w:bCs/>
        </w:rPr>
        <w:t xml:space="preserve">5.2 Compras Públicas de Inovação e Rarefação Empírica</w:t>
      </w:r>
      <w:r>
        <w:rPr>
          <w:rFonts w:ascii="Times New Roman" w:hAnsi="Times New Roman" w:eastAsia="Times New Roman" w:cs="Times New Roman"/>
          <w:b/>
          <w:bCs/>
        </w:rPr>
      </w:r>
      <w:r>
        <w:rPr>
          <w:rFonts w:ascii="Times New Roman" w:hAnsi="Times New Roman" w:cs="Times New Roman"/>
          <w:b/>
          <w:bCs/>
        </w:rPr>
      </w:r>
    </w:p>
    <w:p w14:paraId="5266316B">
      <w:pPr>
        <w:pBdr/>
        <w:spacing w:after="0"/>
        <w:ind w:firstLine="720"/>
        <w:jc w:val="both"/>
        <w:rPr/>
      </w:pPr>
      <w:r>
        <w:rPr>
          <w:rFonts w:ascii="Times New Roman" w:hAnsi="Times New Roman" w:eastAsia="Times New Roman" w:cs="Times New Roman"/>
        </w:rPr>
        <w:t xml:space="preserve">A</w:t>
      </w:r>
      <w:r>
        <w:rPr>
          <w:rFonts w:ascii="Times New Roman" w:hAnsi="Times New Roman" w:eastAsia="Times New Roman" w:cs="Times New Roman"/>
        </w:rPr>
        <w:t xml:space="preserve"> rarefação empírica das contratações com indício de inovação (1,15%) necessita ser interpretada à luz das especificidades do contexto institucional. A concentração identificada nos instrumentos de contratação direta sugere que a inovação no setor público e</w:t>
      </w:r>
      <w:r>
        <w:rPr>
          <w:rFonts w:ascii="Times New Roman" w:hAnsi="Times New Roman" w:eastAsia="Times New Roman" w:cs="Times New Roman"/>
        </w:rPr>
        <w:t xml:space="preserve">stá vinculada a situações de exclusão de competição. Esse padrão documentado mostra-se consistente com as barreiras descritas por Uyarra et al. (2014), que demonstram que a rigidez dos procedimentos licitatórios dificulta a aquisição de soluções flexíveis.</w:t>
      </w:r>
      <w:r>
        <w:rPr>
          <w:rFonts w:ascii="Times New Roman" w:hAnsi="Times New Roman" w:eastAsia="Times New Roman" w:cs="Times New Roman"/>
        </w:rPr>
      </w:r>
      <w:r/>
    </w:p>
    <w:p w14:paraId="5962F9D4">
      <w:pPr>
        <w:pBdr/>
        <w:spacing w:after="0"/>
        <w:ind w:firstLine="720"/>
        <w:jc w:val="both"/>
        <w:rPr/>
      </w:pPr>
      <w:r>
        <w:rPr>
          <w:rFonts w:ascii="Times New Roman" w:hAnsi="Times New Roman" w:eastAsia="Times New Roman" w:cs="Times New Roman"/>
        </w:rPr>
        <w:t xml:space="preserve">Soma-se a isso o fato de que essa concentração tem implicações para a compreensão dos custos de transação envolvidos. A teoria preceitua que a escolha entre modalidades competitivas e não competitivas envolve um dilema entre os custos de busca e os riscos </w:t>
      </w:r>
      <w:r>
        <w:rPr>
          <w:rFonts w:ascii="Times New Roman" w:hAnsi="Times New Roman" w:eastAsia="Times New Roman" w:cs="Times New Roman"/>
        </w:rPr>
        <w:t xml:space="preserve">d</w:t>
      </w:r>
      <w:r>
        <w:rPr>
          <w:rFonts w:ascii="Times New Roman" w:hAnsi="Times New Roman" w:eastAsia="Times New Roman" w:cs="Times New Roman"/>
        </w:rPr>
        <w:t xml:space="preserve">e aprisionamento contratual (Williamson, 1985; Bajari &amp; Tadelis, 2001). Em contratações com conteúdo de inovação, a ausência de mercado consolidado eleva os custos operacionais para a seleção de fornecedores. No contexto brasileiro, esses obstáculos são am</w:t>
      </w:r>
      <w:r>
        <w:rPr>
          <w:rFonts w:ascii="Times New Roman" w:hAnsi="Times New Roman" w:eastAsia="Times New Roman" w:cs="Times New Roman"/>
        </w:rPr>
        <w:t xml:space="preserve">plificados pela insegurança jurídica estabelecida nas instituições, uma vez que o gestor assume o ônus probatório de justificar a ausência de competição (Fiuza &amp; Medeiros, 2014).</w:t>
      </w:r>
      <w:r>
        <w:rPr>
          <w:rFonts w:ascii="Times New Roman" w:hAnsi="Times New Roman" w:eastAsia="Times New Roman" w:cs="Times New Roman"/>
        </w:rPr>
      </w:r>
      <w:r/>
    </w:p>
    <w:p w14:paraId="53AB8A43" w14:textId="1D72AAD4">
      <w:pPr>
        <w:pBdr/>
        <w:spacing w:after="0"/>
        <w:ind w:firstLine="720"/>
        <w:jc w:val="both"/>
        <w:rPr>
          <w:rFonts w:ascii="Times New Roman" w:hAnsi="Times New Roman" w:cs="Times New Roman"/>
        </w:rPr>
      </w:pPr>
      <w:r>
        <w:rPr>
          <w:rFonts w:ascii="Times New Roman" w:hAnsi="Times New Roman" w:eastAsia="Times New Roman" w:cs="Times New Roman"/>
        </w:rPr>
        <w:t xml:space="preserve">D</w:t>
      </w:r>
      <w:r>
        <w:rPr>
          <w:rFonts w:ascii="Times New Roman" w:hAnsi="Times New Roman" w:eastAsia="Times New Roman" w:cs="Times New Roman"/>
        </w:rPr>
        <w:t xml:space="preserve">iante do exposto, a interpretação substantiva desse achado conduz a duas conclusões analíticas. A primeira delas é que a raridade observada não indica a ausência de demanda por inovação, mas comprova a existência de barreiras institucionais à formalização </w:t>
      </w:r>
      <w:r>
        <w:rPr>
          <w:rFonts w:ascii="Times New Roman" w:hAnsi="Times New Roman" w:eastAsia="Times New Roman" w:cs="Times New Roman"/>
        </w:rPr>
        <w:t xml:space="preserve">de contratos (Rauen, 2015). A segunda conclusão recai sobre o fato de que as compras de inovação tendem a concentrar-se em modalidades de exceção. Como resultado, estas aquisições tornam-se mais vulneráveis a questionamentos por órgãos de controle, retroal</w:t>
      </w:r>
      <w:r>
        <w:rPr>
          <w:rFonts w:ascii="Times New Roman" w:hAnsi="Times New Roman" w:eastAsia="Times New Roman" w:cs="Times New Roman"/>
        </w:rPr>
        <w:t xml:space="preserve">imentando o ciclo de aversão ao risco (Guimarães, 2016).</w:t>
      </w:r>
      <w:r>
        <w:rPr>
          <w:rFonts w:ascii="Times New Roman" w:hAnsi="Times New Roman" w:eastAsia="Times New Roman" w:cs="Times New Roman"/>
        </w:rPr>
      </w:r>
      <w:r>
        <w:rPr>
          <w:rFonts w:ascii="Times New Roman" w:hAnsi="Times New Roman" w:cs="Times New Roman"/>
        </w:rPr>
      </w:r>
    </w:p>
    <w:p w14:paraId="0DA870DC" w14:textId="0A271284">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062F052D" w14:textId="77777777">
      <w:pPr>
        <w:pBdr/>
        <w:spacing w:after="0"/>
        <w:ind/>
        <w:jc w:val="both"/>
        <w:rPr>
          <w:rFonts w:ascii="Times New Roman" w:hAnsi="Times New Roman" w:cs="Times New Roman"/>
          <w:b/>
          <w:bCs/>
        </w:rPr>
      </w:pPr>
      <w:r>
        <w:rPr>
          <w:rFonts w:ascii="Times New Roman" w:hAnsi="Times New Roman" w:eastAsia="Times New Roman" w:cs="Times New Roman"/>
          <w:b/>
          <w:bCs/>
        </w:rPr>
        <w:t xml:space="preserve">5.3 Contratação Direta, Risco Processual e Atenção Regulatória</w:t>
      </w:r>
      <w:r>
        <w:rPr>
          <w:rFonts w:ascii="Times New Roman" w:hAnsi="Times New Roman" w:eastAsia="Times New Roman" w:cs="Times New Roman"/>
          <w:b/>
          <w:bCs/>
        </w:rPr>
      </w:r>
      <w:r>
        <w:rPr>
          <w:rFonts w:ascii="Times New Roman" w:hAnsi="Times New Roman" w:cs="Times New Roman"/>
          <w:b/>
          <w:bCs/>
        </w:rPr>
      </w:r>
    </w:p>
    <w:p w14:paraId="3C6CEC05">
      <w:pPr>
        <w:pBdr/>
        <w:spacing w:after="0"/>
        <w:ind w:firstLine="720"/>
        <w:jc w:val="both"/>
        <w:rPr>
          <w:rFonts w:ascii="Times New Roman" w:hAnsi="Times New Roman" w:eastAsia="Times New Roman" w:cs="Times New Roman"/>
        </w:rPr>
      </w:pPr>
      <w:r>
        <w:rPr>
          <w:rFonts w:ascii="Times New Roman" w:hAnsi="Times New Roman" w:eastAsia="Times New Roman" w:cs="Times New Roman"/>
        </w:rPr>
        <w:t xml:space="preserve">A</w:t>
      </w:r>
      <w:r>
        <w:rPr>
          <w:rFonts w:ascii="Times New Roman" w:hAnsi="Times New Roman" w:eastAsia="Times New Roman" w:cs="Times New Roman"/>
        </w:rPr>
        <w:t xml:space="preserve"> predominância da contratação direta constitui um achado estrutural para a compreensão do ambiente decisório do Estado. A literatura académica frequentemente associa este rito a um maior risco de captura económica (Fiuza &amp; Medeiros, 2014). Contudo, essa vi</w:t>
      </w:r>
      <w:r>
        <w:rPr>
          <w:rFonts w:ascii="Times New Roman" w:hAnsi="Times New Roman" w:eastAsia="Times New Roman" w:cs="Times New Roman"/>
        </w:rPr>
        <w:t xml:space="preserve">são binária obscurece as nuances do problema operacional, visto que o procedimento pode decorrer de circunstâncias legítimas e previstas no arcabouço normativo.</w:t>
      </w:r>
      <w:r>
        <w:rPr>
          <w:rFonts w:ascii="Times New Roman" w:hAnsi="Times New Roman" w:eastAsia="Times New Roman" w:cs="Times New Roman"/>
        </w:rPr>
      </w:r>
      <w:r>
        <w:rPr>
          <w:rFonts w:ascii="Times New Roman" w:hAnsi="Times New Roman" w:eastAsia="Times New Roman" w:cs="Times New Roman"/>
        </w:rPr>
      </w:r>
    </w:p>
    <w:p w14:paraId="79B68C87">
      <w:pPr>
        <w:pBdr/>
        <w:spacing w:after="0"/>
        <w:ind w:firstLine="720"/>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N</w:t>
      </w:r>
      <w:r>
        <w:rPr>
          <w:rFonts w:ascii="Times New Roman" w:hAnsi="Times New Roman" w:eastAsia="Times New Roman" w:cs="Times New Roman"/>
        </w:rPr>
        <w:t xml:space="preserve">esse contexto, o escore construído neste estudo não deve ser interpretado como um indicador declaratório de irregularidade. Em vez disso, a métrica serve como uma proxy de sensibilidade procedimental elaborada para emitir alertas precoces. O dado quantitat</w:t>
      </w:r>
      <w:r>
        <w:rPr>
          <w:rFonts w:ascii="Times New Roman" w:hAnsi="Times New Roman" w:eastAsia="Times New Roman" w:cs="Times New Roman"/>
        </w:rPr>
        <w:t xml:space="preserve">i</w:t>
      </w:r>
      <w:r>
        <w:rPr>
          <w:rFonts w:ascii="Times New Roman" w:hAnsi="Times New Roman" w:eastAsia="Times New Roman" w:cs="Times New Roman"/>
        </w:rPr>
        <w:t xml:space="preserve">vo que evidencia o escore médio de 1,28 para contratações diretas atesta que esses contratos concentram mais atributos que demandam atenção regulatória. Por conseguinte, esta constatação matemática exige um esforço superior de fundamentação e documentação </w:t>
      </w:r>
      <w:r>
        <w:rPr>
          <w:rFonts w:ascii="Times New Roman" w:hAnsi="Times New Roman" w:eastAsia="Times New Roman" w:cs="Times New Roman"/>
        </w:rPr>
        <w:t xml:space="preserve">por parte do servidor responsável pela aquisição.</w:t>
      </w:r>
      <w:r>
        <w:rPr>
          <w:rFonts w:ascii="Times New Roman" w:hAnsi="Times New Roman" w:eastAsia="Times New Roman" w:cs="Times New Roman"/>
        </w:rPr>
      </w:r>
      <w:r>
        <w:rPr>
          <w:rFonts w:ascii="Times New Roman" w:hAnsi="Times New Roman" w:eastAsia="Times New Roman" w:cs="Times New Roman"/>
        </w:rPr>
      </w:r>
    </w:p>
    <w:p w14:paraId="7CE22F19">
      <w:pPr>
        <w:pBdr/>
        <w:spacing w:after="0"/>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cs="Times New Roman"/>
        </w:rPr>
      </w:r>
    </w:p>
    <w:p w14:paraId="15B77AE7" w14:textId="4801C391">
      <w:pPr>
        <w:pBdr/>
        <w:spacing w:after="0"/>
        <w:ind/>
        <w:jc w:val="both"/>
        <w:rPr>
          <w:rFonts w:ascii="Times New Roman" w:hAnsi="Times New Roman" w:cs="Times New Roman"/>
          <w:b/>
          <w:bCs/>
        </w:rPr>
      </w:pPr>
      <w:r>
        <w:rPr>
          <w:rFonts w:ascii="Times New Roman" w:hAnsi="Times New Roman" w:eastAsia="Times New Roman" w:cs="Times New Roman"/>
          <w:b/>
          <w:bCs/>
        </w:rPr>
        <w:t xml:space="preserve">5.4 O Que a Modelagem Realmente Demonstrou</w:t>
      </w:r>
      <w:r>
        <w:rPr>
          <w:rFonts w:ascii="Times New Roman" w:hAnsi="Times New Roman" w:eastAsia="Times New Roman" w:cs="Times New Roman"/>
          <w:b/>
          <w:bCs/>
        </w:rPr>
      </w:r>
      <w:r>
        <w:rPr>
          <w:rFonts w:ascii="Times New Roman" w:hAnsi="Times New Roman" w:cs="Times New Roman"/>
          <w:b/>
          <w:bCs/>
        </w:rPr>
      </w:r>
    </w:p>
    <w:p w14:paraId="0ECA5084">
      <w:pPr>
        <w:pBdr/>
        <w:spacing w:after="0"/>
        <w:ind w:firstLine="720"/>
        <w:jc w:val="both"/>
        <w:rPr/>
      </w:pPr>
      <w:r>
        <w:rPr>
          <w:rFonts w:ascii="Times New Roman" w:hAnsi="Times New Roman" w:eastAsia="Times New Roman" w:cs="Times New Roman"/>
        </w:rPr>
        <w:t xml:space="preserve">A</w:t>
      </w:r>
      <w:r>
        <w:rPr>
          <w:rFonts w:ascii="Times New Roman" w:hAnsi="Times New Roman" w:eastAsia="Times New Roman" w:cs="Times New Roman"/>
        </w:rPr>
        <w:t xml:space="preserve"> modelagem comparativa fornece uma conclusão metodológica rica e distinta das promessas frequentes na literatura de ciência de dados. O Modelo A alcançou a performance estatística de 1,0000, demonstrando que o algoritmo de random forest consegue replicar a</w:t>
      </w:r>
      <w:r>
        <w:rPr>
          <w:rFonts w:ascii="Times New Roman" w:hAnsi="Times New Roman" w:eastAsia="Times New Roman" w:cs="Times New Roman"/>
        </w:rPr>
        <w:t xml:space="preserve"> </w:t>
      </w:r>
      <w:r>
        <w:rPr>
          <w:rFonts w:ascii="Times New Roman" w:hAnsi="Times New Roman" w:eastAsia="Times New Roman" w:cs="Times New Roman"/>
        </w:rPr>
        <w:t xml:space="preserve">regra de construção do escore de risco. Este resultado, porém, não indica que o sistema descobriu novos padrões latentes de fraude burocrática. Pelo contrário, a inferência apenas atesta que a máquina reproduz uma regra determinística previamente estrutura</w:t>
      </w:r>
      <w:r>
        <w:rPr>
          <w:rFonts w:ascii="Times New Roman" w:hAnsi="Times New Roman" w:eastAsia="Times New Roman" w:cs="Times New Roman"/>
        </w:rPr>
        <w:t xml:space="preserve">da por humanos.</w:t>
      </w:r>
      <w:r>
        <w:rPr>
          <w:rFonts w:ascii="Times New Roman" w:hAnsi="Times New Roman" w:eastAsia="Times New Roman" w:cs="Times New Roman"/>
        </w:rPr>
      </w:r>
      <w:r/>
    </w:p>
    <w:p w14:paraId="56EFF272">
      <w:pPr>
        <w:pBdr/>
        <w:spacing w:after="0"/>
        <w:ind w:firstLine="720"/>
        <w:jc w:val="both"/>
        <w:rPr/>
      </w:pPr>
      <w:r>
        <w:rPr>
          <w:rFonts w:ascii="Times New Roman" w:hAnsi="Times New Roman" w:eastAsia="Times New Roman" w:cs="Times New Roman"/>
        </w:rPr>
        <w:t xml:space="preserve">P</w:t>
      </w:r>
      <w:r>
        <w:rPr>
          <w:rFonts w:ascii="Times New Roman" w:hAnsi="Times New Roman" w:eastAsia="Times New Roman" w:cs="Times New Roman"/>
        </w:rPr>
        <w:t xml:space="preserve">or outro lado, o Modelo B apresentou uma redução de 56,5% na performance com a exclusão das variáveis constitutivas. Dessa forma, demonstra-se que os sinais observáveis remanescentes na base do PNCP não são suficientes para substituir a regra legal formal.</w:t>
      </w:r>
      <w:r>
        <w:rPr>
          <w:rFonts w:ascii="Times New Roman" w:hAnsi="Times New Roman" w:eastAsia="Times New Roman" w:cs="Times New Roman"/>
        </w:rPr>
        <w:t xml:space="preserve"> A implicação técnica decorrente aponta que o framework deve atuar como uma ferramenta de operacionalização da triagem, e não como um mecanismo de predição cega e autónoma.</w:t>
      </w:r>
      <w:r>
        <w:rPr>
          <w:rFonts w:ascii="Times New Roman" w:hAnsi="Times New Roman" w:eastAsia="Times New Roman" w:cs="Times New Roman"/>
        </w:rPr>
      </w:r>
      <w:r/>
    </w:p>
    <w:p w14:paraId="4420793F" w14:textId="30AFAFB6">
      <w:pPr>
        <w:pBdr/>
        <w:spacing w:after="0"/>
        <w:ind w:firstLine="720"/>
        <w:jc w:val="both"/>
        <w:rPr>
          <w:rFonts w:ascii="Times New Roman" w:hAnsi="Times New Roman" w:cs="Times New Roman"/>
        </w:rPr>
      </w:pPr>
      <w:r>
        <w:rPr>
          <w:rFonts w:ascii="Times New Roman" w:hAnsi="Times New Roman" w:eastAsia="Times New Roman" w:cs="Times New Roman"/>
        </w:rPr>
        <w:t xml:space="preserve">E</w:t>
      </w:r>
      <w:r>
        <w:rPr>
          <w:rFonts w:ascii="Times New Roman" w:hAnsi="Times New Roman" w:eastAsia="Times New Roman" w:cs="Times New Roman"/>
        </w:rPr>
        <w:t xml:space="preserve">m síntese, o resultado computacional atua como uma infraestrutura de justificação de regras de negócio predefinidas. A utilização da feature importance consolida uma camada extra de transparência sobre o funcionamento da triagem institucional (Arrieta et a</w:t>
      </w:r>
      <w:r>
        <w:rPr>
          <w:rFonts w:ascii="Times New Roman" w:hAnsi="Times New Roman" w:eastAsia="Times New Roman" w:cs="Times New Roman"/>
        </w:rPr>
        <w:t xml:space="preserve">l., 2020). Para investigações vindouras, a limitação preditiva identificada no Modelo B exige a incorporação de atributos adicionais extraídos do histórico dos fornecedores.</w:t>
      </w:r>
      <w:r>
        <w:rPr>
          <w:rFonts w:ascii="Times New Roman" w:hAnsi="Times New Roman" w:eastAsia="Times New Roman" w:cs="Times New Roman"/>
        </w:rPr>
      </w:r>
      <w:r>
        <w:rPr>
          <w:rFonts w:ascii="Times New Roman" w:hAnsi="Times New Roman" w:cs="Times New Roman"/>
        </w:rPr>
      </w:r>
    </w:p>
    <w:p w14:paraId="658EA5C5" w14:textId="2673BA14">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3DAAF08D" w14:textId="1E397BD5">
      <w:pPr>
        <w:pBdr/>
        <w:spacing w:after="0"/>
        <w:ind/>
        <w:jc w:val="both"/>
        <w:rPr>
          <w:rFonts w:ascii="Times New Roman" w:hAnsi="Times New Roman" w:cs="Times New Roman"/>
          <w:b/>
          <w:bCs/>
        </w:rPr>
      </w:pPr>
      <w:r>
        <w:rPr>
          <w:rFonts w:ascii="Times New Roman" w:hAnsi="Times New Roman" w:eastAsia="Times New Roman" w:cs="Times New Roman"/>
          <w:b/>
          <w:bCs/>
        </w:rPr>
        <w:t xml:space="preserve">5.5 Contribuição para a Literatura de Compliance Algorítmico</w:t>
      </w:r>
      <w:r>
        <w:rPr>
          <w:rFonts w:ascii="Times New Roman" w:hAnsi="Times New Roman" w:eastAsia="Times New Roman" w:cs="Times New Roman"/>
          <w:b/>
          <w:bCs/>
        </w:rPr>
      </w:r>
      <w:r>
        <w:rPr>
          <w:rFonts w:ascii="Times New Roman" w:hAnsi="Times New Roman" w:cs="Times New Roman"/>
          <w:b/>
          <w:bCs/>
        </w:rPr>
      </w:r>
    </w:p>
    <w:p w14:paraId="4CBBCBD3">
      <w:pPr>
        <w:pBdr/>
        <w:spacing w:after="0"/>
        <w:ind w:firstLine="720"/>
        <w:jc w:val="both"/>
        <w:rPr/>
      </w:pPr>
      <w:r>
        <w:rPr>
          <w:rFonts w:ascii="Times New Roman" w:hAnsi="Times New Roman" w:eastAsia="Times New Roman" w:cs="Times New Roman"/>
        </w:rPr>
        <w:t xml:space="preserve">E</w:t>
      </w:r>
      <w:r>
        <w:rPr>
          <w:rFonts w:ascii="Times New Roman" w:hAnsi="Times New Roman" w:eastAsia="Times New Roman" w:cs="Times New Roman"/>
        </w:rPr>
        <w:t xml:space="preserve">ste estudo contribui para a consolidação da literatura de compliance ao distanciar-se das propostas punitivas e maximalistas (Dutra et al., 2020). Grande parte das pesquisas focadas no combate à corrupção promete identificar irregularidades com base unicam</w:t>
      </w:r>
      <w:r>
        <w:rPr>
          <w:rFonts w:ascii="Times New Roman" w:hAnsi="Times New Roman" w:eastAsia="Times New Roman" w:cs="Times New Roman"/>
        </w:rPr>
        <w:t xml:space="preserve">e</w:t>
      </w:r>
      <w:r>
        <w:rPr>
          <w:rFonts w:ascii="Times New Roman" w:hAnsi="Times New Roman" w:eastAsia="Times New Roman" w:cs="Times New Roman"/>
        </w:rPr>
        <w:t xml:space="preserve">nte na precisão do algoritmo. Essa expetativa esbarra na ausência de validações externas do modelo, no viés de programação e na impossibilidade fática de substituir o juízo jurídico humano em um Estado Democrático (Freedman et al., 2020; Veale &amp; Brass, 201</w:t>
      </w:r>
      <w:r>
        <w:rPr>
          <w:rFonts w:ascii="Times New Roman" w:hAnsi="Times New Roman" w:eastAsia="Times New Roman" w:cs="Times New Roman"/>
        </w:rPr>
        <w:t xml:space="preserve">9).</w:t>
      </w:r>
      <w:r>
        <w:rPr>
          <w:rFonts w:ascii="Times New Roman" w:hAnsi="Times New Roman" w:eastAsia="Times New Roman" w:cs="Times New Roman"/>
        </w:rPr>
      </w:r>
      <w:r/>
    </w:p>
    <w:p w14:paraId="630B0DF9" w14:textId="70618DBF">
      <w:pPr>
        <w:pBdr/>
        <w:spacing w:after="0"/>
        <w:ind w:firstLine="720"/>
        <w:jc w:val="both"/>
        <w:rPr>
          <w:rFonts w:ascii="Times New Roman" w:hAnsi="Times New Roman" w:cs="Times New Roman"/>
        </w:rPr>
      </w:pPr>
      <w:r>
        <w:rPr>
          <w:rFonts w:ascii="Times New Roman" w:hAnsi="Times New Roman" w:eastAsia="Times New Roman" w:cs="Times New Roman"/>
        </w:rPr>
        <w:t xml:space="preserve">E</w:t>
      </w:r>
      <w:r>
        <w:rPr>
          <w:rFonts w:ascii="Times New Roman" w:hAnsi="Times New Roman" w:eastAsia="Times New Roman" w:cs="Times New Roman"/>
        </w:rPr>
        <w:t xml:space="preserve">m contrapartida, o projeto desenvolvido propõe uma arquitetura suportada por avaliações baseadas em indícios de risco. A máquina não decreta que uma contratação é fraudulenta. Em vez disso, o sistema afirma que a operação carece de documentação robusta dev</w:t>
      </w:r>
      <w:r>
        <w:rPr>
          <w:rFonts w:ascii="Times New Roman" w:hAnsi="Times New Roman" w:eastAsia="Times New Roman" w:cs="Times New Roman"/>
        </w:rPr>
        <w:t xml:space="preserve">ido às suas características atípicas. Essa delimitação conceptual preserva a centralidade da deliberação humana e organiza as rotinas preventivas nas repartições governamentais.</w:t>
      </w:r>
      <w:r>
        <w:rPr>
          <w:rFonts w:ascii="Times New Roman" w:hAnsi="Times New Roman" w:eastAsia="Times New Roman" w:cs="Times New Roman"/>
        </w:rPr>
      </w:r>
      <w:r>
        <w:rPr>
          <w:rFonts w:ascii="Times New Roman" w:hAnsi="Times New Roman" w:cs="Times New Roman"/>
        </w:rPr>
      </w:r>
    </w:p>
    <w:p w14:paraId="0B42D309" w14:textId="00FCC361">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60266AC9" w14:textId="52A7FAFA">
      <w:pPr>
        <w:pBdr/>
        <w:spacing w:after="0"/>
        <w:ind/>
        <w:jc w:val="both"/>
        <w:rPr>
          <w:rFonts w:ascii="Times New Roman" w:hAnsi="Times New Roman" w:cs="Times New Roman"/>
          <w:b/>
          <w:bCs/>
        </w:rPr>
      </w:pPr>
      <w:r>
        <w:rPr>
          <w:rFonts w:ascii="Times New Roman" w:hAnsi="Times New Roman" w:eastAsia="Times New Roman" w:cs="Times New Roman"/>
          <w:b/>
          <w:bCs/>
        </w:rPr>
        <w:t xml:space="preserve">5.6 Papel da XAI no Contexto do "Apagão das Canetas"</w:t>
      </w:r>
      <w:r>
        <w:rPr>
          <w:rFonts w:ascii="Times New Roman" w:hAnsi="Times New Roman" w:eastAsia="Times New Roman" w:cs="Times New Roman"/>
          <w:b/>
          <w:bCs/>
        </w:rPr>
      </w:r>
      <w:r>
        <w:rPr>
          <w:rFonts w:ascii="Times New Roman" w:hAnsi="Times New Roman" w:cs="Times New Roman"/>
          <w:b/>
          <w:bCs/>
        </w:rPr>
      </w:r>
    </w:p>
    <w:p w14:paraId="532D046B">
      <w:pPr>
        <w:pBdr/>
        <w:spacing w:after="0"/>
        <w:ind w:firstLine="720"/>
        <w:jc w:val="both"/>
        <w:rPr/>
      </w:pPr>
      <w:r>
        <w:rPr>
          <w:rFonts w:ascii="Times New Roman" w:hAnsi="Times New Roman" w:eastAsia="Times New Roman" w:cs="Times New Roman"/>
        </w:rPr>
        <w:t xml:space="preserve">A</w:t>
      </w:r>
      <w:r>
        <w:rPr>
          <w:rFonts w:ascii="Times New Roman" w:hAnsi="Times New Roman" w:eastAsia="Times New Roman" w:cs="Times New Roman"/>
        </w:rPr>
        <w:t xml:space="preserve"> explicabilidade da inteligência artificial assume o papel de núcleo estrutural desta pesquisa. Num cenário marcado por aversão decisória, a capacidade técnica de justificar uma medida é tão importante quanto a formalização do contrato em si (Guimarães, 20</w:t>
      </w:r>
      <w:r>
        <w:rPr>
          <w:rFonts w:ascii="Times New Roman" w:hAnsi="Times New Roman" w:eastAsia="Times New Roman" w:cs="Times New Roman"/>
        </w:rPr>
        <w:t xml:space="preserve">16). O gestor que dispõe de uma plataforma que explicita quais são os fatores originadores do alerta de risco encontra-se resguardado para fundamentar as suas escolhas.</w:t>
      </w:r>
      <w:r>
        <w:rPr>
          <w:rFonts w:ascii="Times New Roman" w:hAnsi="Times New Roman" w:eastAsia="Times New Roman" w:cs="Times New Roman"/>
        </w:rPr>
      </w:r>
      <w:r/>
    </w:p>
    <w:p w14:paraId="14E7F9FA">
      <w:pPr>
        <w:pBdr/>
        <w:spacing w:after="0"/>
        <w:ind w:firstLine="720"/>
        <w:jc w:val="both"/>
        <w:rPr/>
      </w:pPr>
      <w:r>
        <w:rPr>
          <w:rFonts w:ascii="Times New Roman" w:hAnsi="Times New Roman" w:eastAsia="Times New Roman" w:cs="Times New Roman"/>
        </w:rPr>
        <w:t xml:space="preserve">A</w:t>
      </w:r>
      <w:r>
        <w:rPr>
          <w:rFonts w:ascii="Times New Roman" w:hAnsi="Times New Roman" w:eastAsia="Times New Roman" w:cs="Times New Roman"/>
        </w:rPr>
        <w:t xml:space="preserve"> métrica de importância das variáveis garante a transparência global exigida para compreender as decisões do modelo estatístico (Molnar, 2020). Além disso, técnicas como o SHAP podem promover a explicabilidade local, dotando o gestor de relatórios customiz</w:t>
      </w:r>
      <w:r>
        <w:rPr>
          <w:rFonts w:ascii="Times New Roman" w:hAnsi="Times New Roman" w:eastAsia="Times New Roman" w:cs="Times New Roman"/>
        </w:rPr>
        <w:t xml:space="preserve">ados para cada certame submetido à máquina (Lundberg &amp; Lee, 2017). Para o exercício contínuo da transparência pública, essa funcionalidade torna-se imprescindível para responder a exigências processuais (Arrieta et al., 2020).</w:t>
      </w:r>
      <w:r>
        <w:rPr>
          <w:rFonts w:ascii="Times New Roman" w:hAnsi="Times New Roman" w:eastAsia="Times New Roman" w:cs="Times New Roman"/>
        </w:rPr>
      </w:r>
      <w:r/>
    </w:p>
    <w:p w14:paraId="7683E489" w14:textId="13E18538">
      <w:pPr>
        <w:pBdr/>
        <w:spacing w:after="0"/>
        <w:ind w:firstLine="720"/>
        <w:jc w:val="both"/>
        <w:rPr>
          <w:rFonts w:ascii="Times New Roman" w:hAnsi="Times New Roman" w:cs="Times New Roman"/>
        </w:rPr>
      </w:pPr>
      <w:r>
        <w:rPr>
          <w:rFonts w:ascii="Times New Roman" w:hAnsi="Times New Roman" w:eastAsia="Times New Roman" w:cs="Times New Roman"/>
        </w:rPr>
        <w:t xml:space="preserve">A</w:t>
      </w:r>
      <w:r>
        <w:rPr>
          <w:rFonts w:ascii="Times New Roman" w:hAnsi="Times New Roman" w:eastAsia="Times New Roman" w:cs="Times New Roman"/>
        </w:rPr>
        <w:t xml:space="preserve"> relação teórica com o "apagão das canetas" é pacífica e direta. Ao fornecer uma explicação pormenorizada dos riscos, o sistema reduz o desconforto e o risco de retaliação pessoal imputado ao decisor. Dessa maneira, o gestor atua de modo fundamentado e ras</w:t>
      </w:r>
      <w:r>
        <w:rPr>
          <w:rFonts w:ascii="Times New Roman" w:hAnsi="Times New Roman" w:eastAsia="Times New Roman" w:cs="Times New Roman"/>
        </w:rPr>
        <w:t xml:space="preserve">treável, com apoio matemático irrefutável para avançar na política de compras de inovação.</w:t>
      </w:r>
      <w:r>
        <w:rPr>
          <w:rFonts w:ascii="Times New Roman" w:hAnsi="Times New Roman" w:eastAsia="Times New Roman" w:cs="Times New Roman"/>
        </w:rPr>
      </w:r>
      <w:r>
        <w:rPr>
          <w:rFonts w:ascii="Times New Roman" w:hAnsi="Times New Roman" w:cs="Times New Roman"/>
        </w:rPr>
      </w:r>
    </w:p>
    <w:p w14:paraId="0FD9DFB8" w14:textId="77777777">
      <w:pPr>
        <w:pBdr/>
        <w:spacing w:after="0"/>
        <w:ind w:firstLine="720"/>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0920F529" w14:textId="00EDB6E2">
      <w:pPr>
        <w:pBdr/>
        <w:spacing w:after="0"/>
        <w:ind/>
        <w:jc w:val="both"/>
        <w:rPr>
          <w:rFonts w:ascii="Times New Roman" w:hAnsi="Times New Roman" w:cs="Times New Roman"/>
          <w:b/>
          <w:bCs/>
        </w:rPr>
      </w:pPr>
      <w:r>
        <w:rPr>
          <w:rFonts w:ascii="Times New Roman" w:hAnsi="Times New Roman" w:eastAsia="Times New Roman" w:cs="Times New Roman"/>
          <w:b/>
          <w:bCs/>
        </w:rPr>
        <w:t xml:space="preserve">5.7 Papel do Blockchain como Governança de Justificativas</w:t>
      </w:r>
      <w:r>
        <w:rPr>
          <w:rFonts w:ascii="Times New Roman" w:hAnsi="Times New Roman" w:eastAsia="Times New Roman" w:cs="Times New Roman"/>
          <w:b/>
          <w:bCs/>
        </w:rPr>
      </w:r>
      <w:r>
        <w:rPr>
          <w:rFonts w:ascii="Times New Roman" w:hAnsi="Times New Roman" w:cs="Times New Roman"/>
          <w:b/>
          <w:bCs/>
        </w:rPr>
      </w:r>
    </w:p>
    <w:p w14:paraId="64D64C89">
      <w:pPr>
        <w:pBdr/>
        <w:spacing w:after="0"/>
        <w:ind w:firstLine="720"/>
        <w:jc w:val="both"/>
        <w:rPr/>
      </w:pPr>
      <w:r>
        <w:rPr>
          <w:rFonts w:ascii="Times New Roman" w:hAnsi="Times New Roman" w:eastAsia="Times New Roman" w:cs="Times New Roman"/>
        </w:rPr>
        <w:t xml:space="preserve">O</w:t>
      </w:r>
      <w:r>
        <w:rPr>
          <w:rFonts w:ascii="Times New Roman" w:hAnsi="Times New Roman" w:eastAsia="Times New Roman" w:cs="Times New Roman"/>
        </w:rPr>
        <w:t xml:space="preserve"> reposicionamento teórico do blockchain constitui uma inovação conceptual na área administrativa. Parte expressiva da literatura apresentou esta tecnologia como um instrumento mágico para erradicar a corrupção (Kshetri, 2018). Essa expetativa inicial ignor</w:t>
      </w:r>
      <w:r>
        <w:rPr>
          <w:rFonts w:ascii="Times New Roman" w:hAnsi="Times New Roman" w:eastAsia="Times New Roman" w:cs="Times New Roman"/>
        </w:rPr>
        <w:t xml:space="preserve">ou o fato de que o blockchain atesta a integridade do ficheiro, mas não audita a veracidade das informações ali inseridas pelos operadores, situação conhecida como o problema do oráculo (Ølnes et al., 2017).</w:t>
      </w:r>
      <w:r>
        <w:rPr>
          <w:rFonts w:ascii="Times New Roman" w:hAnsi="Times New Roman" w:eastAsia="Times New Roman" w:cs="Times New Roman"/>
        </w:rPr>
      </w:r>
      <w:r/>
    </w:p>
    <w:p w14:paraId="7FB057EB">
      <w:pPr>
        <w:pBdr/>
        <w:spacing w:after="0"/>
        <w:ind w:firstLine="720"/>
        <w:jc w:val="both"/>
        <w:rPr/>
      </w:pPr>
      <w:r>
        <w:rPr>
          <w:rFonts w:ascii="Times New Roman" w:hAnsi="Times New Roman" w:eastAsia="Times New Roman" w:cs="Times New Roman"/>
        </w:rPr>
        <w:t xml:space="preserve">D</w:t>
      </w:r>
      <w:r>
        <w:rPr>
          <w:rFonts w:ascii="Times New Roman" w:hAnsi="Times New Roman" w:eastAsia="Times New Roman" w:cs="Times New Roman"/>
        </w:rPr>
        <w:t xml:space="preserve">iante disso, o framework proposto desloca a atuação do registo distribuído para uma finalidade arquivística denominada de governança de justificativas. Nessa arquitetura lógica, a criptografia consolida de forma imutável o cálculo do risco e as alegações i</w:t>
      </w:r>
      <w:r>
        <w:rPr>
          <w:rFonts w:ascii="Times New Roman" w:hAnsi="Times New Roman" w:eastAsia="Times New Roman" w:cs="Times New Roman"/>
        </w:rPr>
        <w:t xml:space="preserve">nseridas manualmente pelo gestor encarregado (Batubara et al., 2018). Essa cadeia blindada de registos impossibilita a adulteração de documentos em datas posteriores para mascarar falhas no procedimento original.</w:t>
      </w:r>
      <w:r>
        <w:rPr>
          <w:rFonts w:ascii="Times New Roman" w:hAnsi="Times New Roman" w:eastAsia="Times New Roman" w:cs="Times New Roman"/>
        </w:rPr>
      </w:r>
      <w:r/>
    </w:p>
    <w:p w14:paraId="22C95721" w14:textId="6F708310">
      <w:pPr>
        <w:pBdr/>
        <w:spacing w:after="0"/>
        <w:ind w:firstLine="720"/>
        <w:jc w:val="both"/>
        <w:rPr>
          <w:rFonts w:ascii="Times New Roman" w:hAnsi="Times New Roman" w:cs="Times New Roman"/>
        </w:rPr>
      </w:pPr>
      <w:r>
        <w:rPr>
          <w:rFonts w:ascii="Times New Roman" w:hAnsi="Times New Roman" w:eastAsia="Times New Roman" w:cs="Times New Roman"/>
        </w:rPr>
        <w:t xml:space="preserve">C</w:t>
      </w:r>
      <w:r>
        <w:rPr>
          <w:rFonts w:ascii="Times New Roman" w:hAnsi="Times New Roman" w:eastAsia="Times New Roman" w:cs="Times New Roman"/>
        </w:rPr>
        <w:t xml:space="preserve">onforme mencionado, a conexão dessa prática com a redução do "apagão das canetas" justifica o emprego do blockchain como armadura institucional do gestor probatório. O servidor dispõe de garantias tecnológicas de que a sua argumentação jurídica foi regista</w:t>
      </w:r>
      <w:r>
        <w:rPr>
          <w:rFonts w:ascii="Times New Roman" w:hAnsi="Times New Roman" w:eastAsia="Times New Roman" w:cs="Times New Roman"/>
        </w:rPr>
        <w:t xml:space="preserve">da no tempo e submetida à devida revisão hierárquica. Não obstante, a ausência de um protótipo tecnológico funcional representa um limite do presente estudo que demanda investimentos em programação avançada no futuro.</w:t>
      </w:r>
      <w:r>
        <w:rPr>
          <w:rFonts w:ascii="Times New Roman" w:hAnsi="Times New Roman" w:eastAsia="Times New Roman" w:cs="Times New Roman"/>
        </w:rPr>
      </w:r>
      <w:r>
        <w:rPr>
          <w:rFonts w:ascii="Times New Roman" w:hAnsi="Times New Roman" w:cs="Times New Roman"/>
        </w:rPr>
      </w:r>
    </w:p>
    <w:p w14:paraId="6BD98DA5" w14:textId="793364B9">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02AE3095" w14:textId="57B01FC1">
      <w:pPr>
        <w:pBdr/>
        <w:spacing w:after="0"/>
        <w:ind/>
        <w:jc w:val="both"/>
        <w:rPr>
          <w:rFonts w:ascii="Times New Roman" w:hAnsi="Times New Roman" w:cs="Times New Roman"/>
          <w:b/>
          <w:bCs/>
        </w:rPr>
      </w:pPr>
      <w:r>
        <w:rPr>
          <w:rFonts w:ascii="Times New Roman" w:hAnsi="Times New Roman" w:eastAsia="Times New Roman" w:cs="Times New Roman"/>
          <w:b/>
          <w:bCs/>
        </w:rPr>
        <w:t xml:space="preserve">5.8 Viés Algorítmico e Limitações do Modelo</w:t>
      </w:r>
      <w:r>
        <w:rPr>
          <w:rFonts w:ascii="Times New Roman" w:hAnsi="Times New Roman" w:eastAsia="Times New Roman" w:cs="Times New Roman"/>
          <w:b/>
          <w:bCs/>
        </w:rPr>
      </w:r>
      <w:r>
        <w:rPr>
          <w:rFonts w:ascii="Times New Roman" w:hAnsi="Times New Roman" w:cs="Times New Roman"/>
          <w:b/>
          <w:bCs/>
        </w:rPr>
      </w:r>
    </w:p>
    <w:p w14:paraId="7102AB24">
      <w:pPr>
        <w:pBdr/>
        <w:spacing w:after="0"/>
        <w:ind w:firstLine="720"/>
        <w:jc w:val="both"/>
        <w:rPr/>
      </w:pPr>
      <w:r>
        <w:rPr>
          <w:rFonts w:ascii="Times New Roman" w:hAnsi="Times New Roman" w:eastAsia="Times New Roman" w:cs="Times New Roman"/>
        </w:rPr>
        <w:t xml:space="preserve">A</w:t>
      </w:r>
      <w:r>
        <w:rPr>
          <w:rFonts w:ascii="Times New Roman" w:hAnsi="Times New Roman" w:eastAsia="Times New Roman" w:cs="Times New Roman"/>
        </w:rPr>
        <w:t xml:space="preserve"> introdução de algoritmos em órgãos estatais obriga à discussão científica sobre os vieses preditivos. Sistemas computacionais submetidos a dados públicos tendem a herdar as distorções estruturais contidas no histórico burocrático da nação (Veale &amp; Brass, </w:t>
      </w:r>
      <w:r>
        <w:rPr>
          <w:rFonts w:ascii="Times New Roman" w:hAnsi="Times New Roman" w:eastAsia="Times New Roman" w:cs="Times New Roman"/>
        </w:rPr>
        <w:t xml:space="preserve">2019). De forma complementar, a responsabilização governamental pressupõe a existência de ferramentas que auditem e corrijam eventuais desvios de parametrização da máquina (Freedman et al., 2020).</w:t>
      </w:r>
      <w:r>
        <w:rPr>
          <w:rFonts w:ascii="Times New Roman" w:hAnsi="Times New Roman" w:eastAsia="Times New Roman" w:cs="Times New Roman"/>
        </w:rPr>
      </w:r>
      <w:r/>
    </w:p>
    <w:p w14:paraId="7CE58FB1">
      <w:pPr>
        <w:pBdr/>
        <w:spacing w:after="0"/>
        <w:ind w:firstLine="720"/>
        <w:jc w:val="both"/>
        <w:rPr/>
      </w:pPr>
      <w:r>
        <w:rPr>
          <w:rFonts w:ascii="Times New Roman" w:hAnsi="Times New Roman" w:eastAsia="Times New Roman" w:cs="Times New Roman"/>
        </w:rPr>
        <w:t xml:space="preserve">N</w:t>
      </w:r>
      <w:r>
        <w:rPr>
          <w:rFonts w:ascii="Times New Roman" w:hAnsi="Times New Roman" w:eastAsia="Times New Roman" w:cs="Times New Roman"/>
        </w:rPr>
        <w:t xml:space="preserve">o framework concebido, mapeiam-se dois eixos principais de risco de viés de conceção. O primeiro ocorre no âmago do cálculo do escore processual. Ao atribuir pesos de risco elevados às contratações diretas, o modelo penaliza esferas governamentais específi</w:t>
      </w:r>
      <w:r>
        <w:rPr>
          <w:rFonts w:ascii="Times New Roman" w:hAnsi="Times New Roman" w:eastAsia="Times New Roman" w:cs="Times New Roman"/>
        </w:rPr>
        <w:t xml:space="preserve">cas, como a federal, que registam uma incidência natural desta modalidade, gerando falsos alarmes de complexidade.</w:t>
      </w:r>
      <w:r>
        <w:rPr>
          <w:rFonts w:ascii="Times New Roman" w:hAnsi="Times New Roman" w:eastAsia="Times New Roman" w:cs="Times New Roman"/>
        </w:rPr>
      </w:r>
      <w:r/>
    </w:p>
    <w:p w14:paraId="3415B3BC" w14:textId="509F14D5">
      <w:pPr>
        <w:pBdr/>
        <w:spacing w:after="0"/>
        <w:ind w:firstLine="720"/>
        <w:jc w:val="both"/>
        <w:rPr>
          <w:rFonts w:ascii="Times New Roman" w:hAnsi="Times New Roman" w:cs="Times New Roman"/>
        </w:rPr>
      </w:pPr>
      <w:r>
        <w:rPr>
          <w:rFonts w:ascii="Times New Roman" w:hAnsi="Times New Roman" w:eastAsia="Times New Roman" w:cs="Times New Roman"/>
        </w:rPr>
        <w:t xml:space="preserve">O</w:t>
      </w:r>
      <w:r>
        <w:rPr>
          <w:rFonts w:ascii="Times New Roman" w:hAnsi="Times New Roman" w:eastAsia="Times New Roman" w:cs="Times New Roman"/>
        </w:rPr>
        <w:t xml:space="preserve"> segundo risco incide sobre o processamento de texto focado no dicionário da inovação. O emprego de vocábulos rígidos omite editais inovadores que adotam sinônimos não mapeados e categoriza processos tradicionais de manutenção que citem termos relacionados</w:t>
      </w:r>
      <w:r>
        <w:rPr>
          <w:rFonts w:ascii="Times New Roman" w:hAnsi="Times New Roman" w:eastAsia="Times New Roman" w:cs="Times New Roman"/>
        </w:rPr>
        <w:t xml:space="preserve">.</w:t>
      </w:r>
      <w:r>
        <w:rPr>
          <w:rFonts w:ascii="Times New Roman" w:hAnsi="Times New Roman" w:eastAsia="Times New Roman" w:cs="Times New Roman"/>
        </w:rPr>
        <w:t xml:space="preserve"> A ocorrência massiva do termo "etec" para indicar processos escolares ilustra os desafios no processamento da linguagem natural. Em face dos resultados analisados, reforça-se a tese de que a ferramenta não substitui a triagem cognitiva, limitando-se a ori</w:t>
      </w:r>
      <w:r>
        <w:rPr>
          <w:rFonts w:ascii="Times New Roman" w:hAnsi="Times New Roman" w:eastAsia="Times New Roman" w:cs="Times New Roman"/>
        </w:rPr>
        <w:t xml:space="preserve">entar o utilizador final de modo eficiente.</w:t>
      </w:r>
      <w:r>
        <w:rPr>
          <w:rFonts w:ascii="Times New Roman" w:hAnsi="Times New Roman" w:eastAsia="Times New Roman" w:cs="Times New Roman"/>
        </w:rPr>
      </w:r>
      <w:r>
        <w:rPr>
          <w:rFonts w:ascii="Times New Roman" w:hAnsi="Times New Roman" w:cs="Times New Roman"/>
        </w:rPr>
      </w:r>
    </w:p>
    <w:p w14:paraId="25D5F2A1" w14:textId="72B20CC7">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5C4333C1" w14:textId="173B255C">
      <w:pPr>
        <w:pBdr/>
        <w:spacing w:after="0"/>
        <w:ind/>
        <w:jc w:val="both"/>
        <w:rPr>
          <w:rFonts w:ascii="Times New Roman" w:hAnsi="Times New Roman" w:cs="Times New Roman"/>
          <w:b/>
          <w:bCs/>
        </w:rPr>
      </w:pPr>
      <w:r>
        <w:rPr>
          <w:rFonts w:ascii="Times New Roman" w:hAnsi="Times New Roman" w:eastAsia="Times New Roman" w:cs="Times New Roman"/>
          <w:b/>
          <w:bCs/>
        </w:rPr>
        <w:t xml:space="preserve">5.9 Implicações para Política Pública</w:t>
      </w:r>
      <w:r>
        <w:rPr>
          <w:rFonts w:ascii="Times New Roman" w:hAnsi="Times New Roman" w:eastAsia="Times New Roman" w:cs="Times New Roman"/>
          <w:b/>
          <w:bCs/>
        </w:rPr>
      </w:r>
      <w:r>
        <w:rPr>
          <w:rFonts w:ascii="Times New Roman" w:hAnsi="Times New Roman" w:cs="Times New Roman"/>
          <w:b/>
          <w:bCs/>
        </w:rPr>
      </w:r>
    </w:p>
    <w:p w14:paraId="10A677BC">
      <w:pPr>
        <w:pBdr/>
        <w:spacing w:after="0"/>
        <w:ind w:firstLine="720"/>
        <w:jc w:val="both"/>
        <w:rPr/>
      </w:pPr>
      <w:r>
        <w:rPr>
          <w:rFonts w:ascii="Times New Roman" w:hAnsi="Times New Roman" w:eastAsia="Times New Roman" w:cs="Times New Roman"/>
        </w:rPr>
        <w:t xml:space="preserve">O</w:t>
      </w:r>
      <w:r>
        <w:rPr>
          <w:rFonts w:ascii="Times New Roman" w:hAnsi="Times New Roman" w:eastAsia="Times New Roman" w:cs="Times New Roman"/>
        </w:rPr>
        <w:t xml:space="preserve">s achados consolidados fornecem implicações aplicáveis a múltiplos agentes integrados no ecossistema das compras estatais. Para a linha de frente de gestão, o modelo propicia uma infraestrutura imune a adulterações para formalizar a triagem de riscos nos p</w:t>
      </w:r>
      <w:r>
        <w:rPr>
          <w:rFonts w:ascii="Times New Roman" w:hAnsi="Times New Roman" w:eastAsia="Times New Roman" w:cs="Times New Roman"/>
        </w:rPr>
        <w:t xml:space="preserve">r</w:t>
      </w:r>
      <w:r>
        <w:rPr>
          <w:rFonts w:ascii="Times New Roman" w:hAnsi="Times New Roman" w:eastAsia="Times New Roman" w:cs="Times New Roman"/>
        </w:rPr>
        <w:t xml:space="preserve">ocessos de aquisição. Para os tribunais de contas e procuradorias, o instrumento serve como um filtro direcionador de recursos humanos e financeiros em campanhas de auditoria contínua. Para as altas instâncias políticas, a pesquisa denuncia os entraves pro</w:t>
      </w:r>
      <w:r>
        <w:rPr>
          <w:rFonts w:ascii="Times New Roman" w:hAnsi="Times New Roman" w:eastAsia="Times New Roman" w:cs="Times New Roman"/>
        </w:rPr>
        <w:t xml:space="preserve">cessuais e o abismo documental que estrangulam o fomento tecnológico a nível nacional.</w:t>
      </w:r>
      <w:r>
        <w:rPr>
          <w:rFonts w:ascii="Times New Roman" w:hAnsi="Times New Roman" w:eastAsia="Times New Roman" w:cs="Times New Roman"/>
        </w:rPr>
      </w:r>
      <w:r/>
    </w:p>
    <w:p w14:paraId="24E67292" w14:textId="53F259C3">
      <w:pPr>
        <w:pBdr/>
        <w:spacing w:after="0"/>
        <w:ind w:firstLine="720"/>
        <w:jc w:val="both"/>
        <w:rPr>
          <w:rFonts w:ascii="Times New Roman" w:hAnsi="Times New Roman" w:cs="Times New Roman"/>
        </w:rPr>
      </w:pPr>
      <w:r>
        <w:rPr>
          <w:rFonts w:ascii="Times New Roman" w:hAnsi="Times New Roman" w:eastAsia="Times New Roman" w:cs="Times New Roman"/>
        </w:rPr>
        <w:t xml:space="preserve">S</w:t>
      </w:r>
      <w:r>
        <w:rPr>
          <w:rFonts w:ascii="Times New Roman" w:hAnsi="Times New Roman" w:eastAsia="Times New Roman" w:cs="Times New Roman"/>
        </w:rPr>
        <w:t xml:space="preserve">oma-se a isso a necessidade imediata de investimentos para robustecer os dados abertos do governo brasileiro. A ausência de interfaces de comunicação com o Cadastro Nacional de Empresas Inidôneas (CEIS) prejudica o enriquecimento preditivo das plataformas </w:t>
      </w:r>
      <w:r>
        <w:rPr>
          <w:rFonts w:ascii="Times New Roman" w:hAnsi="Times New Roman" w:eastAsia="Times New Roman" w:cs="Times New Roman"/>
        </w:rPr>
        <w:t xml:space="preserve">de compliance. Para tanto, a unificação destas bases de penalidades permitirá a construção de rótulos de dados estritamente validados de forma externa.</w:t>
      </w:r>
      <w:r>
        <w:rPr>
          <w:rFonts w:ascii="Times New Roman" w:hAnsi="Times New Roman" w:eastAsia="Times New Roman" w:cs="Times New Roman"/>
        </w:rPr>
      </w:r>
      <w:r>
        <w:rPr>
          <w:rFonts w:ascii="Times New Roman" w:hAnsi="Times New Roman" w:cs="Times New Roman"/>
        </w:rPr>
      </w:r>
    </w:p>
    <w:p w14:paraId="0AEFF9DF" w14:textId="32836E33">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1DBB91DD" w14:textId="77777777">
      <w:pPr>
        <w:pBdr/>
        <w:spacing w:after="0"/>
        <w:ind/>
        <w:jc w:val="both"/>
        <w:rPr>
          <w:rFonts w:ascii="Times New Roman" w:hAnsi="Times New Roman" w:cs="Times New Roman"/>
          <w:b/>
          <w:bCs/>
        </w:rPr>
      </w:pPr>
      <w:r>
        <w:rPr>
          <w:rFonts w:ascii="Times New Roman" w:hAnsi="Times New Roman" w:eastAsia="Times New Roman" w:cs="Times New Roman"/>
          <w:b/>
          <w:bCs/>
        </w:rPr>
        <w:t xml:space="preserve">6. CONCLUSÃO</w:t>
      </w:r>
      <w:r>
        <w:rPr>
          <w:rFonts w:ascii="Times New Roman" w:hAnsi="Times New Roman" w:eastAsia="Times New Roman" w:cs="Times New Roman"/>
          <w:b/>
          <w:bCs/>
        </w:rPr>
      </w:r>
      <w:r>
        <w:rPr>
          <w:rFonts w:ascii="Times New Roman" w:hAnsi="Times New Roman" w:cs="Times New Roman"/>
          <w:b/>
          <w:bCs/>
        </w:rPr>
      </w:r>
    </w:p>
    <w:p w14:paraId="07A6A409" w14:textId="2E7A0207">
      <w:pPr>
        <w:pBdr/>
        <w:spacing w:after="0"/>
        <w:ind/>
        <w:jc w:val="both"/>
        <w:rPr>
          <w:rFonts w:ascii="Times New Roman" w:hAnsi="Times New Roman" w:cs="Times New Roman"/>
          <w:b/>
          <w:bCs/>
        </w:rPr>
      </w:pPr>
      <w:r>
        <w:rPr>
          <w:rFonts w:ascii="Times New Roman" w:hAnsi="Times New Roman" w:eastAsia="Times New Roman" w:cs="Times New Roman"/>
        </w:rPr>
      </w:r>
      <w:bookmarkStart w:id="36" w:name="síntese-das-contribuições"/>
      <w:r>
        <w:rPr>
          <w:rFonts w:ascii="Times New Roman" w:hAnsi="Times New Roman" w:eastAsia="Times New Roman" w:cs="Times New Roman"/>
        </w:rPr>
      </w:r>
      <w:bookmarkStart w:id="37" w:name="resposta-à-pergunta-de-pesquisa"/>
      <w:r>
        <w:rPr>
          <w:rFonts w:ascii="Times New Roman" w:hAnsi="Times New Roman" w:eastAsia="Times New Roman" w:cs="Times New Roman"/>
        </w:rPr>
      </w:r>
      <w:bookmarkStart w:id="38" w:name="implicações-práticas"/>
      <w:r>
        <w:rPr>
          <w:rFonts w:ascii="Times New Roman" w:hAnsi="Times New Roman" w:eastAsia="Times New Roman" w:cs="Times New Roman"/>
        </w:rPr>
      </w:r>
      <w:bookmarkStart w:id="39" w:name="limitações-do-estudo"/>
      <w:r>
        <w:rPr>
          <w:rFonts w:ascii="Times New Roman" w:hAnsi="Times New Roman" w:eastAsia="Times New Roman" w:cs="Times New Roman"/>
        </w:rPr>
      </w:r>
      <w:bookmarkStart w:id="40" w:name="agenda-de-pesquisa-futura"/>
      <w:r>
        <w:rPr>
          <w:rFonts w:ascii="Times New Roman" w:hAnsi="Times New Roman" w:eastAsia="Times New Roman" w:cs="Times New Roman"/>
        </w:rPr>
      </w:r>
      <w:r>
        <w:rPr>
          <w:rFonts w:ascii="Times New Roman" w:hAnsi="Times New Roman" w:eastAsia="Times New Roman" w:cs="Times New Roman"/>
        </w:rPr>
      </w:r>
      <w:bookmarkEnd w:id="36"/>
      <w:r>
        <w:rPr>
          <w:rFonts w:ascii="Times New Roman" w:hAnsi="Times New Roman" w:eastAsia="Times New Roman" w:cs="Times New Roman"/>
        </w:rPr>
      </w:r>
      <w:bookmarkEnd w:id="37"/>
      <w:r>
        <w:rPr>
          <w:rFonts w:ascii="Times New Roman" w:hAnsi="Times New Roman" w:eastAsia="Times New Roman" w:cs="Times New Roman"/>
        </w:rPr>
      </w:r>
      <w:bookmarkEnd w:id="38"/>
      <w:r>
        <w:rPr>
          <w:rFonts w:ascii="Times New Roman" w:hAnsi="Times New Roman" w:eastAsia="Times New Roman" w:cs="Times New Roman"/>
        </w:rPr>
      </w:r>
      <w:bookmarkEnd w:id="39"/>
      <w:r>
        <w:rPr>
          <w:rFonts w:ascii="Times New Roman" w:hAnsi="Times New Roman" w:eastAsia="Times New Roman" w:cs="Times New Roman"/>
        </w:rPr>
      </w:r>
      <w:bookmarkEnd w:id="40"/>
      <w:r>
        <w:rPr>
          <w:rFonts w:ascii="Times New Roman" w:hAnsi="Times New Roman" w:eastAsia="Times New Roman" w:cs="Times New Roman"/>
          <w:b/>
          <w:bCs/>
        </w:rPr>
        <w:t xml:space="preserve">6.1 Síntese das Contribuições</w:t>
      </w:r>
      <w:r>
        <w:rPr>
          <w:rFonts w:ascii="Times New Roman" w:hAnsi="Times New Roman" w:eastAsia="Times New Roman" w:cs="Times New Roman"/>
          <w:b/>
          <w:bCs/>
        </w:rPr>
      </w:r>
      <w:r>
        <w:rPr>
          <w:rFonts w:ascii="Times New Roman" w:hAnsi="Times New Roman" w:cs="Times New Roman"/>
          <w:b/>
          <w:bCs/>
        </w:rPr>
      </w:r>
    </w:p>
    <w:p w14:paraId="692CC45F" w14:textId="3CC7ACB9">
      <w:pPr>
        <w:pBdr/>
        <w:spacing w:after="0"/>
        <w:ind w:firstLine="720"/>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E</w:t>
      </w:r>
      <w:r>
        <w:rPr>
          <w:rFonts w:ascii="Times New Roman" w:hAnsi="Times New Roman" w:eastAsia="Times New Roman" w:cs="Times New Roman"/>
        </w:rPr>
        <w:t xml:space="preserve">ste estudo materializou e validou uma estrutura metodológica focada no compliance algorítmico de compras públicas de inovação. A primeira contribuição decorre do planeamento e da consolidação de uma base depurada de 273.309 registos oficiais, submetidos a </w:t>
      </w:r>
      <w:r>
        <w:rPr>
          <w:rFonts w:ascii="Times New Roman" w:hAnsi="Times New Roman" w:eastAsia="Times New Roman" w:cs="Times New Roman"/>
        </w:rPr>
        <w:t xml:space="preserve">p</w:t>
      </w:r>
      <w:r>
        <w:rPr>
          <w:rFonts w:ascii="Times New Roman" w:hAnsi="Times New Roman" w:eastAsia="Times New Roman" w:cs="Times New Roman"/>
        </w:rPr>
        <w:t xml:space="preserve">ráticas estritas de auditoria de código. A segunda contribuição é o desenho do escore ordinal calcado em fatores monetários e processuais, os quais sinalizam focos de risco e incerteza no procedimento. A terceira contribuição advém do embate entre os model</w:t>
      </w:r>
      <w:r>
        <w:rPr>
          <w:rFonts w:ascii="Times New Roman" w:hAnsi="Times New Roman" w:eastAsia="Times New Roman" w:cs="Times New Roman"/>
        </w:rPr>
        <w:t xml:space="preserve">o</w:t>
      </w:r>
      <w:r>
        <w:rPr>
          <w:rFonts w:ascii="Times New Roman" w:hAnsi="Times New Roman" w:eastAsia="Times New Roman" w:cs="Times New Roman"/>
        </w:rPr>
        <w:t xml:space="preserve">s da regressão linear múltipla e a floresta aleatória, atestando a dependência do sistema em face de regras formais inseridas matematicamente no código. A quarta contribuição assenta na proposta concetual de utilizar o blockchain como diário oficial inalte</w:t>
      </w:r>
      <w:r>
        <w:rPr>
          <w:rFonts w:ascii="Times New Roman" w:hAnsi="Times New Roman" w:eastAsia="Times New Roman" w:cs="Times New Roman"/>
        </w:rPr>
        <w:t xml:space="preserve">rável, protegendo os argumentos inseridos pelos gestores públicos.</w:t>
      </w:r>
      <w:r>
        <w:rPr>
          <w:rFonts w:ascii="Times New Roman" w:hAnsi="Times New Roman" w:eastAsia="Times New Roman" w:cs="Times New Roman"/>
        </w:rPr>
      </w:r>
      <w:r>
        <w:rPr>
          <w:rFonts w:ascii="Times New Roman" w:hAnsi="Times New Roman" w:cs="Times New Roman"/>
        </w:rPr>
      </w:r>
    </w:p>
    <w:p w14:paraId="70B97C5A" w14:textId="22A74C41">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75E8D235" w14:textId="745D68FD">
      <w:pPr>
        <w:pBdr/>
        <w:spacing w:after="0"/>
        <w:ind/>
        <w:jc w:val="both"/>
        <w:rPr>
          <w:rFonts w:ascii="Times New Roman" w:hAnsi="Times New Roman" w:cs="Times New Roman"/>
          <w:b/>
          <w:bCs/>
        </w:rPr>
      </w:pPr>
      <w:r>
        <w:rPr>
          <w:rFonts w:ascii="Times New Roman" w:hAnsi="Times New Roman" w:eastAsia="Times New Roman" w:cs="Times New Roman"/>
          <w:b/>
          <w:bCs/>
        </w:rPr>
        <w:t xml:space="preserve">6.2 Resposta à Pergunta de Pesquisa</w:t>
      </w:r>
      <w:r>
        <w:rPr>
          <w:rFonts w:ascii="Times New Roman" w:hAnsi="Times New Roman" w:eastAsia="Times New Roman" w:cs="Times New Roman"/>
          <w:b/>
          <w:bCs/>
        </w:rPr>
      </w:r>
      <w:r>
        <w:rPr>
          <w:rFonts w:ascii="Times New Roman" w:hAnsi="Times New Roman" w:cs="Times New Roman"/>
          <w:b/>
          <w:bCs/>
        </w:rPr>
      </w:r>
    </w:p>
    <w:p w14:paraId="77A40DB0">
      <w:pPr>
        <w:pBdr/>
        <w:spacing w:after="0"/>
        <w:ind w:firstLine="720"/>
        <w:jc w:val="both"/>
        <w:rPr/>
      </w:pPr>
      <w:r>
        <w:rPr>
          <w:rFonts w:ascii="Times New Roman" w:hAnsi="Times New Roman" w:eastAsia="Times New Roman" w:cs="Times New Roman"/>
        </w:rPr>
        <w:t xml:space="preserve">O</w:t>
      </w:r>
      <w:r>
        <w:rPr>
          <w:rFonts w:ascii="Times New Roman" w:hAnsi="Times New Roman" w:eastAsia="Times New Roman" w:cs="Times New Roman"/>
        </w:rPr>
        <w:t xml:space="preserve">s exames estatísticos demonstraram a exequibilidade de um modelo alicerçado em proxies quantitativas para operacionalizar a análise padronizada de risco nos ritos licitatórios de inovação. A arquitetura proposta elucida o processo, não removendo a capacida</w:t>
      </w:r>
      <w:r>
        <w:rPr>
          <w:rFonts w:ascii="Times New Roman" w:hAnsi="Times New Roman" w:eastAsia="Times New Roman" w:cs="Times New Roman"/>
        </w:rPr>
        <w:t xml:space="preserve">de inteletual do ser humano, mas sim otimizando as justificações no processo físico ou digital da autarquia.</w:t>
      </w:r>
      <w:r>
        <w:rPr>
          <w:rFonts w:ascii="Times New Roman" w:hAnsi="Times New Roman" w:eastAsia="Times New Roman" w:cs="Times New Roman"/>
        </w:rPr>
      </w:r>
      <w:r/>
    </w:p>
    <w:p w14:paraId="268D7B22" w14:textId="1AD0B6B1">
      <w:pPr>
        <w:pBdr/>
        <w:spacing w:after="0"/>
        <w:ind w:firstLine="720"/>
        <w:jc w:val="both"/>
        <w:rPr>
          <w:rFonts w:ascii="Times New Roman" w:hAnsi="Times New Roman" w:cs="Times New Roman"/>
        </w:rPr>
      </w:pPr>
      <w:r>
        <w:rPr>
          <w:rFonts w:ascii="Times New Roman" w:hAnsi="Times New Roman" w:eastAsia="Times New Roman" w:cs="Times New Roman"/>
        </w:rPr>
        <w:t xml:space="preserve">A</w:t>
      </w:r>
      <w:r>
        <w:rPr>
          <w:rFonts w:ascii="Times New Roman" w:hAnsi="Times New Roman" w:eastAsia="Times New Roman" w:cs="Times New Roman"/>
        </w:rPr>
        <w:t xml:space="preserve"> mitigação do receio funcional que gera o "apagão das canetas" origina-se na organização lógica dos argumentos gerados com a chancela do modelo algorítmico. O funcionário que ampara a sua decisão utilizando a avaliação pormenorizada da inteligência artific</w:t>
      </w:r>
      <w:r>
        <w:rPr>
          <w:rFonts w:ascii="Times New Roman" w:hAnsi="Times New Roman" w:eastAsia="Times New Roman" w:cs="Times New Roman"/>
        </w:rPr>
        <w:t xml:space="preserve">ial obtém o suporte da rastreabilidade para o escrutínio de eventuais auditores no futuro. Dessa forma, as condutas preventivas de documentação resguardam os servidores envolvidos.</w:t>
      </w:r>
      <w:r>
        <w:rPr>
          <w:rFonts w:ascii="Times New Roman" w:hAnsi="Times New Roman" w:eastAsia="Times New Roman" w:cs="Times New Roman"/>
        </w:rPr>
      </w:r>
      <w:r>
        <w:rPr>
          <w:rFonts w:ascii="Times New Roman" w:hAnsi="Times New Roman" w:cs="Times New Roman"/>
        </w:rPr>
      </w:r>
    </w:p>
    <w:p w14:paraId="56168032" w14:textId="4648CEEE">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42981F6E" w14:textId="67E16D02">
      <w:pPr>
        <w:pBdr/>
        <w:spacing w:after="0"/>
        <w:ind/>
        <w:jc w:val="both"/>
        <w:rPr>
          <w:rFonts w:ascii="Times New Roman" w:hAnsi="Times New Roman" w:cs="Times New Roman"/>
          <w:b/>
          <w:bCs/>
        </w:rPr>
      </w:pPr>
      <w:r>
        <w:rPr>
          <w:rFonts w:ascii="Times New Roman" w:hAnsi="Times New Roman" w:eastAsia="Times New Roman" w:cs="Times New Roman"/>
          <w:b/>
          <w:bCs/>
        </w:rPr>
        <w:t xml:space="preserve">6.3 Implicações Práticas</w:t>
      </w:r>
      <w:r>
        <w:rPr>
          <w:rFonts w:ascii="Times New Roman" w:hAnsi="Times New Roman" w:eastAsia="Times New Roman" w:cs="Times New Roman"/>
          <w:b/>
          <w:bCs/>
        </w:rPr>
      </w:r>
      <w:r>
        <w:rPr>
          <w:rFonts w:ascii="Times New Roman" w:hAnsi="Times New Roman" w:cs="Times New Roman"/>
          <w:b/>
          <w:bCs/>
        </w:rPr>
      </w:r>
    </w:p>
    <w:p w14:paraId="3C6CB50B" w14:textId="1ACD460D">
      <w:pPr>
        <w:pBdr/>
        <w:spacing w:after="0"/>
        <w:ind w:firstLine="720"/>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A</w:t>
      </w:r>
      <w:r>
        <w:rPr>
          <w:rFonts w:ascii="Times New Roman" w:hAnsi="Times New Roman" w:eastAsia="Times New Roman" w:cs="Times New Roman"/>
        </w:rPr>
        <w:t xml:space="preserve">s consequências aplicadas da investigação beneficiam toda a cadeia de compras governamentais. Os administradores acedem a um dashboard preditivo para documentar etapas que, de outro modo, decorreriam de modo subjetivo e informal. Os agentes de conformidade</w:t>
      </w:r>
      <w:r>
        <w:rPr>
          <w:rFonts w:ascii="Times New Roman" w:hAnsi="Times New Roman" w:eastAsia="Times New Roman" w:cs="Times New Roman"/>
        </w:rPr>
        <w:t xml:space="preserve"> </w:t>
      </w:r>
      <w:r>
        <w:rPr>
          <w:rFonts w:ascii="Times New Roman" w:hAnsi="Times New Roman" w:eastAsia="Times New Roman" w:cs="Times New Roman"/>
        </w:rPr>
        <w:t xml:space="preserve">e fiscalização beneficiam da categorização dos riscos, priorizando inspeções em contratos que agreguem fatores como dispensa de licitação e anomalias de sobrepreço. Os teóricos do fomento à inovação recebem provas empíricas contundentes da ausência general</w:t>
      </w:r>
      <w:r>
        <w:rPr>
          <w:rFonts w:ascii="Times New Roman" w:hAnsi="Times New Roman" w:eastAsia="Times New Roman" w:cs="Times New Roman"/>
        </w:rPr>
        <w:t xml:space="preserve">izada de compras de alta tecnologia nos portais de contratação do Brasil.</w:t>
      </w:r>
      <w:r>
        <w:rPr>
          <w:rFonts w:ascii="Times New Roman" w:hAnsi="Times New Roman" w:eastAsia="Times New Roman" w:cs="Times New Roman"/>
        </w:rPr>
      </w:r>
      <w:r>
        <w:rPr>
          <w:rFonts w:ascii="Times New Roman" w:hAnsi="Times New Roman" w:cs="Times New Roman"/>
        </w:rPr>
      </w:r>
    </w:p>
    <w:p w14:paraId="5137F576" w14:textId="730BA8BB">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547A2825" w14:textId="61D9C914">
      <w:pPr>
        <w:pBdr/>
        <w:spacing w:after="0"/>
        <w:ind/>
        <w:jc w:val="both"/>
        <w:rPr>
          <w:rFonts w:ascii="Times New Roman" w:hAnsi="Times New Roman" w:cs="Times New Roman"/>
          <w:b/>
          <w:bCs/>
        </w:rPr>
      </w:pPr>
      <w:r>
        <w:rPr>
          <w:rFonts w:ascii="Times New Roman" w:hAnsi="Times New Roman" w:eastAsia="Times New Roman" w:cs="Times New Roman"/>
          <w:b/>
          <w:bCs/>
        </w:rPr>
        <w:t xml:space="preserve">6.4 Limitações do Estudo</w:t>
      </w:r>
      <w:r>
        <w:rPr>
          <w:rFonts w:ascii="Times New Roman" w:hAnsi="Times New Roman" w:eastAsia="Times New Roman" w:cs="Times New Roman"/>
          <w:b/>
          <w:bCs/>
        </w:rPr>
      </w:r>
      <w:r>
        <w:rPr>
          <w:rFonts w:ascii="Times New Roman" w:hAnsi="Times New Roman" w:cs="Times New Roman"/>
          <w:b/>
          <w:bCs/>
        </w:rPr>
      </w:r>
    </w:p>
    <w:p w14:paraId="4E43D759">
      <w:pPr>
        <w:pBdr/>
        <w:spacing w:after="0"/>
        <w:ind w:firstLine="720"/>
        <w:jc w:val="both"/>
        <w:rPr/>
      </w:pPr>
      <w:r>
        <w:rPr>
          <w:rFonts w:ascii="Times New Roman" w:hAnsi="Times New Roman" w:eastAsia="Times New Roman" w:cs="Times New Roman"/>
        </w:rPr>
        <w:t xml:space="preserve">O</w:t>
      </w:r>
      <w:r>
        <w:rPr>
          <w:rFonts w:ascii="Times New Roman" w:hAnsi="Times New Roman" w:eastAsia="Times New Roman" w:cs="Times New Roman"/>
        </w:rPr>
        <w:t xml:space="preserve"> reconhecimento das limitações empíricas torna-se fundamental para calibrar o impacto das conclusões extraídas. A primeira fragilidade encontra-se na ausência de rótulos confirmados de ilegalidade ou fraude processual oriunda de decisões do tribunal de con</w:t>
      </w:r>
      <w:r>
        <w:rPr>
          <w:rFonts w:ascii="Times New Roman" w:hAnsi="Times New Roman" w:eastAsia="Times New Roman" w:cs="Times New Roman"/>
        </w:rPr>
        <w:t xml:space="preserve">tas, transformando o escore de risco estruturado numa abstração puramente heurística.</w:t>
      </w:r>
      <w:r>
        <w:rPr>
          <w:rFonts w:ascii="Times New Roman" w:hAnsi="Times New Roman" w:eastAsia="Times New Roman" w:cs="Times New Roman"/>
        </w:rPr>
      </w:r>
      <w:r/>
    </w:p>
    <w:p w14:paraId="5C00B51E">
      <w:pPr>
        <w:pBdr/>
        <w:spacing w:after="0"/>
        <w:ind w:firstLine="720"/>
        <w:jc w:val="both"/>
        <w:rPr/>
      </w:pPr>
      <w:r>
        <w:rPr>
          <w:rFonts w:ascii="Times New Roman" w:hAnsi="Times New Roman" w:eastAsia="Times New Roman" w:cs="Times New Roman"/>
        </w:rPr>
        <w:t xml:space="preserve">A</w:t>
      </w:r>
      <w:r>
        <w:rPr>
          <w:rFonts w:ascii="Times New Roman" w:hAnsi="Times New Roman" w:eastAsia="Times New Roman" w:cs="Times New Roman"/>
        </w:rPr>
        <w:t xml:space="preserve"> segunda limitação reside no recorte transversal e geográfico imposto, compreendendo apenas o ano fiscal de 2024 e englobando autarquias cuja adesão ao PNCP pode ser assíncrona. A terceira restrição reside na exploração das bibliotecas computacionais, uma </w:t>
      </w:r>
      <w:r>
        <w:rPr>
          <w:rFonts w:ascii="Times New Roman" w:hAnsi="Times New Roman" w:eastAsia="Times New Roman" w:cs="Times New Roman"/>
        </w:rPr>
        <w:t xml:space="preserve">vez que a regressão e a floresta aleatória foram executadas sob parâmetros padrão, sem otimização avançada para melhoria preditiva.</w:t>
      </w:r>
      <w:r>
        <w:rPr>
          <w:rFonts w:ascii="Times New Roman" w:hAnsi="Times New Roman" w:eastAsia="Times New Roman" w:cs="Times New Roman"/>
        </w:rPr>
      </w:r>
      <w:r/>
    </w:p>
    <w:p w14:paraId="0C02C4C6" w14:textId="6AB04311">
      <w:pPr>
        <w:pBdr/>
        <w:spacing w:after="0"/>
        <w:ind w:firstLine="720"/>
        <w:jc w:val="both"/>
        <w:rPr>
          <w:rFonts w:ascii="Times New Roman" w:hAnsi="Times New Roman" w:cs="Times New Roman"/>
        </w:rPr>
      </w:pPr>
      <w:r>
        <w:rPr>
          <w:rFonts w:ascii="Times New Roman" w:hAnsi="Times New Roman" w:eastAsia="Times New Roman" w:cs="Times New Roman"/>
        </w:rPr>
        <w:t xml:space="preserve">A</w:t>
      </w:r>
      <w:r>
        <w:rPr>
          <w:rFonts w:ascii="Times New Roman" w:hAnsi="Times New Roman" w:eastAsia="Times New Roman" w:cs="Times New Roman"/>
        </w:rPr>
        <w:t xml:space="preserve"> quarta limitação destaca que a aplicação do blockchain limitou-se ao campo literário, sem implantação real num servidor estatal ou apuração dos custos das transações computacionais. A quinta e última limitação concentra-se no formato engessado da pesquisa</w:t>
      </w:r>
      <w:r>
        <w:rPr>
          <w:rFonts w:ascii="Times New Roman" w:hAnsi="Times New Roman" w:eastAsia="Times New Roman" w:cs="Times New Roman"/>
        </w:rPr>
        <w:t xml:space="preserve"> por palavras-chave na base de dados orçamentais, que induziu falsos alarmes ao ignorar o contexto semântico e morfológico dos documentos textuais avaliados.</w:t>
      </w:r>
      <w:r>
        <w:rPr>
          <w:rFonts w:ascii="Times New Roman" w:hAnsi="Times New Roman" w:eastAsia="Times New Roman" w:cs="Times New Roman"/>
        </w:rPr>
      </w:r>
      <w:r>
        <w:rPr>
          <w:rFonts w:ascii="Times New Roman" w:hAnsi="Times New Roman" w:cs="Times New Roman"/>
        </w:rPr>
      </w:r>
    </w:p>
    <w:p w14:paraId="2B23CE00" w14:textId="21EE9684">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1B57FF95" w14:textId="52C4F43B">
      <w:pPr>
        <w:pBdr/>
        <w:spacing w:after="0"/>
        <w:ind/>
        <w:jc w:val="both"/>
        <w:rPr>
          <w:rFonts w:ascii="Times New Roman" w:hAnsi="Times New Roman" w:cs="Times New Roman"/>
          <w:b/>
          <w:bCs/>
        </w:rPr>
      </w:pPr>
      <w:r>
        <w:rPr>
          <w:rFonts w:ascii="Times New Roman" w:hAnsi="Times New Roman" w:eastAsia="Times New Roman" w:cs="Times New Roman"/>
          <w:b/>
          <w:bCs/>
        </w:rPr>
        <w:t xml:space="preserve">6.5 Agenda de Pesquisa Futura</w:t>
      </w:r>
      <w:r>
        <w:rPr>
          <w:rFonts w:ascii="Times New Roman" w:hAnsi="Times New Roman" w:eastAsia="Times New Roman" w:cs="Times New Roman"/>
          <w:b/>
          <w:bCs/>
        </w:rPr>
      </w:r>
      <w:r>
        <w:rPr>
          <w:rFonts w:ascii="Times New Roman" w:hAnsi="Times New Roman" w:cs="Times New Roman"/>
          <w:b/>
          <w:bCs/>
        </w:rPr>
      </w:r>
    </w:p>
    <w:p w14:paraId="263573BA">
      <w:pPr>
        <w:pBdr/>
        <w:spacing w:after="0"/>
        <w:ind w:firstLine="720"/>
        <w:jc w:val="both"/>
        <w:rPr/>
      </w:pPr>
      <w:r>
        <w:rPr>
          <w:rFonts w:ascii="Times New Roman" w:hAnsi="Times New Roman" w:eastAsia="Times New Roman" w:cs="Times New Roman"/>
        </w:rPr>
        <w:t xml:space="preserve">O</w:t>
      </w:r>
      <w:r>
        <w:rPr>
          <w:rFonts w:ascii="Times New Roman" w:hAnsi="Times New Roman" w:eastAsia="Times New Roman" w:cs="Times New Roman"/>
        </w:rPr>
        <w:t xml:space="preserve">s resultados exploratórios apontam diversos vetores para futuras expedições científicas. O primeiro e mais relevante desdobramento consiste na ligação em tempo real com bases de dados da controladoria federal para testar os alertas gerados contra processos</w:t>
      </w:r>
      <w:r>
        <w:rPr>
          <w:rFonts w:ascii="Times New Roman" w:hAnsi="Times New Roman" w:eastAsia="Times New Roman" w:cs="Times New Roman"/>
        </w:rPr>
        <w:t xml:space="preserve"> efetivamente condenados pelos órgãos da justiça brasileira.</w:t>
      </w:r>
      <w:r>
        <w:rPr>
          <w:rFonts w:ascii="Times New Roman" w:hAnsi="Times New Roman" w:eastAsia="Times New Roman" w:cs="Times New Roman"/>
        </w:rPr>
      </w:r>
      <w:r/>
    </w:p>
    <w:p w14:paraId="09D090F1">
      <w:pPr>
        <w:pBdr/>
        <w:spacing w:after="0"/>
        <w:ind w:firstLine="720"/>
        <w:jc w:val="both"/>
        <w:rPr/>
      </w:pPr>
      <w:r>
        <w:rPr>
          <w:rFonts w:ascii="Times New Roman" w:hAnsi="Times New Roman" w:eastAsia="Times New Roman" w:cs="Times New Roman"/>
        </w:rPr>
        <w:t xml:space="preserve">O</w:t>
      </w:r>
      <w:r>
        <w:rPr>
          <w:rFonts w:ascii="Times New Roman" w:hAnsi="Times New Roman" w:eastAsia="Times New Roman" w:cs="Times New Roman"/>
        </w:rPr>
        <w:t xml:space="preserve"> segundo caminho impõe o prolongamento da série temporal e a segregação preditiva focada em setores específicos, como o campo hospitalar ou o militar. O terceiro avanço requisita a inserção do processamento avançado de linguagem natural e o uso da técnica </w:t>
      </w:r>
      <w:r>
        <w:rPr>
          <w:rFonts w:ascii="Times New Roman" w:hAnsi="Times New Roman" w:eastAsia="Times New Roman" w:cs="Times New Roman"/>
        </w:rPr>
        <w:t xml:space="preserve">SHAP para gerar relatórios linguísticos das previsões locais do risco.</w:t>
      </w:r>
      <w:r>
        <w:rPr>
          <w:rFonts w:ascii="Times New Roman" w:hAnsi="Times New Roman" w:eastAsia="Times New Roman" w:cs="Times New Roman"/>
        </w:rPr>
      </w:r>
      <w:r/>
    </w:p>
    <w:p w14:paraId="023A4FCB" w14:textId="4A2D9936">
      <w:pPr>
        <w:pBdr/>
        <w:spacing w:after="0"/>
        <w:ind w:firstLine="720"/>
        <w:jc w:val="both"/>
        <w:rPr>
          <w:rFonts w:ascii="Times New Roman" w:hAnsi="Times New Roman" w:cs="Times New Roman"/>
        </w:rPr>
      </w:pPr>
      <w:r>
        <w:rPr>
          <w:rFonts w:ascii="Times New Roman" w:hAnsi="Times New Roman" w:eastAsia="Times New Roman" w:cs="Times New Roman"/>
        </w:rPr>
        <w:t xml:space="preserve">O</w:t>
      </w:r>
      <w:r>
        <w:rPr>
          <w:rFonts w:ascii="Times New Roman" w:hAnsi="Times New Roman" w:eastAsia="Times New Roman" w:cs="Times New Roman"/>
        </w:rPr>
        <w:t xml:space="preserve"> quarto vetor impõe testes de aceitabilidade nas prefeituras e órgãos públicos, visando capturar a perceção dos técnicos perante o software de triagem no ecossistema laborativo diário. O quinto horizonte delineia-se com a programação estrita de contratos i</w:t>
      </w:r>
      <w:r>
        <w:rPr>
          <w:rFonts w:ascii="Times New Roman" w:hAnsi="Times New Roman" w:eastAsia="Times New Roman" w:cs="Times New Roman"/>
        </w:rPr>
        <w:t xml:space="preserve">nteligentes para prototipar a arquitetura do blockchain e testar as barreiras e custos criptográficos na adoção pelos tribunais de contas.</w:t>
      </w:r>
      <w:r>
        <w:rPr>
          <w:rFonts w:ascii="Times New Roman" w:hAnsi="Times New Roman" w:eastAsia="Times New Roman" w:cs="Times New Roman"/>
        </w:rPr>
      </w:r>
      <w:r>
        <w:rPr>
          <w:rFonts w:ascii="Times New Roman" w:hAnsi="Times New Roman" w:cs="Times New Roman"/>
        </w:rPr>
      </w:r>
    </w:p>
    <w:p w14:paraId="45121415" w14:textId="77919D37">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4F9688F9" w14:textId="6426A223">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4704C5DE" w14:textId="35E878D4">
      <w:pPr>
        <w:pBdr/>
        <w:spacing/>
        <w:ind/>
        <w:rPr>
          <w:rFonts w:ascii="Times New Roman" w:hAnsi="Times New Roman" w:cs="Times New Roman"/>
          <w:b/>
          <w:bCs/>
        </w:rPr>
      </w:pPr>
      <w:r>
        <w:rPr>
          <w:rFonts w:ascii="Times New Roman" w:hAnsi="Times New Roman" w:eastAsia="Times New Roman" w:cs="Times New Roman"/>
          <w:b/>
          <w:bCs/>
        </w:rPr>
        <w:t xml:space="preserve">REFERÊNCIAS</w:t>
      </w:r>
      <w:r>
        <w:rPr>
          <w:rFonts w:ascii="Times New Roman" w:hAnsi="Times New Roman" w:eastAsia="Times New Roman" w:cs="Times New Roman"/>
          <w:b/>
          <w:bCs/>
        </w:rPr>
      </w:r>
      <w:r>
        <w:rPr>
          <w:rFonts w:ascii="Times New Roman" w:hAnsi="Times New Roman" w:cs="Times New Roman"/>
          <w:b/>
          <w:bCs/>
        </w:rPr>
      </w:r>
    </w:p>
    <w:p w14:paraId="3F4A3E40">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color w:val="000000"/>
          <w:sz w:val="24"/>
        </w:rPr>
        <w:t xml:space="preserve">Arrieta, A. B., Díaz-Rodríguez, N., Del Ser, J., Bennetot, A., Tabik, S., Barbado, A., ... &amp; Herrera, F. (2020). Explainable Artificial Intelligence (XAI): Concepts, taxonomies, opportunities and challenges toward responsible AI. </w:t>
      </w:r>
      <w:r>
        <w:rPr>
          <w:rFonts w:ascii="Times New Roman" w:hAnsi="Times New Roman" w:eastAsia="Times New Roman" w:cs="Times New Roman"/>
          <w:i/>
          <w:color w:val="000000"/>
          <w:sz w:val="24"/>
        </w:rPr>
        <w:t xml:space="preserve">Information Fusion</w:t>
      </w:r>
      <w:r>
        <w:rPr>
          <w:rFonts w:ascii="Times New Roman" w:hAnsi="Times New Roman" w:eastAsia="Times New Roman" w:cs="Times New Roman"/>
          <w:color w:val="000000"/>
          <w:sz w:val="24"/>
        </w:rPr>
        <w:t xml:space="preserve">, 58, 82-115.</w:t>
      </w:r>
      <w:r/>
    </w:p>
    <w:p w14:paraId="48F2BE49">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color w:val="000000"/>
          <w:sz w:val="24"/>
        </w:rPr>
        <w:t xml:space="preserve">Bajari, P., &amp; Tadelis, S. (2001). Incentives versus transaction costs: A theory of procurement contracts. </w:t>
      </w:r>
      <w:r>
        <w:rPr>
          <w:rFonts w:ascii="Times New Roman" w:hAnsi="Times New Roman" w:eastAsia="Times New Roman" w:cs="Times New Roman"/>
          <w:i/>
          <w:color w:val="000000"/>
          <w:sz w:val="24"/>
        </w:rPr>
        <w:t xml:space="preserve">RAND Journal of Economics</w:t>
      </w:r>
      <w:r>
        <w:rPr>
          <w:rFonts w:ascii="Times New Roman" w:hAnsi="Times New Roman" w:eastAsia="Times New Roman" w:cs="Times New Roman"/>
          <w:color w:val="000000"/>
          <w:sz w:val="24"/>
        </w:rPr>
        <w:t xml:space="preserve">, 32(3), 387-407.</w:t>
      </w:r>
      <w:r/>
    </w:p>
    <w:p w14:paraId="345AB587">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color w:val="000000"/>
          <w:sz w:val="24"/>
        </w:rPr>
        <w:t xml:space="preserve">Batubara, F. R., Ubacht, J., &amp; Janssen, M. (2018). Challenges of blockchain technology adoption for e-government: A systematic literature review. In </w:t>
      </w:r>
      <w:r>
        <w:rPr>
          <w:rFonts w:ascii="Times New Roman" w:hAnsi="Times New Roman" w:eastAsia="Times New Roman" w:cs="Times New Roman"/>
          <w:i/>
          <w:color w:val="000000"/>
          <w:sz w:val="24"/>
        </w:rPr>
        <w:t xml:space="preserve">Proceedings of the 19th Annual International Conference on Digital Government Research</w:t>
      </w:r>
      <w:r>
        <w:rPr>
          <w:rFonts w:ascii="Times New Roman" w:hAnsi="Times New Roman" w:eastAsia="Times New Roman" w:cs="Times New Roman"/>
          <w:color w:val="000000"/>
          <w:sz w:val="24"/>
        </w:rPr>
        <w:t xml:space="preserve">.</w:t>
      </w:r>
      <w:r/>
    </w:p>
    <w:p w14:paraId="6D1F1D23">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color w:val="000000"/>
          <w:sz w:val="24"/>
        </w:rPr>
        <w:t xml:space="preserve">Brasil. (1988). </w:t>
      </w:r>
      <w:r>
        <w:rPr>
          <w:rFonts w:ascii="Times New Roman" w:hAnsi="Times New Roman" w:eastAsia="Times New Roman" w:cs="Times New Roman"/>
          <w:i/>
          <w:color w:val="000000"/>
          <w:sz w:val="24"/>
        </w:rPr>
        <w:t xml:space="preserve">Constituição da República Federativa do Brasil de 1988</w:t>
      </w:r>
      <w:r>
        <w:rPr>
          <w:rFonts w:ascii="Times New Roman" w:hAnsi="Times New Roman" w:eastAsia="Times New Roman" w:cs="Times New Roman"/>
          <w:color w:val="000000"/>
          <w:sz w:val="24"/>
        </w:rPr>
        <w:t xml:space="preserve">. Diário Oficial da União.</w:t>
      </w:r>
      <w:r/>
    </w:p>
    <w:p w14:paraId="4E11CE2E">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color w:val="000000"/>
          <w:sz w:val="24"/>
        </w:rPr>
        <w:t xml:space="preserve">Brasil. (2004). </w:t>
      </w:r>
      <w:r>
        <w:rPr>
          <w:rFonts w:ascii="Times New Roman" w:hAnsi="Times New Roman" w:eastAsia="Times New Roman" w:cs="Times New Roman"/>
          <w:i/>
          <w:color w:val="000000"/>
          <w:sz w:val="24"/>
        </w:rPr>
        <w:t xml:space="preserve">Lei nº 10.973, de 2 de dezembro de 2004</w:t>
      </w:r>
      <w:r>
        <w:rPr>
          <w:rFonts w:ascii="Times New Roman" w:hAnsi="Times New Roman" w:eastAsia="Times New Roman" w:cs="Times New Roman"/>
          <w:color w:val="000000"/>
          <w:sz w:val="24"/>
        </w:rPr>
        <w:t xml:space="preserve">. Diário Oficial da União.</w:t>
      </w:r>
      <w:r/>
    </w:p>
    <w:p w14:paraId="6AF3B793">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color w:val="000000"/>
          <w:sz w:val="24"/>
        </w:rPr>
        <w:t xml:space="preserve">Brasil. (2021a). </w:t>
      </w:r>
      <w:r>
        <w:rPr>
          <w:rFonts w:ascii="Times New Roman" w:hAnsi="Times New Roman" w:eastAsia="Times New Roman" w:cs="Times New Roman"/>
          <w:i/>
          <w:color w:val="000000"/>
          <w:sz w:val="24"/>
        </w:rPr>
        <w:t xml:space="preserve">Lei nº 14.133, de 1º de abril de 2021</w:t>
      </w:r>
      <w:r>
        <w:rPr>
          <w:rFonts w:ascii="Times New Roman" w:hAnsi="Times New Roman" w:eastAsia="Times New Roman" w:cs="Times New Roman"/>
          <w:color w:val="000000"/>
          <w:sz w:val="24"/>
        </w:rPr>
        <w:t xml:space="preserve">. Diário Oficial da União.</w:t>
      </w:r>
      <w:r/>
    </w:p>
    <w:p w14:paraId="61725F8B">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color w:val="000000"/>
          <w:sz w:val="24"/>
        </w:rPr>
        <w:t xml:space="preserve">Brasil. (2021b). </w:t>
      </w:r>
      <w:r>
        <w:rPr>
          <w:rFonts w:ascii="Times New Roman" w:hAnsi="Times New Roman" w:eastAsia="Times New Roman" w:cs="Times New Roman"/>
          <w:i/>
          <w:color w:val="000000"/>
          <w:sz w:val="24"/>
        </w:rPr>
        <w:t xml:space="preserve">Lei Complementar nº 182, de 1º de junho de 2021</w:t>
      </w:r>
      <w:r>
        <w:rPr>
          <w:rFonts w:ascii="Times New Roman" w:hAnsi="Times New Roman" w:eastAsia="Times New Roman" w:cs="Times New Roman"/>
          <w:color w:val="000000"/>
          <w:sz w:val="24"/>
        </w:rPr>
        <w:t xml:space="preserve">. Diário Oficial da União.</w:t>
      </w:r>
      <w:r/>
    </w:p>
    <w:p w14:paraId="26861F5A">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color w:val="000000"/>
          <w:sz w:val="24"/>
        </w:rPr>
        <w:t xml:space="preserve">Coase, R. H. (1937). The nature of the firm. </w:t>
      </w:r>
      <w:r>
        <w:rPr>
          <w:rFonts w:ascii="Times New Roman" w:hAnsi="Times New Roman" w:eastAsia="Times New Roman" w:cs="Times New Roman"/>
          <w:i/>
          <w:color w:val="000000"/>
          <w:sz w:val="24"/>
        </w:rPr>
        <w:t xml:space="preserve">Economica</w:t>
      </w:r>
      <w:r>
        <w:rPr>
          <w:rFonts w:ascii="Times New Roman" w:hAnsi="Times New Roman" w:eastAsia="Times New Roman" w:cs="Times New Roman"/>
          <w:color w:val="000000"/>
          <w:sz w:val="24"/>
        </w:rPr>
        <w:t xml:space="preserve">, 4(16), 386-405.</w:t>
      </w:r>
      <w:r/>
    </w:p>
    <w:p w14:paraId="07386681">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color w:val="000000"/>
          <w:sz w:val="24"/>
        </w:rPr>
        <w:t xml:space="preserve">Danaher, J., Ohm, M. J., ... &amp; [et al.]. (2017). Algorithmic governance: Developing a research agenda through the power of collective intelligence. </w:t>
      </w:r>
      <w:r>
        <w:rPr>
          <w:rFonts w:ascii="Times New Roman" w:hAnsi="Times New Roman" w:eastAsia="Times New Roman" w:cs="Times New Roman"/>
          <w:i/>
          <w:color w:val="000000"/>
          <w:sz w:val="24"/>
        </w:rPr>
        <w:t xml:space="preserve">Big Data &amp; Society</w:t>
      </w:r>
      <w:r>
        <w:rPr>
          <w:rFonts w:ascii="Times New Roman" w:hAnsi="Times New Roman" w:eastAsia="Times New Roman" w:cs="Times New Roman"/>
          <w:color w:val="000000"/>
          <w:sz w:val="24"/>
        </w:rPr>
        <w:t xml:space="preserve">, 4(2), 1-21.</w:t>
      </w:r>
      <w:r/>
    </w:p>
    <w:p w14:paraId="7E03D3BF">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color w:val="000000"/>
          <w:sz w:val="24"/>
        </w:rPr>
        <w:t xml:space="preserve">Dutra, R., [et al.]. (2020). Machine learning for fraud detection in public procurement: A systematic review. In </w:t>
      </w:r>
      <w:r>
        <w:rPr>
          <w:rFonts w:ascii="Times New Roman" w:hAnsi="Times New Roman" w:eastAsia="Times New Roman" w:cs="Times New Roman"/>
          <w:i/>
          <w:color w:val="000000"/>
          <w:sz w:val="24"/>
        </w:rPr>
        <w:t xml:space="preserve">Proceedings of the 2020 ACM Conference on Economics and Computation</w:t>
      </w:r>
      <w:r>
        <w:rPr>
          <w:rFonts w:ascii="Times New Roman" w:hAnsi="Times New Roman" w:eastAsia="Times New Roman" w:cs="Times New Roman"/>
          <w:color w:val="000000"/>
          <w:sz w:val="24"/>
        </w:rPr>
        <w:t xml:space="preserve">.</w:t>
      </w:r>
      <w:r/>
    </w:p>
    <w:p w14:paraId="14EDE3DB">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color w:val="000000"/>
          <w:sz w:val="24"/>
        </w:rPr>
        <w:t xml:space="preserve">Edler, J., &amp; Georghiou, L. (2007). Public procurement and innovation: Resurrecting the demand side. </w:t>
      </w:r>
      <w:r>
        <w:rPr>
          <w:rFonts w:ascii="Times New Roman" w:hAnsi="Times New Roman" w:eastAsia="Times New Roman" w:cs="Times New Roman"/>
          <w:i/>
          <w:color w:val="000000"/>
          <w:sz w:val="24"/>
        </w:rPr>
        <w:t xml:space="preserve">Research Policy</w:t>
      </w:r>
      <w:r>
        <w:rPr>
          <w:rFonts w:ascii="Times New Roman" w:hAnsi="Times New Roman" w:eastAsia="Times New Roman" w:cs="Times New Roman"/>
          <w:color w:val="000000"/>
          <w:sz w:val="24"/>
        </w:rPr>
        <w:t xml:space="preserve">, 36(7), 949-963.</w:t>
      </w:r>
      <w:r/>
    </w:p>
    <w:p w14:paraId="7B756423">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color w:val="000000"/>
          <w:sz w:val="24"/>
        </w:rPr>
        <w:t xml:space="preserve">Edquist, C., &amp; Zabala-Iturriagagoitia, J. M. (2012). Public procurement for innovation as mission-oriented innovation policy. </w:t>
      </w:r>
      <w:r>
        <w:rPr>
          <w:rFonts w:ascii="Times New Roman" w:hAnsi="Times New Roman" w:eastAsia="Times New Roman" w:cs="Times New Roman"/>
          <w:i/>
          <w:color w:val="000000"/>
          <w:sz w:val="24"/>
        </w:rPr>
        <w:t xml:space="preserve">Research Policy</w:t>
      </w:r>
      <w:r>
        <w:rPr>
          <w:rFonts w:ascii="Times New Roman" w:hAnsi="Times New Roman" w:eastAsia="Times New Roman" w:cs="Times New Roman"/>
          <w:color w:val="000000"/>
          <w:sz w:val="24"/>
        </w:rPr>
        <w:t xml:space="preserve">, 41(10), 1757-1769.</w:t>
      </w:r>
      <w:r/>
    </w:p>
    <w:p w14:paraId="5224957B">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color w:val="000000"/>
          <w:sz w:val="24"/>
        </w:rPr>
        <w:t xml:space="preserve">Fiuza, E. P. S., &amp; Medeiros, B. A. (2014). </w:t>
      </w:r>
      <w:r>
        <w:rPr>
          <w:rFonts w:ascii="Times New Roman" w:hAnsi="Times New Roman" w:eastAsia="Times New Roman" w:cs="Times New Roman"/>
          <w:i/>
          <w:color w:val="000000"/>
          <w:sz w:val="24"/>
        </w:rPr>
        <w:t xml:space="preserve">A reforma da Lei 8.666/93 e do arcabouço legal de compras públicas no Brasil</w:t>
      </w:r>
      <w:r>
        <w:rPr>
          <w:rFonts w:ascii="Times New Roman" w:hAnsi="Times New Roman" w:eastAsia="Times New Roman" w:cs="Times New Roman"/>
          <w:color w:val="000000"/>
          <w:sz w:val="24"/>
        </w:rPr>
        <w:t xml:space="preserve"> (Nota Técnica IPEA No. 23). IPEA.</w:t>
      </w:r>
      <w:r/>
    </w:p>
    <w:p w14:paraId="280AC202">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color w:val="000000"/>
          <w:sz w:val="24"/>
        </w:rPr>
        <w:t xml:space="preserve">Freedman, R., [et al.]. (2020). Algorithmic accountability in the public sector. </w:t>
      </w:r>
      <w:r>
        <w:rPr>
          <w:rFonts w:ascii="Times New Roman" w:hAnsi="Times New Roman" w:eastAsia="Times New Roman" w:cs="Times New Roman"/>
          <w:i/>
          <w:color w:val="000000"/>
          <w:sz w:val="24"/>
        </w:rPr>
        <w:t xml:space="preserve">Harvard Journal of Law &amp; Technology</w:t>
      </w:r>
      <w:r>
        <w:rPr>
          <w:rFonts w:ascii="Times New Roman" w:hAnsi="Times New Roman" w:eastAsia="Times New Roman" w:cs="Times New Roman"/>
          <w:color w:val="000000"/>
          <w:sz w:val="24"/>
        </w:rPr>
        <w:t xml:space="preserve">, 33(2).</w:t>
      </w:r>
      <w:r/>
    </w:p>
    <w:p w14:paraId="28AB69A5">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color w:val="000000"/>
          <w:sz w:val="24"/>
        </w:rPr>
        <w:t xml:space="preserve">Guimarães, F. V. (2016). O direito administrativo do medo: A crise da ineficiência pelo controle. </w:t>
      </w:r>
      <w:r>
        <w:rPr>
          <w:rFonts w:ascii="Times New Roman" w:hAnsi="Times New Roman" w:eastAsia="Times New Roman" w:cs="Times New Roman"/>
          <w:i/>
          <w:color w:val="000000"/>
          <w:sz w:val="24"/>
        </w:rPr>
        <w:t xml:space="preserve">Revista de Direito Administrativo</w:t>
      </w:r>
      <w:r>
        <w:rPr>
          <w:rFonts w:ascii="Times New Roman" w:hAnsi="Times New Roman" w:eastAsia="Times New Roman" w:cs="Times New Roman"/>
          <w:color w:val="000000"/>
          <w:sz w:val="24"/>
        </w:rPr>
        <w:t xml:space="preserve">, 273, 167-193.</w:t>
      </w:r>
      <w:r/>
    </w:p>
    <w:p w14:paraId="4F851D9E">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color w:val="000000"/>
          <w:sz w:val="24"/>
        </w:rPr>
        <w:t xml:space="preserve">Janssen, M., Brous, P., Estevez, E., Barbosa, L. S., &amp; Janowski, T. (2020). Data governance: Organizing data for trustworthy artificial intelligence. </w:t>
      </w:r>
      <w:r>
        <w:rPr>
          <w:rFonts w:ascii="Times New Roman" w:hAnsi="Times New Roman" w:eastAsia="Times New Roman" w:cs="Times New Roman"/>
          <w:i/>
          <w:color w:val="000000"/>
          <w:sz w:val="24"/>
        </w:rPr>
        <w:t xml:space="preserve">Government Information Quarterly</w:t>
      </w:r>
      <w:r>
        <w:rPr>
          <w:rFonts w:ascii="Times New Roman" w:hAnsi="Times New Roman" w:eastAsia="Times New Roman" w:cs="Times New Roman"/>
          <w:color w:val="000000"/>
          <w:sz w:val="24"/>
        </w:rPr>
        <w:t xml:space="preserve">, 37(3).</w:t>
      </w:r>
      <w:r/>
    </w:p>
    <w:p w14:paraId="545AB666">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color w:val="000000"/>
          <w:sz w:val="24"/>
        </w:rPr>
        <w:t xml:space="preserve">Kshetri, N. (2018). Blockchain's roles in meeting key supply chain management objectives. </w:t>
      </w:r>
      <w:r>
        <w:rPr>
          <w:rFonts w:ascii="Times New Roman" w:hAnsi="Times New Roman" w:eastAsia="Times New Roman" w:cs="Times New Roman"/>
          <w:i/>
          <w:color w:val="000000"/>
          <w:sz w:val="24"/>
        </w:rPr>
        <w:t xml:space="preserve">International Journal of Information Management</w:t>
      </w:r>
      <w:r>
        <w:rPr>
          <w:rFonts w:ascii="Times New Roman" w:hAnsi="Times New Roman" w:eastAsia="Times New Roman" w:cs="Times New Roman"/>
          <w:color w:val="000000"/>
          <w:sz w:val="24"/>
        </w:rPr>
        <w:t xml:space="preserve">, 39, 80-89.</w:t>
      </w:r>
      <w:r/>
    </w:p>
    <w:p w14:paraId="6D14FFED">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color w:val="000000"/>
          <w:sz w:val="24"/>
        </w:rPr>
        <w:t xml:space="preserve">Lember, V., Kattel, R., &amp; Kalvet, T. (Eds.). (2014). </w:t>
      </w:r>
      <w:r>
        <w:rPr>
          <w:rFonts w:ascii="Times New Roman" w:hAnsi="Times New Roman" w:eastAsia="Times New Roman" w:cs="Times New Roman"/>
          <w:i/>
          <w:color w:val="000000"/>
          <w:sz w:val="24"/>
        </w:rPr>
        <w:t xml:space="preserve">Public procurement, innovation and policy: International perspectives</w:t>
      </w:r>
      <w:r>
        <w:rPr>
          <w:rFonts w:ascii="Times New Roman" w:hAnsi="Times New Roman" w:eastAsia="Times New Roman" w:cs="Times New Roman"/>
          <w:color w:val="000000"/>
          <w:sz w:val="24"/>
        </w:rPr>
        <w:t xml:space="preserve">. Springer.</w:t>
      </w:r>
      <w:r/>
    </w:p>
    <w:p w14:paraId="354E2718">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color w:val="000000"/>
          <w:sz w:val="24"/>
        </w:rPr>
        <w:t xml:space="preserve">Lundberg, S. M., &amp; Lee, S. I. (2017). A unified approach to interpreting model predictions. In </w:t>
      </w:r>
      <w:r>
        <w:rPr>
          <w:rFonts w:ascii="Times New Roman" w:hAnsi="Times New Roman" w:eastAsia="Times New Roman" w:cs="Times New Roman"/>
          <w:i/>
          <w:color w:val="000000"/>
          <w:sz w:val="24"/>
        </w:rPr>
        <w:t xml:space="preserve">Advances in Neural Information Processing Systems (NeurIPS)</w:t>
      </w:r>
      <w:r>
        <w:rPr>
          <w:rFonts w:ascii="Times New Roman" w:hAnsi="Times New Roman" w:eastAsia="Times New Roman" w:cs="Times New Roman"/>
          <w:color w:val="000000"/>
          <w:sz w:val="24"/>
        </w:rPr>
        <w:t xml:space="preserve">, 30.</w:t>
      </w:r>
      <w:r/>
    </w:p>
    <w:p w14:paraId="048066B9">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color w:val="000000"/>
          <w:sz w:val="24"/>
        </w:rPr>
        <w:t xml:space="preserve">Mazzucato, M. (2013). </w:t>
      </w:r>
      <w:r>
        <w:rPr>
          <w:rFonts w:ascii="Times New Roman" w:hAnsi="Times New Roman" w:eastAsia="Times New Roman" w:cs="Times New Roman"/>
          <w:i/>
          <w:color w:val="000000"/>
          <w:sz w:val="24"/>
        </w:rPr>
        <w:t xml:space="preserve">The entrepreneurial state: Debunking public vs. private sector myths</w:t>
      </w:r>
      <w:r>
        <w:rPr>
          <w:rFonts w:ascii="Times New Roman" w:hAnsi="Times New Roman" w:eastAsia="Times New Roman" w:cs="Times New Roman"/>
          <w:color w:val="000000"/>
          <w:sz w:val="24"/>
        </w:rPr>
        <w:t xml:space="preserve">. Anthem Press.</w:t>
      </w:r>
      <w:r/>
    </w:p>
    <w:p w14:paraId="2B3BA435">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color w:val="000000"/>
          <w:sz w:val="24"/>
        </w:rPr>
        <w:t xml:space="preserve">Molnar, C. (2020). </w:t>
      </w:r>
      <w:r>
        <w:rPr>
          <w:rFonts w:ascii="Times New Roman" w:hAnsi="Times New Roman" w:eastAsia="Times New Roman" w:cs="Times New Roman"/>
          <w:i/>
          <w:color w:val="000000"/>
          <w:sz w:val="24"/>
        </w:rPr>
        <w:t xml:space="preserve">Interpretable machine learning: A guide for making black box models explainable</w:t>
      </w:r>
      <w:r>
        <w:rPr>
          <w:rFonts w:ascii="Times New Roman" w:hAnsi="Times New Roman" w:eastAsia="Times New Roman" w:cs="Times New Roman"/>
          <w:color w:val="000000"/>
          <w:sz w:val="24"/>
        </w:rPr>
        <w:t xml:space="preserve"> (2ª ed.). </w:t>
      </w:r>
      <w:hyperlink r:id="rId17" w:tooltip="https://christophm.github.io/interpretable-ml-book/" w:history="1">
        <w:r>
          <w:rPr>
            <w:rStyle w:val="923"/>
            <w:rFonts w:ascii="Times New Roman" w:hAnsi="Times New Roman" w:eastAsia="Times New Roman" w:cs="Times New Roman"/>
            <w:color w:val="0000ee"/>
            <w:sz w:val="24"/>
            <w:u w:val="single"/>
          </w:rPr>
          <w:t xml:space="preserve">https://christophm.github.io/interpretable-ml-book/</w:t>
        </w:r>
      </w:hyperlink>
      <w:r/>
      <w:r/>
    </w:p>
    <w:p w14:paraId="25351015">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color w:val="000000"/>
          <w:sz w:val="24"/>
        </w:rPr>
        <w:t xml:space="preserve">Ølnes, S., Ubacht, J., &amp; Janssen, M. (2017). Blockchain in government: Benefits and implications of distributed ledger technology for information sharing. </w:t>
      </w:r>
      <w:r>
        <w:rPr>
          <w:rFonts w:ascii="Times New Roman" w:hAnsi="Times New Roman" w:eastAsia="Times New Roman" w:cs="Times New Roman"/>
          <w:i/>
          <w:color w:val="000000"/>
          <w:sz w:val="24"/>
        </w:rPr>
        <w:t xml:space="preserve">Government Information Quarterly</w:t>
      </w:r>
      <w:r>
        <w:rPr>
          <w:rFonts w:ascii="Times New Roman" w:hAnsi="Times New Roman" w:eastAsia="Times New Roman" w:cs="Times New Roman"/>
          <w:color w:val="000000"/>
          <w:sz w:val="24"/>
        </w:rPr>
        <w:t xml:space="preserve">, 34(3), 355-364.</w:t>
      </w:r>
      <w:r/>
    </w:p>
    <w:p w14:paraId="5A62EAA8">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color w:val="000000"/>
          <w:sz w:val="24"/>
        </w:rPr>
        <w:t xml:space="preserve">Passotti, L., [et al.]. (2022). Governing algorithms: A framework for algorithmic decision-making in public administration. </w:t>
      </w:r>
      <w:r>
        <w:rPr>
          <w:rFonts w:ascii="Times New Roman" w:hAnsi="Times New Roman" w:eastAsia="Times New Roman" w:cs="Times New Roman"/>
          <w:i/>
          <w:color w:val="000000"/>
          <w:sz w:val="24"/>
        </w:rPr>
        <w:t xml:space="preserve">Government Information Quarterly</w:t>
      </w:r>
      <w:r>
        <w:rPr>
          <w:rFonts w:ascii="Times New Roman" w:hAnsi="Times New Roman" w:eastAsia="Times New Roman" w:cs="Times New Roman"/>
          <w:color w:val="000000"/>
          <w:sz w:val="24"/>
        </w:rPr>
        <w:t xml:space="preserve">, 39(1).</w:t>
      </w:r>
      <w:r/>
    </w:p>
    <w:p w14:paraId="225B04BA">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color w:val="000000"/>
          <w:sz w:val="24"/>
        </w:rPr>
        <w:t xml:space="preserve">Pedregosa, F., Varoquaux, G., Gramfort, A., Michel, V., Thirion, B., Grisel, O., ... &amp; Duchesnay, E. (2011). Scikit-learn: Machine learning in Python. </w:t>
      </w:r>
      <w:r>
        <w:rPr>
          <w:rFonts w:ascii="Times New Roman" w:hAnsi="Times New Roman" w:eastAsia="Times New Roman" w:cs="Times New Roman"/>
          <w:i/>
          <w:color w:val="000000"/>
          <w:sz w:val="24"/>
        </w:rPr>
        <w:t xml:space="preserve">Journal of Machine Learning Research</w:t>
      </w:r>
      <w:r>
        <w:rPr>
          <w:rFonts w:ascii="Times New Roman" w:hAnsi="Times New Roman" w:eastAsia="Times New Roman" w:cs="Times New Roman"/>
          <w:color w:val="000000"/>
          <w:sz w:val="24"/>
        </w:rPr>
        <w:t xml:space="preserve">, 12, 2825-2830.</w:t>
      </w:r>
      <w:r/>
    </w:p>
    <w:p w14:paraId="7D45230A">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color w:val="000000"/>
          <w:sz w:val="24"/>
        </w:rPr>
        <w:t xml:space="preserve">Rauen, C. V. (2015). O novo marco legal da inovação no Brasil: O que muda na relação ICT-empresa? </w:t>
      </w:r>
      <w:r>
        <w:rPr>
          <w:rFonts w:ascii="Times New Roman" w:hAnsi="Times New Roman" w:eastAsia="Times New Roman" w:cs="Times New Roman"/>
          <w:i/>
          <w:color w:val="000000"/>
          <w:sz w:val="24"/>
        </w:rPr>
        <w:t xml:space="preserve">Radar IPEA</w:t>
      </w:r>
      <w:r>
        <w:rPr>
          <w:rFonts w:ascii="Times New Roman" w:hAnsi="Times New Roman" w:eastAsia="Times New Roman" w:cs="Times New Roman"/>
          <w:color w:val="000000"/>
          <w:sz w:val="24"/>
        </w:rPr>
        <w:t xml:space="preserve">, 43, 21-35.</w:t>
      </w:r>
      <w:r/>
    </w:p>
    <w:p w14:paraId="262C94F2">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color w:val="000000"/>
          <w:sz w:val="24"/>
        </w:rPr>
        <w:t xml:space="preserve">Ribeiro, M. T., Singh, S., &amp; Guestrin, C. (2016). "Why should I trust you?": Explaining the predictions of any classifier. In </w:t>
      </w:r>
      <w:r>
        <w:rPr>
          <w:rFonts w:ascii="Times New Roman" w:hAnsi="Times New Roman" w:eastAsia="Times New Roman" w:cs="Times New Roman"/>
          <w:i/>
          <w:color w:val="000000"/>
          <w:sz w:val="24"/>
        </w:rPr>
        <w:t xml:space="preserve">Proceedings of the 22nd ACM SIGKDD International Conference on Knowledge Discovery and Data Mining</w:t>
      </w:r>
      <w:r>
        <w:rPr>
          <w:rFonts w:ascii="Times New Roman" w:hAnsi="Times New Roman" w:eastAsia="Times New Roman" w:cs="Times New Roman"/>
          <w:color w:val="000000"/>
          <w:sz w:val="24"/>
        </w:rPr>
        <w:t xml:space="preserve"> (pp. 1135-1144).</w:t>
      </w:r>
      <w:r/>
    </w:p>
    <w:p w14:paraId="66A0BC7B">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color w:val="000000"/>
          <w:sz w:val="24"/>
        </w:rPr>
        <w:t xml:space="preserve">Selbst, A. D., &amp; Barocas, S. (2018). The intuitive appeal of explainable machines. </w:t>
      </w:r>
      <w:r>
        <w:rPr>
          <w:rFonts w:ascii="Times New Roman" w:hAnsi="Times New Roman" w:eastAsia="Times New Roman" w:cs="Times New Roman"/>
          <w:i/>
          <w:color w:val="000000"/>
          <w:sz w:val="24"/>
        </w:rPr>
        <w:t xml:space="preserve">Fordham Law Review</w:t>
      </w:r>
      <w:r>
        <w:rPr>
          <w:rFonts w:ascii="Times New Roman" w:hAnsi="Times New Roman" w:eastAsia="Times New Roman" w:cs="Times New Roman"/>
          <w:color w:val="000000"/>
          <w:sz w:val="24"/>
        </w:rPr>
        <w:t xml:space="preserve">, 87(3), 1085-1139.</w:t>
      </w:r>
      <w:r/>
    </w:p>
    <w:p w14:paraId="5130D823">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color w:val="000000"/>
          <w:sz w:val="24"/>
        </w:rPr>
        <w:t xml:space="preserve">Squeff, F. H. S. (2014). </w:t>
      </w:r>
      <w:r>
        <w:rPr>
          <w:rFonts w:ascii="Times New Roman" w:hAnsi="Times New Roman" w:eastAsia="Times New Roman" w:cs="Times New Roman"/>
          <w:i/>
          <w:color w:val="000000"/>
          <w:sz w:val="24"/>
        </w:rPr>
        <w:t xml:space="preserve">O poder de compras governamental como instrumento de desenvolvimento tecnológico: Análise do caso brasileiro</w:t>
      </w:r>
      <w:r>
        <w:rPr>
          <w:rFonts w:ascii="Times New Roman" w:hAnsi="Times New Roman" w:eastAsia="Times New Roman" w:cs="Times New Roman"/>
          <w:color w:val="000000"/>
          <w:sz w:val="24"/>
        </w:rPr>
        <w:t xml:space="preserve"> (Texto para Discussão IPEA No. 1922). IPEA.</w:t>
      </w:r>
      <w:r/>
    </w:p>
    <w:p w14:paraId="054DB365">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color w:val="000000"/>
          <w:sz w:val="24"/>
        </w:rPr>
        <w:t xml:space="preserve">Sundfeld, C. A. (2014). </w:t>
      </w:r>
      <w:r>
        <w:rPr>
          <w:rFonts w:ascii="Times New Roman" w:hAnsi="Times New Roman" w:eastAsia="Times New Roman" w:cs="Times New Roman"/>
          <w:i/>
          <w:color w:val="000000"/>
          <w:sz w:val="24"/>
        </w:rPr>
        <w:t xml:space="preserve">Direito administrativo para céticos</w:t>
      </w:r>
      <w:r>
        <w:rPr>
          <w:rFonts w:ascii="Times New Roman" w:hAnsi="Times New Roman" w:eastAsia="Times New Roman" w:cs="Times New Roman"/>
          <w:color w:val="000000"/>
          <w:sz w:val="24"/>
        </w:rPr>
        <w:t xml:space="preserve"> (2ª ed.). Malheiros.</w:t>
      </w:r>
      <w:r/>
    </w:p>
    <w:p w14:paraId="6283F56D">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color w:val="000000"/>
          <w:sz w:val="24"/>
        </w:rPr>
        <w:t xml:space="preserve">Uyarra, E., Edler, J., Garcia-Estevez, J., Georghiou, L., &amp; Yeow, J. (2014). Barriers to innovation through public procurement: A supplier perspective. </w:t>
      </w:r>
      <w:r>
        <w:rPr>
          <w:rFonts w:ascii="Times New Roman" w:hAnsi="Times New Roman" w:eastAsia="Times New Roman" w:cs="Times New Roman"/>
          <w:i/>
          <w:color w:val="000000"/>
          <w:sz w:val="24"/>
        </w:rPr>
        <w:t xml:space="preserve">Technovation</w:t>
      </w:r>
      <w:r>
        <w:rPr>
          <w:rFonts w:ascii="Times New Roman" w:hAnsi="Times New Roman" w:eastAsia="Times New Roman" w:cs="Times New Roman"/>
          <w:color w:val="000000"/>
          <w:sz w:val="24"/>
        </w:rPr>
        <w:t xml:space="preserve">, 34(10), 631-645.</w:t>
      </w:r>
      <w:r/>
    </w:p>
    <w:p w14:paraId="5F84C670">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color w:val="000000"/>
          <w:sz w:val="24"/>
        </w:rPr>
        <w:t xml:space="preserve">Veale, M., &amp; Brass, I. (2019). Administration by algorithm? Public management meets public sector machine learning. In K. Yeung &amp; M. Lodge (Eds.), </w:t>
      </w:r>
      <w:r>
        <w:rPr>
          <w:rFonts w:ascii="Times New Roman" w:hAnsi="Times New Roman" w:eastAsia="Times New Roman" w:cs="Times New Roman"/>
          <w:i/>
          <w:color w:val="000000"/>
          <w:sz w:val="24"/>
        </w:rPr>
        <w:t xml:space="preserve">Algorithmic regulation</w:t>
      </w:r>
      <w:r>
        <w:rPr>
          <w:rFonts w:ascii="Times New Roman" w:hAnsi="Times New Roman" w:eastAsia="Times New Roman" w:cs="Times New Roman"/>
          <w:color w:val="000000"/>
          <w:sz w:val="24"/>
        </w:rPr>
        <w:t xml:space="preserve"> (pp. 121-149). Oxford University Press.</w:t>
      </w:r>
      <w:r/>
    </w:p>
    <w:p w14:paraId="74BE5893">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color w:val="000000"/>
          <w:sz w:val="24"/>
        </w:rPr>
        <w:t xml:space="preserve">Williamson, O. E. (1985). </w:t>
      </w:r>
      <w:r>
        <w:rPr>
          <w:rFonts w:ascii="Times New Roman" w:hAnsi="Times New Roman" w:eastAsia="Times New Roman" w:cs="Times New Roman"/>
          <w:i/>
          <w:color w:val="000000"/>
          <w:sz w:val="24"/>
        </w:rPr>
        <w:t xml:space="preserve">The economic institutions of capitalism</w:t>
      </w:r>
      <w:r>
        <w:rPr>
          <w:rFonts w:ascii="Times New Roman" w:hAnsi="Times New Roman" w:eastAsia="Times New Roman" w:cs="Times New Roman"/>
          <w:color w:val="000000"/>
          <w:sz w:val="24"/>
        </w:rPr>
        <w:t xml:space="preserve">. Free Press.</w:t>
      </w:r>
      <w:r/>
    </w:p>
    <w:p w14:paraId="28FC1E07">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color w:val="000000"/>
          <w:sz w:val="24"/>
        </w:rPr>
        <w:t xml:space="preserve">Zuiderwijk, A., Chen, Y. C., &amp; Salem, F. (2021). Implications of the use of artificial intelligence in public governance: A systematic literature review and a research agenda. </w:t>
      </w:r>
      <w:r>
        <w:rPr>
          <w:rFonts w:ascii="Times New Roman" w:hAnsi="Times New Roman" w:eastAsia="Times New Roman" w:cs="Times New Roman"/>
          <w:i/>
          <w:color w:val="000000"/>
          <w:sz w:val="24"/>
        </w:rPr>
        <w:t xml:space="preserve">Government Information Quarterly</w:t>
      </w:r>
      <w:r>
        <w:rPr>
          <w:rFonts w:ascii="Times New Roman" w:hAnsi="Times New Roman" w:eastAsia="Times New Roman" w:cs="Times New Roman"/>
          <w:color w:val="000000"/>
          <w:sz w:val="24"/>
        </w:rPr>
        <w:t xml:space="preserve">, 38(3).</w:t>
      </w:r>
      <w:r/>
    </w:p>
    <w:p w14:paraId="26776CF4">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color w:val="000000"/>
          <w:sz w:val="24"/>
        </w:rPr>
        <w:t xml:space="preserve">Zymler, B., &amp; Dios, L. C. (2019). </w:t>
      </w:r>
      <w:r>
        <w:rPr>
          <w:rFonts w:ascii="Times New Roman" w:hAnsi="Times New Roman" w:eastAsia="Times New Roman" w:cs="Times New Roman"/>
          <w:i/>
          <w:color w:val="000000"/>
          <w:sz w:val="24"/>
        </w:rPr>
        <w:t xml:space="preserve">Lei anticorrupção empresarial: Aspectos críticos à Lei nº 12.846/2013</w:t>
      </w:r>
      <w:r>
        <w:rPr>
          <w:rFonts w:ascii="Times New Roman" w:hAnsi="Times New Roman" w:eastAsia="Times New Roman" w:cs="Times New Roman"/>
          <w:color w:val="000000"/>
          <w:sz w:val="24"/>
        </w:rPr>
        <w:t xml:space="preserve"> (3ª ed.). Fórum.</w:t>
      </w:r>
      <w:r>
        <w:rPr>
          <w:rFonts w:ascii="Times New Roman" w:hAnsi="Times New Roman" w:eastAsia="Times New Roman" w:cs="Times New Roman"/>
          <w:sz w:val="24"/>
        </w:rPr>
      </w:r>
      <w:r/>
    </w:p>
    <w:p w14:paraId="71E42EFE">
      <w:pPr>
        <w:pBdr/>
        <w:spacing w:after="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39B944DC">
      <w:pPr>
        <w:pBdr/>
        <w:spacing w:after="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69C59843">
      <w:pPr>
        <w:pBdr/>
        <w:spacing w:after="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1B00DCA7">
      <w:pPr>
        <w:pBdr/>
        <w:spacing w:after="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00AB74B3">
      <w:pPr>
        <w:pBdr/>
        <w:spacing w:after="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5EFB769A">
      <w:pPr>
        <w:pBdr/>
        <w:spacing w:after="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078EB346">
      <w:pPr>
        <w:pBdr/>
        <w:spacing w:after="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6BC22C8A">
      <w:pPr>
        <w:pBdr/>
        <w:spacing w:after="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4505DB74">
      <w:pPr>
        <w:pBdr/>
        <w:spacing w:after="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5AD3A832">
      <w:pPr>
        <w:pBdr/>
        <w:spacing w:after="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2D8A167E">
      <w:pPr>
        <w:pBdr/>
        <w:spacing w:after="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1640AB9D">
      <w:pPr>
        <w:pBdr/>
        <w:spacing w:after="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724AD27D">
      <w:pPr>
        <w:pBdr/>
        <w:spacing w:after="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15E1E333">
      <w:pPr>
        <w:pBdr/>
        <w:spacing w:after="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76186BC0">
      <w:pPr>
        <w:pBdr/>
        <w:spacing w:after="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22EA083E">
      <w:pPr>
        <w:pBdr/>
        <w:spacing w:after="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1387989D">
      <w:pPr>
        <w:pBdr/>
        <w:spacing w:after="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6F2047E0">
      <w:pPr>
        <w:pBdr/>
        <w:spacing w:after="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4A39B534">
      <w:pPr>
        <w:pBdr/>
        <w:spacing w:after="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7DAE3D72">
      <w:pPr>
        <w:pBdr/>
        <w:spacing w:after="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63F27AD2">
      <w:pPr>
        <w:pBdr/>
        <w:spacing w:after="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5A5A0A10">
      <w:pPr>
        <w:pBdr/>
        <w:spacing w:after="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4A6F2623">
      <w:pPr>
        <w:pBdr/>
        <w:spacing w:after="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10FA0688">
      <w:pPr>
        <w:pBdr/>
        <w:spacing w:after="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48A51F56">
      <w:pPr>
        <w:pBdr/>
        <w:spacing w:after="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3A23CCA8">
      <w:pPr>
        <w:pBdr/>
        <w:spacing w:after="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7EC5E471">
      <w:pPr>
        <w:pBdr/>
        <w:spacing w:after="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628FE337">
      <w:pPr>
        <w:pBdr/>
        <w:spacing w:after="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2B4AE0B8">
      <w:pPr>
        <w:pBdr/>
        <w:spacing w:after="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5FDEE494">
      <w:pPr>
        <w:pBdr/>
        <w:spacing w:after="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4B99056E" w14:textId="77777777">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5613CB76">
      <w:pPr>
        <w:pStyle w:val="87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APÊNDICE A</w:t>
      </w:r>
      <w:r/>
    </w:p>
    <w:p w14:paraId="67284A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Quadro-Síntese dos Achados Principais</w:t>
      </w:r>
      <w:r/>
    </w:p>
    <w:p w14:paraId="26F8BF2F">
      <w:pPr>
        <w:pBdr>
          <w:top w:val="none" w:color="000000" w:sz="4" w:space="0"/>
          <w:left w:val="none" w:color="000000" w:sz="4" w:space="0"/>
          <w:bottom w:val="none" w:color="000000" w:sz="4" w:space="0"/>
          <w:right w:val="none" w:color="000000" w:sz="4" w:space="0"/>
        </w:pBdr>
        <w:spacing w:after="0"/>
        <w:ind w:right="0" w:firstLine="0" w:left="0"/>
        <w:rPr>
          <w:rFonts w:ascii="Times New Roman" w:hAnsi="Times New Roman" w:eastAsia="Times New Roman" w:cs="Times New Roman"/>
          <w:b/>
          <w:bCs/>
          <w:color w:val="000000"/>
          <w:sz w:val="20"/>
          <w:szCs w:val="20"/>
        </w:rPr>
      </w:pPr>
      <w:r>
        <w:rPr>
          <w:rFonts w:ascii="Times New Roman" w:hAnsi="Times New Roman" w:eastAsia="Times New Roman" w:cs="Times New Roman"/>
          <w:b/>
          <w:color w:val="000000"/>
          <w:sz w:val="20"/>
          <w:szCs w:val="20"/>
        </w:rPr>
        <w:t xml:space="preserve">Tabela 6 </w:t>
      </w:r>
      <w:r>
        <w:rPr>
          <w:rFonts w:ascii="Times New Roman" w:hAnsi="Times New Roman" w:eastAsia="Times New Roman" w:cs="Times New Roman"/>
          <w:bCs/>
          <w:i/>
          <w:color w:val="000000"/>
          <w:sz w:val="20"/>
          <w:szCs w:val="20"/>
        </w:rPr>
      </w:r>
      <w:r>
        <w:rPr>
          <w:rFonts w:ascii="Times New Roman" w:hAnsi="Times New Roman" w:eastAsia="Times New Roman" w:cs="Times New Roman"/>
          <w:b/>
          <w:bCs/>
          <w:color w:val="000000"/>
          <w:sz w:val="20"/>
          <w:szCs w:val="20"/>
        </w:rPr>
      </w:r>
    </w:p>
    <w:p w14:paraId="0EBB6862">
      <w:pPr>
        <w:pBdr>
          <w:top w:val="none" w:color="000000" w:sz="4" w:space="0"/>
          <w:left w:val="none" w:color="000000" w:sz="4" w:space="0"/>
          <w:bottom w:val="none" w:color="000000" w:sz="4" w:space="0"/>
          <w:right w:val="none" w:color="000000" w:sz="4" w:space="0"/>
        </w:pBdr>
        <w:spacing w:after="0"/>
        <w:ind w:right="0" w:firstLine="0" w:left="0"/>
        <w:rPr>
          <w:rFonts w:ascii="Times New Roman" w:hAnsi="Times New Roman" w:eastAsia="Times New Roman" w:cs="Times New Roman"/>
          <w:bCs/>
          <w:i/>
          <w:color w:val="000000"/>
          <w:sz w:val="20"/>
          <w:szCs w:val="20"/>
        </w:rPr>
      </w:pPr>
      <w:r>
        <w:rPr>
          <w:rFonts w:ascii="Times New Roman" w:hAnsi="Times New Roman" w:eastAsia="Times New Roman" w:cs="Times New Roman"/>
          <w:b/>
          <w:color w:val="000000"/>
          <w:sz w:val="20"/>
          <w:szCs w:val="20"/>
        </w:rPr>
      </w:r>
      <w:r>
        <w:rPr>
          <w:rFonts w:ascii="Times New Roman" w:hAnsi="Times New Roman" w:eastAsia="Times New Roman" w:cs="Times New Roman"/>
          <w:i/>
          <w:color w:val="000000"/>
          <w:sz w:val="20"/>
          <w:szCs w:val="20"/>
        </w:rPr>
        <w:t xml:space="preserve">Quadro-Síntese dos Achados Empíricos e Metodológicos</w:t>
      </w:r>
      <w:r>
        <w:rPr>
          <w:sz w:val="20"/>
          <w:szCs w:val="20"/>
        </w:rPr>
      </w:r>
      <w:r>
        <w:rPr>
          <w:rFonts w:ascii="Times New Roman" w:hAnsi="Times New Roman" w:eastAsia="Times New Roman" w:cs="Times New Roman"/>
          <w:bCs/>
          <w:i/>
          <w:color w:val="000000"/>
          <w:sz w:val="20"/>
          <w:szCs w:val="20"/>
        </w:rPr>
      </w:r>
    </w:p>
    <w:p w14:paraId="35A569A9">
      <w:pPr>
        <w:pBdr/>
        <w:spacing w:after="0"/>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cs="Times New Roman"/>
        </w:rPr>
      </w:r>
    </w:p>
    <w:tbl>
      <w:tblPr>
        <w:tblStyle w:val="911"/>
        <w:tblW w:w="5000" w:type="pct"/>
        <w:tblBorders/>
        <w:tblLayout w:type="fixed"/>
        <w:tblLook w:val="0020" w:firstRow="1" w:lastRow="0" w:firstColumn="0" w:lastColumn="0" w:noHBand="0" w:noVBand="0"/>
      </w:tblPr>
      <w:tblGrid>
        <w:gridCol w:w="2034"/>
        <w:gridCol w:w="1317"/>
        <w:gridCol w:w="2873"/>
        <w:gridCol w:w="3352"/>
      </w:tblGrid>
      <w:tr>
        <w:trPr>
          <w:tblHeader/>
        </w:trPr>
        <w:tc>
          <w:tcPr>
            <w:tcBorders/>
            <w:tcW w:w="1683" w:type="dxa"/>
          </w:tcPr>
          <w:p w14:paraId="08E27E37" w14:textId="77777777">
            <w:pPr>
              <w:pBdr/>
              <w:spacing w:after="0"/>
              <w:ind/>
              <w:jc w:val="both"/>
              <w:rPr>
                <w:rFonts w:ascii="Times New Roman" w:hAnsi="Times New Roman" w:cs="Times New Roman"/>
              </w:rPr>
            </w:pPr>
            <w:r>
              <w:rPr>
                <w:rFonts w:ascii="Times New Roman" w:hAnsi="Times New Roman" w:eastAsia="Times New Roman" w:cs="Times New Roman"/>
              </w:rPr>
              <w:t xml:space="preserve">Achado Empírico</w:t>
            </w:r>
            <w:r>
              <w:rPr>
                <w:rFonts w:ascii="Times New Roman" w:hAnsi="Times New Roman" w:eastAsia="Times New Roman" w:cs="Times New Roman"/>
              </w:rPr>
            </w:r>
            <w:r>
              <w:rPr>
                <w:rFonts w:ascii="Times New Roman" w:hAnsi="Times New Roman" w:cs="Times New Roman"/>
              </w:rPr>
            </w:r>
          </w:p>
        </w:tc>
        <w:tc>
          <w:tcPr>
            <w:tcBorders/>
            <w:tcW w:w="1089" w:type="dxa"/>
          </w:tcPr>
          <w:p w14:paraId="0A5FEE59" w14:textId="77777777">
            <w:pPr>
              <w:pBdr/>
              <w:spacing w:after="0"/>
              <w:ind/>
              <w:jc w:val="both"/>
              <w:rPr>
                <w:rFonts w:ascii="Times New Roman" w:hAnsi="Times New Roman" w:cs="Times New Roman"/>
              </w:rPr>
            </w:pPr>
            <w:r>
              <w:rPr>
                <w:rFonts w:ascii="Times New Roman" w:hAnsi="Times New Roman" w:eastAsia="Times New Roman" w:cs="Times New Roman"/>
              </w:rPr>
              <w:t xml:space="preserve">Evidência</w:t>
            </w:r>
            <w:r>
              <w:rPr>
                <w:rFonts w:ascii="Times New Roman" w:hAnsi="Times New Roman" w:eastAsia="Times New Roman" w:cs="Times New Roman"/>
              </w:rPr>
            </w:r>
            <w:r>
              <w:rPr>
                <w:rFonts w:ascii="Times New Roman" w:hAnsi="Times New Roman" w:cs="Times New Roman"/>
              </w:rPr>
            </w:r>
          </w:p>
        </w:tc>
        <w:tc>
          <w:tcPr>
            <w:tcBorders/>
            <w:tcW w:w="2376" w:type="dxa"/>
          </w:tcPr>
          <w:p w14:paraId="7DC4F981" w14:textId="77777777">
            <w:pPr>
              <w:pBdr/>
              <w:spacing w:after="0"/>
              <w:ind/>
              <w:jc w:val="both"/>
              <w:rPr>
                <w:rFonts w:ascii="Times New Roman" w:hAnsi="Times New Roman" w:cs="Times New Roman"/>
              </w:rPr>
            </w:pPr>
            <w:r>
              <w:rPr>
                <w:rFonts w:ascii="Times New Roman" w:hAnsi="Times New Roman" w:eastAsia="Times New Roman" w:cs="Times New Roman"/>
              </w:rPr>
              <w:t xml:space="preserve">Implicação Metodológica</w:t>
            </w:r>
            <w:r>
              <w:rPr>
                <w:rFonts w:ascii="Times New Roman" w:hAnsi="Times New Roman" w:eastAsia="Times New Roman" w:cs="Times New Roman"/>
              </w:rPr>
            </w:r>
            <w:r>
              <w:rPr>
                <w:rFonts w:ascii="Times New Roman" w:hAnsi="Times New Roman" w:cs="Times New Roman"/>
              </w:rPr>
            </w:r>
          </w:p>
        </w:tc>
        <w:tc>
          <w:tcPr>
            <w:tcBorders/>
            <w:tcW w:w="2772" w:type="dxa"/>
          </w:tcPr>
          <w:p w14:paraId="2A0D75F7" w14:textId="77777777">
            <w:pPr>
              <w:pBdr/>
              <w:spacing w:after="0"/>
              <w:ind/>
              <w:jc w:val="both"/>
              <w:rPr>
                <w:rFonts w:ascii="Times New Roman" w:hAnsi="Times New Roman" w:cs="Times New Roman"/>
              </w:rPr>
            </w:pPr>
            <w:r>
              <w:rPr>
                <w:rFonts w:ascii="Times New Roman" w:hAnsi="Times New Roman" w:eastAsia="Times New Roman" w:cs="Times New Roman"/>
              </w:rPr>
              <w:t xml:space="preserve">Implicação para o Framework</w:t>
            </w:r>
            <w:r>
              <w:rPr>
                <w:rFonts w:ascii="Times New Roman" w:hAnsi="Times New Roman" w:eastAsia="Times New Roman" w:cs="Times New Roman"/>
              </w:rPr>
            </w:r>
            <w:r>
              <w:rPr>
                <w:rFonts w:ascii="Times New Roman" w:hAnsi="Times New Roman" w:cs="Times New Roman"/>
              </w:rPr>
            </w:r>
          </w:p>
        </w:tc>
      </w:tr>
      <w:tr>
        <w:trPr/>
        <w:tc>
          <w:tcPr>
            <w:tcBorders/>
            <w:tcW w:w="1683" w:type="dxa"/>
          </w:tcPr>
          <w:p w14:paraId="5C69796B" w14:textId="77777777">
            <w:pPr>
              <w:pBdr/>
              <w:spacing w:after="0"/>
              <w:ind/>
              <w:jc w:val="both"/>
              <w:rPr>
                <w:rFonts w:ascii="Times New Roman" w:hAnsi="Times New Roman" w:cs="Times New Roman"/>
              </w:rPr>
            </w:pPr>
            <w:r>
              <w:rPr>
                <w:rFonts w:ascii="Times New Roman" w:hAnsi="Times New Roman" w:eastAsia="Times New Roman" w:cs="Times New Roman"/>
              </w:rPr>
              <w:t xml:space="preserve">Predominância de contratação direta</w:t>
            </w:r>
            <w:r>
              <w:rPr>
                <w:rFonts w:ascii="Times New Roman" w:hAnsi="Times New Roman" w:eastAsia="Times New Roman" w:cs="Times New Roman"/>
              </w:rPr>
            </w:r>
            <w:r>
              <w:rPr>
                <w:rFonts w:ascii="Times New Roman" w:hAnsi="Times New Roman" w:cs="Times New Roman"/>
              </w:rPr>
            </w:r>
          </w:p>
        </w:tc>
        <w:tc>
          <w:tcPr>
            <w:tcBorders/>
            <w:tcW w:w="1089" w:type="dxa"/>
          </w:tcPr>
          <w:p w14:paraId="52E5C35B" w14:textId="77777777">
            <w:pPr>
              <w:pBdr/>
              <w:spacing w:after="0"/>
              <w:ind/>
              <w:jc w:val="both"/>
              <w:rPr>
                <w:rFonts w:ascii="Times New Roman" w:hAnsi="Times New Roman" w:cs="Times New Roman"/>
              </w:rPr>
            </w:pPr>
            <w:r>
              <w:rPr>
                <w:rFonts w:ascii="Times New Roman" w:hAnsi="Times New Roman" w:eastAsia="Times New Roman" w:cs="Times New Roman"/>
              </w:rPr>
              <w:t xml:space="preserve">62% das contratações são dispensa/inexigibilidade</w:t>
            </w:r>
            <w:r>
              <w:rPr>
                <w:rFonts w:ascii="Times New Roman" w:hAnsi="Times New Roman" w:eastAsia="Times New Roman" w:cs="Times New Roman"/>
              </w:rPr>
            </w:r>
            <w:r>
              <w:rPr>
                <w:rFonts w:ascii="Times New Roman" w:hAnsi="Times New Roman" w:cs="Times New Roman"/>
              </w:rPr>
            </w:r>
          </w:p>
        </w:tc>
        <w:tc>
          <w:tcPr>
            <w:tcBorders/>
            <w:tcW w:w="2376" w:type="dxa"/>
          </w:tcPr>
          <w:p w14:paraId="38F1F7AD" w14:textId="77777777">
            <w:pPr>
              <w:pBdr/>
              <w:spacing w:after="0"/>
              <w:ind/>
              <w:jc w:val="both"/>
              <w:rPr>
                <w:rFonts w:ascii="Times New Roman" w:hAnsi="Times New Roman" w:cs="Times New Roman"/>
              </w:rPr>
            </w:pPr>
            <w:r>
              <w:rPr>
                <w:rFonts w:ascii="Times New Roman" w:hAnsi="Times New Roman" w:eastAsia="Times New Roman" w:cs="Times New Roman"/>
              </w:rPr>
              <w:t xml:space="preserve">Variável flag_dispensa_inexigibilidade é feature de risco processual</w:t>
            </w:r>
            <w:r>
              <w:rPr>
                <w:rFonts w:ascii="Times New Roman" w:hAnsi="Times New Roman" w:eastAsia="Times New Roman" w:cs="Times New Roman"/>
              </w:rPr>
            </w:r>
            <w:r>
              <w:rPr>
                <w:rFonts w:ascii="Times New Roman" w:hAnsi="Times New Roman" w:cs="Times New Roman"/>
              </w:rPr>
            </w:r>
          </w:p>
        </w:tc>
        <w:tc>
          <w:tcPr>
            <w:tcBorders/>
            <w:tcW w:w="2772" w:type="dxa"/>
          </w:tcPr>
          <w:p w14:paraId="174BEC4F" w14:textId="77777777">
            <w:pPr>
              <w:pBdr/>
              <w:spacing w:after="0"/>
              <w:ind/>
              <w:jc w:val="both"/>
              <w:rPr>
                <w:rFonts w:ascii="Times New Roman" w:hAnsi="Times New Roman" w:cs="Times New Roman"/>
              </w:rPr>
            </w:pPr>
            <w:r>
              <w:rPr>
                <w:rFonts w:ascii="Times New Roman" w:hAnsi="Times New Roman" w:eastAsia="Times New Roman" w:cs="Times New Roman"/>
              </w:rPr>
              <w:t xml:space="preserve">Contratação direta é proxy de necessidade de atenção</w:t>
            </w:r>
            <w:r>
              <w:rPr>
                <w:rFonts w:ascii="Times New Roman" w:hAnsi="Times New Roman" w:eastAsia="Times New Roman" w:cs="Times New Roman"/>
              </w:rPr>
            </w:r>
            <w:r>
              <w:rPr>
                <w:rFonts w:ascii="Times New Roman" w:hAnsi="Times New Roman" w:cs="Times New Roman"/>
              </w:rPr>
            </w:r>
          </w:p>
        </w:tc>
      </w:tr>
      <w:tr>
        <w:trPr/>
        <w:tc>
          <w:tcPr>
            <w:tcBorders/>
            <w:tcW w:w="1683" w:type="dxa"/>
          </w:tcPr>
          <w:p w14:paraId="0DBA9828" w14:textId="77777777">
            <w:pPr>
              <w:pBdr/>
              <w:spacing w:after="0"/>
              <w:ind/>
              <w:jc w:val="both"/>
              <w:rPr>
                <w:rFonts w:ascii="Times New Roman" w:hAnsi="Times New Roman" w:cs="Times New Roman"/>
              </w:rPr>
            </w:pPr>
            <w:r>
              <w:rPr>
                <w:rFonts w:ascii="Times New Roman" w:hAnsi="Times New Roman" w:eastAsia="Times New Roman" w:cs="Times New Roman"/>
              </w:rPr>
              <w:t xml:space="preserve">1,15% das contratações têm indício de inovação</w:t>
            </w:r>
            <w:r>
              <w:rPr>
                <w:rFonts w:ascii="Times New Roman" w:hAnsi="Times New Roman" w:eastAsia="Times New Roman" w:cs="Times New Roman"/>
              </w:rPr>
            </w:r>
            <w:r>
              <w:rPr>
                <w:rFonts w:ascii="Times New Roman" w:hAnsi="Times New Roman" w:cs="Times New Roman"/>
              </w:rPr>
            </w:r>
          </w:p>
        </w:tc>
        <w:tc>
          <w:tcPr>
            <w:tcBorders/>
            <w:tcW w:w="1089" w:type="dxa"/>
          </w:tcPr>
          <w:p w14:paraId="6FD0934D" w14:textId="77777777">
            <w:pPr>
              <w:pBdr/>
              <w:spacing w:after="0"/>
              <w:ind/>
              <w:jc w:val="both"/>
              <w:rPr>
                <w:rFonts w:ascii="Times New Roman" w:hAnsi="Times New Roman" w:cs="Times New Roman"/>
              </w:rPr>
            </w:pPr>
            <w:r>
              <w:rPr>
                <w:rFonts w:ascii="Times New Roman" w:hAnsi="Times New Roman" w:eastAsia="Times New Roman" w:cs="Times New Roman"/>
              </w:rPr>
              <w:t xml:space="preserve">3.150 registros com termos de inovação</w:t>
            </w:r>
            <w:r>
              <w:rPr>
                <w:rFonts w:ascii="Times New Roman" w:hAnsi="Times New Roman" w:eastAsia="Times New Roman" w:cs="Times New Roman"/>
              </w:rPr>
            </w:r>
            <w:r>
              <w:rPr>
                <w:rFonts w:ascii="Times New Roman" w:hAnsi="Times New Roman" w:cs="Times New Roman"/>
              </w:rPr>
            </w:r>
          </w:p>
        </w:tc>
        <w:tc>
          <w:tcPr>
            <w:tcBorders/>
            <w:tcW w:w="2376" w:type="dxa"/>
          </w:tcPr>
          <w:p w14:paraId="0E132BC3" w14:textId="77777777">
            <w:pPr>
              <w:pBdr/>
              <w:spacing w:after="0"/>
              <w:ind/>
              <w:jc w:val="both"/>
              <w:rPr>
                <w:rFonts w:ascii="Times New Roman" w:hAnsi="Times New Roman" w:cs="Times New Roman"/>
              </w:rPr>
            </w:pPr>
            <w:r>
              <w:rPr>
                <w:rFonts w:ascii="Times New Roman" w:hAnsi="Times New Roman" w:eastAsia="Times New Roman" w:cs="Times New Roman"/>
              </w:rPr>
              <w:t xml:space="preserve">Flag de inovação é útil para segmentação, não como target</w:t>
            </w:r>
            <w:r>
              <w:rPr>
                <w:rFonts w:ascii="Times New Roman" w:hAnsi="Times New Roman" w:eastAsia="Times New Roman" w:cs="Times New Roman"/>
              </w:rPr>
            </w:r>
            <w:r>
              <w:rPr>
                <w:rFonts w:ascii="Times New Roman" w:hAnsi="Times New Roman" w:cs="Times New Roman"/>
              </w:rPr>
            </w:r>
          </w:p>
        </w:tc>
        <w:tc>
          <w:tcPr>
            <w:tcBorders/>
            <w:tcW w:w="2772" w:type="dxa"/>
          </w:tcPr>
          <w:p w14:paraId="16524DFB" w14:textId="77777777">
            <w:pPr>
              <w:pBdr/>
              <w:spacing w:after="0"/>
              <w:ind/>
              <w:jc w:val="both"/>
              <w:rPr>
                <w:rFonts w:ascii="Times New Roman" w:hAnsi="Times New Roman" w:cs="Times New Roman"/>
              </w:rPr>
            </w:pPr>
            <w:r>
              <w:rPr>
                <w:rFonts w:ascii="Times New Roman" w:hAnsi="Times New Roman" w:eastAsia="Times New Roman" w:cs="Times New Roman"/>
              </w:rPr>
              <w:t xml:space="preserve">Inovação é rara e concentrada em contratação direta</w:t>
            </w:r>
            <w:r>
              <w:rPr>
                <w:rFonts w:ascii="Times New Roman" w:hAnsi="Times New Roman" w:eastAsia="Times New Roman" w:cs="Times New Roman"/>
              </w:rPr>
            </w:r>
            <w:r>
              <w:rPr>
                <w:rFonts w:ascii="Times New Roman" w:hAnsi="Times New Roman" w:cs="Times New Roman"/>
              </w:rPr>
            </w:r>
          </w:p>
        </w:tc>
      </w:tr>
      <w:tr>
        <w:trPr/>
        <w:tc>
          <w:tcPr>
            <w:tcBorders/>
            <w:tcW w:w="1683" w:type="dxa"/>
          </w:tcPr>
          <w:p w14:paraId="0DF22450" w14:textId="77777777">
            <w:pPr>
              <w:pBdr/>
              <w:spacing w:after="0"/>
              <w:ind/>
              <w:jc w:val="both"/>
              <w:rPr>
                <w:rFonts w:ascii="Times New Roman" w:hAnsi="Times New Roman" w:cs="Times New Roman"/>
              </w:rPr>
            </w:pPr>
            <w:r>
              <w:rPr>
                <w:rFonts w:ascii="Times New Roman" w:hAnsi="Times New Roman" w:eastAsia="Times New Roman" w:cs="Times New Roman"/>
              </w:rPr>
              <w:t xml:space="preserve">Escore concentra em nível médio</w:t>
            </w:r>
            <w:r>
              <w:rPr>
                <w:rFonts w:ascii="Times New Roman" w:hAnsi="Times New Roman" w:eastAsia="Times New Roman" w:cs="Times New Roman"/>
              </w:rPr>
            </w:r>
            <w:r>
              <w:rPr>
                <w:rFonts w:ascii="Times New Roman" w:hAnsi="Times New Roman" w:cs="Times New Roman"/>
              </w:rPr>
            </w:r>
          </w:p>
        </w:tc>
        <w:tc>
          <w:tcPr>
            <w:tcBorders/>
            <w:tcW w:w="1089" w:type="dxa"/>
          </w:tcPr>
          <w:p w14:paraId="624A3089" w14:textId="77777777">
            <w:pPr>
              <w:pBdr/>
              <w:spacing w:after="0"/>
              <w:ind/>
              <w:jc w:val="both"/>
              <w:rPr>
                <w:rFonts w:ascii="Times New Roman" w:hAnsi="Times New Roman" w:cs="Times New Roman"/>
              </w:rPr>
            </w:pPr>
            <w:r>
              <w:rPr>
                <w:rFonts w:ascii="Times New Roman" w:hAnsi="Times New Roman" w:eastAsia="Times New Roman" w:cs="Times New Roman"/>
              </w:rPr>
              <w:t xml:space="preserve">71,8% em escore 1; 0,07% em escore 3</w:t>
            </w:r>
            <w:r>
              <w:rPr>
                <w:rFonts w:ascii="Times New Roman" w:hAnsi="Times New Roman" w:eastAsia="Times New Roman" w:cs="Times New Roman"/>
              </w:rPr>
            </w:r>
            <w:r>
              <w:rPr>
                <w:rFonts w:ascii="Times New Roman" w:hAnsi="Times New Roman" w:cs="Times New Roman"/>
              </w:rPr>
            </w:r>
          </w:p>
        </w:tc>
        <w:tc>
          <w:tcPr>
            <w:tcBorders/>
            <w:tcW w:w="2376" w:type="dxa"/>
          </w:tcPr>
          <w:p w14:paraId="3432895F" w14:textId="77777777">
            <w:pPr>
              <w:pBdr/>
              <w:spacing w:after="0"/>
              <w:ind/>
              <w:jc w:val="both"/>
              <w:rPr>
                <w:rFonts w:ascii="Times New Roman" w:hAnsi="Times New Roman" w:cs="Times New Roman"/>
              </w:rPr>
            </w:pPr>
            <w:r>
              <w:rPr>
                <w:rFonts w:ascii="Times New Roman" w:hAnsi="Times New Roman" w:eastAsia="Times New Roman" w:cs="Times New Roman"/>
              </w:rPr>
              <w:t xml:space="preserve">Classe 3 muito rara para modelagem preditiva</w:t>
            </w:r>
            <w:r>
              <w:rPr>
                <w:rFonts w:ascii="Times New Roman" w:hAnsi="Times New Roman" w:eastAsia="Times New Roman" w:cs="Times New Roman"/>
              </w:rPr>
            </w:r>
            <w:r>
              <w:rPr>
                <w:rFonts w:ascii="Times New Roman" w:hAnsi="Times New Roman" w:cs="Times New Roman"/>
              </w:rPr>
            </w:r>
          </w:p>
        </w:tc>
        <w:tc>
          <w:tcPr>
            <w:tcBorders/>
            <w:tcW w:w="2772" w:type="dxa"/>
          </w:tcPr>
          <w:p w14:paraId="4A5A7C0F" w14:textId="77777777">
            <w:pPr>
              <w:pBdr/>
              <w:spacing w:after="0"/>
              <w:ind/>
              <w:jc w:val="both"/>
              <w:rPr>
                <w:rFonts w:ascii="Times New Roman" w:hAnsi="Times New Roman" w:cs="Times New Roman"/>
              </w:rPr>
            </w:pPr>
            <w:r>
              <w:rPr>
                <w:rFonts w:ascii="Times New Roman" w:hAnsi="Times New Roman" w:eastAsia="Times New Roman" w:cs="Times New Roman"/>
              </w:rPr>
              <w:t xml:space="preserve">Evitar decisões automatizadas para casos extremos</w:t>
            </w:r>
            <w:r>
              <w:rPr>
                <w:rFonts w:ascii="Times New Roman" w:hAnsi="Times New Roman" w:eastAsia="Times New Roman" w:cs="Times New Roman"/>
              </w:rPr>
            </w:r>
            <w:r>
              <w:rPr>
                <w:rFonts w:ascii="Times New Roman" w:hAnsi="Times New Roman" w:cs="Times New Roman"/>
              </w:rPr>
            </w:r>
          </w:p>
        </w:tc>
      </w:tr>
      <w:tr>
        <w:trPr/>
        <w:tc>
          <w:tcPr>
            <w:tcBorders/>
            <w:tcW w:w="1683" w:type="dxa"/>
          </w:tcPr>
          <w:p w14:paraId="4A2C1206" w14:textId="77777777">
            <w:pPr>
              <w:pBdr/>
              <w:spacing w:after="0"/>
              <w:ind/>
              <w:jc w:val="both"/>
              <w:rPr>
                <w:rFonts w:ascii="Times New Roman" w:hAnsi="Times New Roman" w:cs="Times New Roman"/>
              </w:rPr>
            </w:pPr>
            <w:r>
              <w:rPr>
                <w:rFonts w:ascii="Times New Roman" w:hAnsi="Times New Roman" w:eastAsia="Times New Roman" w:cs="Times New Roman"/>
              </w:rPr>
              <w:t xml:space="preserve">Modelo A reproduz escore perfeitamente</w:t>
            </w:r>
            <w:r>
              <w:rPr>
                <w:rFonts w:ascii="Times New Roman" w:hAnsi="Times New Roman" w:eastAsia="Times New Roman" w:cs="Times New Roman"/>
              </w:rPr>
            </w:r>
            <w:r>
              <w:rPr>
                <w:rFonts w:ascii="Times New Roman" w:hAnsi="Times New Roman" w:cs="Times New Roman"/>
              </w:rPr>
            </w:r>
          </w:p>
        </w:tc>
        <w:tc>
          <w:tcPr>
            <w:tcBorders/>
            <w:tcW w:w="1089" w:type="dxa"/>
          </w:tcPr>
          <w:p w14:paraId="58A15069" w14:textId="77777777">
            <w:pPr>
              <w:pBdr/>
              <w:spacing w:after="0"/>
              <w:ind/>
              <w:jc w:val="both"/>
              <w:rPr>
                <w:rFonts w:ascii="Times New Roman" w:hAnsi="Times New Roman" w:cs="Times New Roman"/>
              </w:rPr>
            </w:pPr>
            <w:r>
              <w:rPr>
                <w:rFonts w:ascii="Times New Roman" w:hAnsi="Times New Roman" w:eastAsia="Times New Roman" w:cs="Times New Roman"/>
              </w:rPr>
              <w:t xml:space="preserve">F1 = 1,0; Kappa = 1,0</w:t>
            </w:r>
            <w:r>
              <w:rPr>
                <w:rFonts w:ascii="Times New Roman" w:hAnsi="Times New Roman" w:eastAsia="Times New Roman" w:cs="Times New Roman"/>
              </w:rPr>
            </w:r>
            <w:r>
              <w:rPr>
                <w:rFonts w:ascii="Times New Roman" w:hAnsi="Times New Roman" w:cs="Times New Roman"/>
              </w:rPr>
            </w:r>
          </w:p>
        </w:tc>
        <w:tc>
          <w:tcPr>
            <w:tcBorders/>
            <w:tcW w:w="2376" w:type="dxa"/>
          </w:tcPr>
          <w:p w14:paraId="4D20E78E" w14:textId="77777777">
            <w:pPr>
              <w:pBdr/>
              <w:spacing w:after="0"/>
              <w:ind/>
              <w:jc w:val="both"/>
              <w:rPr>
                <w:rFonts w:ascii="Times New Roman" w:hAnsi="Times New Roman" w:cs="Times New Roman"/>
              </w:rPr>
            </w:pPr>
            <w:r>
              <w:rPr>
                <w:rFonts w:ascii="Times New Roman" w:hAnsi="Times New Roman" w:eastAsia="Times New Roman" w:cs="Times New Roman"/>
              </w:rPr>
              <w:t xml:space="preserve">Target é construído por regras, não observado</w:t>
            </w:r>
            <w:r>
              <w:rPr>
                <w:rFonts w:ascii="Times New Roman" w:hAnsi="Times New Roman" w:eastAsia="Times New Roman" w:cs="Times New Roman"/>
              </w:rPr>
            </w:r>
            <w:r>
              <w:rPr>
                <w:rFonts w:ascii="Times New Roman" w:hAnsi="Times New Roman" w:cs="Times New Roman"/>
              </w:rPr>
            </w:r>
          </w:p>
        </w:tc>
        <w:tc>
          <w:tcPr>
            <w:tcBorders/>
            <w:tcW w:w="2772" w:type="dxa"/>
          </w:tcPr>
          <w:p w14:paraId="7B13ABF9" w14:textId="77777777">
            <w:pPr>
              <w:pBdr/>
              <w:spacing w:after="0"/>
              <w:ind/>
              <w:jc w:val="both"/>
              <w:rPr>
                <w:rFonts w:ascii="Times New Roman" w:hAnsi="Times New Roman" w:cs="Times New Roman"/>
              </w:rPr>
            </w:pPr>
            <w:r>
              <w:rPr>
                <w:rFonts w:ascii="Times New Roman" w:hAnsi="Times New Roman" w:eastAsia="Times New Roman" w:cs="Times New Roman"/>
              </w:rPr>
              <w:t xml:space="preserve">Modelo funciona como infraestrutura de XAI</w:t>
            </w:r>
            <w:r>
              <w:rPr>
                <w:rFonts w:ascii="Times New Roman" w:hAnsi="Times New Roman" w:eastAsia="Times New Roman" w:cs="Times New Roman"/>
              </w:rPr>
            </w:r>
            <w:r>
              <w:rPr>
                <w:rFonts w:ascii="Times New Roman" w:hAnsi="Times New Roman" w:cs="Times New Roman"/>
              </w:rPr>
            </w:r>
          </w:p>
        </w:tc>
      </w:tr>
      <w:tr>
        <w:trPr/>
        <w:tc>
          <w:tcPr>
            <w:tcBorders/>
            <w:tcW w:w="1683" w:type="dxa"/>
          </w:tcPr>
          <w:p w14:paraId="6C85E42B" w14:textId="77777777">
            <w:pPr>
              <w:pBdr/>
              <w:spacing w:after="0"/>
              <w:ind/>
              <w:jc w:val="both"/>
              <w:rPr>
                <w:rFonts w:ascii="Times New Roman" w:hAnsi="Times New Roman" w:cs="Times New Roman"/>
              </w:rPr>
            </w:pPr>
            <w:r>
              <w:rPr>
                <w:rFonts w:ascii="Times New Roman" w:hAnsi="Times New Roman" w:eastAsia="Times New Roman" w:cs="Times New Roman"/>
              </w:rPr>
              <w:t xml:space="preserve">Modelo B tem performance limitada</w:t>
            </w:r>
            <w:r>
              <w:rPr>
                <w:rFonts w:ascii="Times New Roman" w:hAnsi="Times New Roman" w:eastAsia="Times New Roman" w:cs="Times New Roman"/>
              </w:rPr>
            </w:r>
            <w:r>
              <w:rPr>
                <w:rFonts w:ascii="Times New Roman" w:hAnsi="Times New Roman" w:cs="Times New Roman"/>
              </w:rPr>
            </w:r>
          </w:p>
        </w:tc>
        <w:tc>
          <w:tcPr>
            <w:tcBorders/>
            <w:tcW w:w="1089" w:type="dxa"/>
          </w:tcPr>
          <w:p w14:paraId="7546246F" w14:textId="77777777">
            <w:pPr>
              <w:pBdr/>
              <w:spacing w:after="0"/>
              <w:ind/>
              <w:jc w:val="both"/>
              <w:rPr>
                <w:rFonts w:ascii="Times New Roman" w:hAnsi="Times New Roman" w:cs="Times New Roman"/>
              </w:rPr>
            </w:pPr>
            <w:r>
              <w:rPr>
                <w:rFonts w:ascii="Times New Roman" w:hAnsi="Times New Roman" w:eastAsia="Times New Roman" w:cs="Times New Roman"/>
              </w:rPr>
              <w:t xml:space="preserve">F1 = 0,43 (queda de 57%)</w:t>
            </w:r>
            <w:r>
              <w:rPr>
                <w:rFonts w:ascii="Times New Roman" w:hAnsi="Times New Roman" w:eastAsia="Times New Roman" w:cs="Times New Roman"/>
              </w:rPr>
            </w:r>
            <w:r>
              <w:rPr>
                <w:rFonts w:ascii="Times New Roman" w:hAnsi="Times New Roman" w:cs="Times New Roman"/>
              </w:rPr>
            </w:r>
          </w:p>
        </w:tc>
        <w:tc>
          <w:tcPr>
            <w:tcBorders/>
            <w:tcW w:w="2376" w:type="dxa"/>
          </w:tcPr>
          <w:p w14:paraId="584C1B6D" w14:textId="77777777">
            <w:pPr>
              <w:pBdr/>
              <w:spacing w:after="0"/>
              <w:ind/>
              <w:jc w:val="both"/>
              <w:rPr>
                <w:rFonts w:ascii="Times New Roman" w:hAnsi="Times New Roman" w:cs="Times New Roman"/>
              </w:rPr>
            </w:pPr>
            <w:r>
              <w:rPr>
                <w:rFonts w:ascii="Times New Roman" w:hAnsi="Times New Roman" w:eastAsia="Times New Roman" w:cs="Times New Roman"/>
              </w:rPr>
              <w:t xml:space="preserve">Sinais observáveis não substituem regra formal</w:t>
            </w:r>
            <w:r>
              <w:rPr>
                <w:rFonts w:ascii="Times New Roman" w:hAnsi="Times New Roman" w:eastAsia="Times New Roman" w:cs="Times New Roman"/>
              </w:rPr>
            </w:r>
            <w:r>
              <w:rPr>
                <w:rFonts w:ascii="Times New Roman" w:hAnsi="Times New Roman" w:cs="Times New Roman"/>
              </w:rPr>
            </w:r>
          </w:p>
        </w:tc>
        <w:tc>
          <w:tcPr>
            <w:tcBorders/>
            <w:tcW w:w="2772" w:type="dxa"/>
          </w:tcPr>
          <w:p w14:paraId="200A7340" w14:textId="77777777">
            <w:pPr>
              <w:pBdr/>
              <w:spacing w:after="0"/>
              <w:ind/>
              <w:jc w:val="both"/>
              <w:rPr>
                <w:rFonts w:ascii="Times New Roman" w:hAnsi="Times New Roman" w:cs="Times New Roman"/>
              </w:rPr>
            </w:pPr>
            <w:r>
              <w:rPr>
                <w:rFonts w:ascii="Times New Roman" w:hAnsi="Times New Roman" w:eastAsia="Times New Roman" w:cs="Times New Roman"/>
              </w:rPr>
              <w:t xml:space="preserve">Usar Modelo A com limitações explícitas</w:t>
            </w:r>
            <w:r>
              <w:rPr>
                <w:rFonts w:ascii="Times New Roman" w:hAnsi="Times New Roman" w:eastAsia="Times New Roman" w:cs="Times New Roman"/>
              </w:rPr>
            </w:r>
            <w:r>
              <w:rPr>
                <w:rFonts w:ascii="Times New Roman" w:hAnsi="Times New Roman" w:cs="Times New Roman"/>
              </w:rPr>
            </w:r>
          </w:p>
        </w:tc>
      </w:tr>
      <w:tr>
        <w:trPr/>
        <w:tc>
          <w:tcPr>
            <w:tcBorders/>
            <w:tcW w:w="1683" w:type="dxa"/>
          </w:tcPr>
          <w:p w14:paraId="099E0A87" w14:textId="77777777">
            <w:pPr>
              <w:pBdr/>
              <w:spacing w:after="0"/>
              <w:ind/>
              <w:jc w:val="both"/>
              <w:rPr>
                <w:rFonts w:ascii="Times New Roman" w:hAnsi="Times New Roman" w:cs="Times New Roman"/>
              </w:rPr>
            </w:pPr>
            <w:r>
              <w:rPr>
                <w:rFonts w:ascii="Times New Roman" w:hAnsi="Times New Roman" w:eastAsia="Times New Roman" w:cs="Times New Roman"/>
              </w:rPr>
              <w:t xml:space="preserve">Ausência de fornecedor/CEIS/TCU</w:t>
            </w:r>
            <w:r>
              <w:rPr>
                <w:rFonts w:ascii="Times New Roman" w:hAnsi="Times New Roman" w:eastAsia="Times New Roman" w:cs="Times New Roman"/>
              </w:rPr>
            </w:r>
            <w:r>
              <w:rPr>
                <w:rFonts w:ascii="Times New Roman" w:hAnsi="Times New Roman" w:cs="Times New Roman"/>
              </w:rPr>
            </w:r>
          </w:p>
        </w:tc>
        <w:tc>
          <w:tcPr>
            <w:tcBorders/>
            <w:tcW w:w="1089" w:type="dxa"/>
          </w:tcPr>
          <w:p w14:paraId="343221EA" w14:textId="77777777">
            <w:pPr>
              <w:pBdr/>
              <w:spacing w:after="0"/>
              <w:ind/>
              <w:jc w:val="both"/>
              <w:rPr>
                <w:rFonts w:ascii="Times New Roman" w:hAnsi="Times New Roman" w:cs="Times New Roman"/>
              </w:rPr>
            </w:pPr>
            <w:r>
              <w:rPr>
                <w:rFonts w:ascii="Times New Roman" w:hAnsi="Times New Roman" w:eastAsia="Times New Roman" w:cs="Times New Roman"/>
              </w:rPr>
              <w:t xml:space="preserve">APIs indisponíveis ou retornam erro</w:t>
            </w:r>
            <w:r>
              <w:rPr>
                <w:rFonts w:ascii="Times New Roman" w:hAnsi="Times New Roman" w:eastAsia="Times New Roman" w:cs="Times New Roman"/>
              </w:rPr>
            </w:r>
            <w:r>
              <w:rPr>
                <w:rFonts w:ascii="Times New Roman" w:hAnsi="Times New Roman" w:cs="Times New Roman"/>
              </w:rPr>
            </w:r>
          </w:p>
        </w:tc>
        <w:tc>
          <w:tcPr>
            <w:tcBorders/>
            <w:tcW w:w="2376" w:type="dxa"/>
          </w:tcPr>
          <w:p w14:paraId="6ECC61B8" w14:textId="77777777">
            <w:pPr>
              <w:pBdr/>
              <w:spacing w:after="0"/>
              <w:ind/>
              <w:jc w:val="both"/>
              <w:rPr>
                <w:rFonts w:ascii="Times New Roman" w:hAnsi="Times New Roman" w:cs="Times New Roman"/>
              </w:rPr>
            </w:pPr>
            <w:r>
              <w:rPr>
                <w:rFonts w:ascii="Times New Roman" w:hAnsi="Times New Roman" w:eastAsia="Times New Roman" w:cs="Times New Roman"/>
              </w:rPr>
              <w:t xml:space="preserve">Limita validação externa do target</w:t>
            </w:r>
            <w:r>
              <w:rPr>
                <w:rFonts w:ascii="Times New Roman" w:hAnsi="Times New Roman" w:eastAsia="Times New Roman" w:cs="Times New Roman"/>
              </w:rPr>
            </w:r>
            <w:r>
              <w:rPr>
                <w:rFonts w:ascii="Times New Roman" w:hAnsi="Times New Roman" w:cs="Times New Roman"/>
              </w:rPr>
            </w:r>
          </w:p>
        </w:tc>
        <w:tc>
          <w:tcPr>
            <w:tcBorders/>
            <w:tcW w:w="2772" w:type="dxa"/>
          </w:tcPr>
          <w:p w14:paraId="7F46EA06" w14:textId="77777777">
            <w:pPr>
              <w:pBdr/>
              <w:spacing w:after="0"/>
              <w:ind/>
              <w:jc w:val="both"/>
              <w:rPr>
                <w:rFonts w:ascii="Times New Roman" w:hAnsi="Times New Roman" w:cs="Times New Roman"/>
              </w:rPr>
            </w:pPr>
            <w:r>
              <w:rPr>
                <w:rFonts w:ascii="Times New Roman" w:hAnsi="Times New Roman" w:eastAsia="Times New Roman" w:cs="Times New Roman"/>
              </w:rPr>
              <w:t xml:space="preserve">Framework opera com proxies observáveis</w:t>
            </w:r>
            <w:r>
              <w:rPr>
                <w:rFonts w:ascii="Times New Roman" w:hAnsi="Times New Roman" w:eastAsia="Times New Roman" w:cs="Times New Roman"/>
              </w:rPr>
            </w:r>
            <w:r>
              <w:rPr>
                <w:rFonts w:ascii="Times New Roman" w:hAnsi="Times New Roman" w:cs="Times New Roman"/>
              </w:rPr>
            </w:r>
          </w:p>
        </w:tc>
      </w:tr>
    </w:tbl>
    <w:p w14:paraId="3E3FFFD6" w14:textId="77777777">
      <w:pPr>
        <w:pBdr/>
        <w:spacing w:after="0"/>
        <w:ind/>
        <w:jc w:val="both"/>
        <w:rPr>
          <w:rFonts w:ascii="Times New Roman" w:hAnsi="Times New Roman" w:eastAsia="Times New Roman" w:cs="Times New Roman"/>
          <w:iCs/>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Nota. Síntese estruturada com base nos resultados dos testes de validação computacional. </w:t>
      </w:r>
      <w:r>
        <w:rPr>
          <w:rFonts w:ascii="Times New Roman" w:hAnsi="Times New Roman" w:cs="Times New Roman"/>
          <w:iCs/>
          <w:sz w:val="20"/>
          <w:szCs w:val="20"/>
          <w:highlight w:val="none"/>
        </w:rPr>
      </w:r>
      <w:r>
        <w:rPr>
          <w:rFonts w:ascii="Times New Roman" w:hAnsi="Times New Roman" w:eastAsia="Times New Roman" w:cs="Times New Roman"/>
          <w:iCs/>
          <w:sz w:val="20"/>
          <w:szCs w:val="20"/>
        </w:rPr>
      </w:r>
    </w:p>
    <w:p w14:paraId="7F852D61">
      <w:pPr>
        <w:pBdr/>
        <w:spacing w:after="0"/>
        <w:ind/>
        <w:jc w:val="both"/>
        <w:rPr>
          <w:rFonts w:ascii="Times New Roman" w:hAnsi="Times New Roman" w:cs="Times New Roman"/>
          <w:sz w:val="20"/>
          <w:szCs w:val="20"/>
          <w:highlight w:val="none"/>
        </w:rPr>
      </w:pPr>
      <w:r>
        <w:rPr>
          <w:rFonts w:ascii="Times New Roman" w:hAnsi="Times New Roman" w:eastAsia="Times New Roman" w:cs="Times New Roman"/>
          <w:sz w:val="20"/>
          <w:szCs w:val="20"/>
        </w:rPr>
        <w:t xml:space="preserve">Fonte: Elaboração própria.</w:t>
      </w:r>
      <w:r>
        <w:rPr>
          <w:sz w:val="20"/>
          <w:szCs w:val="20"/>
        </w:rPr>
      </w:r>
      <w:r>
        <w:rPr>
          <w:rFonts w:ascii="Times New Roman" w:hAnsi="Times New Roman" w:cs="Times New Roman"/>
          <w:sz w:val="20"/>
          <w:szCs w:val="20"/>
          <w:highlight w:val="none"/>
        </w:rPr>
      </w:r>
    </w:p>
    <w:p w14:paraId="2624A72D">
      <w:pPr>
        <w:pBdr/>
        <w:spacing w:after="0"/>
        <w:ind/>
        <w:jc w:val="both"/>
        <w:rPr>
          <w:rFonts w:ascii="Times New Roman" w:hAnsi="Times New Roman" w:cs="Times New Roman"/>
          <w:bCs/>
          <w:i/>
        </w:rPr>
      </w:pPr>
      <w:r>
        <w:rPr>
          <w:rFonts w:ascii="Times New Roman" w:hAnsi="Times New Roman" w:eastAsia="Times New Roman" w:cs="Times New Roman"/>
          <w:bCs/>
          <w:i/>
        </w:rPr>
      </w:r>
      <w:r>
        <w:rPr>
          <w:rFonts w:ascii="Times New Roman" w:hAnsi="Times New Roman" w:eastAsia="Times New Roman" w:cs="Times New Roman"/>
          <w:bCs/>
          <w:i/>
        </w:rPr>
      </w:r>
      <w:r>
        <w:rPr>
          <w:rFonts w:ascii="Times New Roman" w:hAnsi="Times New Roman" w:cs="Times New Roman"/>
          <w:bCs/>
          <w:i/>
        </w:rPr>
      </w:r>
    </w:p>
    <w:p w14:paraId="3B1D40FC">
      <w:pPr>
        <w:pBdr/>
        <w:spacing w:after="0"/>
        <w:ind/>
        <w:jc w:val="both"/>
        <w:rPr>
          <w:rFonts w:ascii="Times New Roman" w:hAnsi="Times New Roman" w:cs="Times New Roman"/>
          <w:bCs/>
          <w:i/>
        </w:rPr>
      </w:pPr>
      <w:r>
        <w:rPr>
          <w:rFonts w:ascii="Times New Roman" w:hAnsi="Times New Roman" w:cs="Times New Roman"/>
          <w:bCs/>
          <w:i/>
        </w:rPr>
      </w:r>
      <w:r>
        <w:rPr>
          <w:rFonts w:ascii="Times New Roman" w:hAnsi="Times New Roman" w:cs="Times New Roman"/>
          <w:bCs/>
          <w:i/>
        </w:rPr>
      </w:r>
      <w:r>
        <w:rPr>
          <w:rFonts w:ascii="Times New Roman" w:hAnsi="Times New Roman" w:cs="Times New Roman"/>
          <w:bCs/>
          <w:i/>
        </w:rPr>
      </w:r>
    </w:p>
    <w:p w14:paraId="3F585FF7">
      <w:pPr>
        <w:pBdr/>
        <w:spacing w:after="0"/>
        <w:ind/>
        <w:jc w:val="both"/>
        <w:rPr>
          <w:rFonts w:ascii="Times New Roman" w:hAnsi="Times New Roman" w:cs="Times New Roman"/>
          <w:bCs/>
          <w:i/>
        </w:rPr>
      </w:pPr>
      <w:r>
        <w:rPr>
          <w:rFonts w:ascii="Times New Roman" w:hAnsi="Times New Roman" w:cs="Times New Roman"/>
          <w:bCs/>
          <w:i/>
        </w:rPr>
      </w:r>
      <w:r>
        <w:rPr>
          <w:rFonts w:ascii="Times New Roman" w:hAnsi="Times New Roman" w:cs="Times New Roman"/>
          <w:bCs/>
          <w:i/>
        </w:rPr>
      </w:r>
      <w:r>
        <w:rPr>
          <w:rFonts w:ascii="Times New Roman" w:hAnsi="Times New Roman" w:cs="Times New Roman"/>
          <w:bCs/>
          <w:i/>
        </w:rPr>
      </w:r>
    </w:p>
    <w:p w14:paraId="3E218174">
      <w:pPr>
        <w:pBdr/>
        <w:spacing w:after="0"/>
        <w:ind/>
        <w:jc w:val="both"/>
        <w:rPr>
          <w:rFonts w:ascii="Times New Roman" w:hAnsi="Times New Roman" w:cs="Times New Roman"/>
          <w:bCs/>
          <w:i/>
        </w:rPr>
      </w:pPr>
      <w:r>
        <w:rPr>
          <w:rFonts w:ascii="Times New Roman" w:hAnsi="Times New Roman" w:cs="Times New Roman"/>
          <w:bCs/>
          <w:i/>
        </w:rPr>
      </w:r>
      <w:r>
        <w:rPr>
          <w:rFonts w:ascii="Times New Roman" w:hAnsi="Times New Roman" w:cs="Times New Roman"/>
          <w:bCs/>
          <w:i/>
        </w:rPr>
      </w:r>
      <w:r>
        <w:rPr>
          <w:rFonts w:ascii="Times New Roman" w:hAnsi="Times New Roman" w:cs="Times New Roman"/>
          <w:bCs/>
          <w:i/>
        </w:rPr>
      </w:r>
    </w:p>
    <w:p w14:paraId="229FE647">
      <w:pPr>
        <w:pBdr/>
        <w:spacing w:after="0"/>
        <w:ind/>
        <w:jc w:val="both"/>
        <w:rPr>
          <w:rFonts w:ascii="Times New Roman" w:hAnsi="Times New Roman" w:cs="Times New Roman"/>
          <w:bCs/>
          <w:i/>
        </w:rPr>
      </w:pPr>
      <w:r>
        <w:rPr>
          <w:rFonts w:ascii="Times New Roman" w:hAnsi="Times New Roman" w:cs="Times New Roman"/>
          <w:bCs/>
          <w:i/>
        </w:rPr>
      </w:r>
      <w:r>
        <w:rPr>
          <w:rFonts w:ascii="Times New Roman" w:hAnsi="Times New Roman" w:cs="Times New Roman"/>
          <w:bCs/>
          <w:i/>
        </w:rPr>
      </w:r>
      <w:r>
        <w:rPr>
          <w:rFonts w:ascii="Times New Roman" w:hAnsi="Times New Roman" w:cs="Times New Roman"/>
          <w:bCs/>
          <w:i/>
        </w:rPr>
      </w:r>
    </w:p>
    <w:p w14:paraId="4AF3A0AC">
      <w:pPr>
        <w:pBdr/>
        <w:spacing w:after="0"/>
        <w:ind/>
        <w:jc w:val="both"/>
        <w:rPr>
          <w:rFonts w:ascii="Times New Roman" w:hAnsi="Times New Roman" w:cs="Times New Roman"/>
          <w:bCs/>
          <w:i/>
        </w:rPr>
      </w:pPr>
      <w:r>
        <w:rPr>
          <w:rFonts w:ascii="Times New Roman" w:hAnsi="Times New Roman" w:cs="Times New Roman"/>
          <w:bCs/>
          <w:i/>
        </w:rPr>
      </w:r>
      <w:r>
        <w:rPr>
          <w:rFonts w:ascii="Times New Roman" w:hAnsi="Times New Roman" w:cs="Times New Roman"/>
          <w:bCs/>
          <w:i/>
        </w:rPr>
      </w:r>
      <w:r>
        <w:rPr>
          <w:rFonts w:ascii="Times New Roman" w:hAnsi="Times New Roman" w:cs="Times New Roman"/>
          <w:bCs/>
          <w:i/>
        </w:rPr>
      </w:r>
    </w:p>
    <w:p w14:paraId="24E6C499">
      <w:pPr>
        <w:pBdr/>
        <w:spacing w:after="0"/>
        <w:ind/>
        <w:jc w:val="both"/>
        <w:rPr>
          <w:rFonts w:ascii="Times New Roman" w:hAnsi="Times New Roman" w:cs="Times New Roman"/>
          <w:bCs/>
          <w:i/>
        </w:rPr>
      </w:pPr>
      <w:r>
        <w:rPr>
          <w:rFonts w:ascii="Times New Roman" w:hAnsi="Times New Roman" w:cs="Times New Roman"/>
          <w:bCs/>
          <w:i/>
        </w:rPr>
      </w:r>
      <w:r>
        <w:rPr>
          <w:rFonts w:ascii="Times New Roman" w:hAnsi="Times New Roman" w:cs="Times New Roman"/>
          <w:bCs/>
          <w:i/>
        </w:rPr>
      </w:r>
      <w:r>
        <w:rPr>
          <w:rFonts w:ascii="Times New Roman" w:hAnsi="Times New Roman" w:cs="Times New Roman"/>
          <w:bCs/>
          <w:i/>
        </w:rPr>
      </w:r>
    </w:p>
    <w:p w14:paraId="3426F1B4">
      <w:pPr>
        <w:pBdr/>
        <w:spacing w:after="0"/>
        <w:ind/>
        <w:jc w:val="both"/>
        <w:rPr>
          <w:rFonts w:ascii="Times New Roman" w:hAnsi="Times New Roman" w:cs="Times New Roman"/>
          <w:bCs/>
          <w:i/>
        </w:rPr>
      </w:pPr>
      <w:r>
        <w:rPr>
          <w:rFonts w:ascii="Times New Roman" w:hAnsi="Times New Roman" w:cs="Times New Roman"/>
          <w:bCs/>
          <w:i/>
        </w:rPr>
      </w:r>
      <w:r>
        <w:rPr>
          <w:rFonts w:ascii="Times New Roman" w:hAnsi="Times New Roman" w:cs="Times New Roman"/>
          <w:bCs/>
          <w:i/>
        </w:rPr>
      </w:r>
      <w:r>
        <w:rPr>
          <w:rFonts w:ascii="Times New Roman" w:hAnsi="Times New Roman" w:cs="Times New Roman"/>
          <w:bCs/>
          <w:i/>
        </w:rPr>
      </w:r>
    </w:p>
    <w:p w14:paraId="595D6793">
      <w:pPr>
        <w:pBdr/>
        <w:spacing w:after="0"/>
        <w:ind/>
        <w:jc w:val="both"/>
        <w:rPr>
          <w:rFonts w:ascii="Times New Roman" w:hAnsi="Times New Roman" w:cs="Times New Roman"/>
          <w:bCs/>
          <w:i/>
        </w:rPr>
      </w:pPr>
      <w:r>
        <w:rPr>
          <w:rFonts w:ascii="Times New Roman" w:hAnsi="Times New Roman" w:cs="Times New Roman"/>
          <w:bCs/>
          <w:i/>
        </w:rPr>
      </w:r>
      <w:r>
        <w:rPr>
          <w:rFonts w:ascii="Times New Roman" w:hAnsi="Times New Roman" w:cs="Times New Roman"/>
          <w:bCs/>
          <w:i/>
        </w:rPr>
      </w:r>
      <w:r>
        <w:rPr>
          <w:rFonts w:ascii="Times New Roman" w:hAnsi="Times New Roman" w:cs="Times New Roman"/>
          <w:bCs/>
          <w:i/>
        </w:rPr>
      </w:r>
    </w:p>
    <w:p w14:paraId="71EBD739">
      <w:pPr>
        <w:pBdr/>
        <w:spacing w:after="0"/>
        <w:ind/>
        <w:jc w:val="both"/>
        <w:rPr>
          <w:rFonts w:ascii="Times New Roman" w:hAnsi="Times New Roman" w:cs="Times New Roman"/>
          <w:bCs/>
          <w:i/>
        </w:rPr>
      </w:pPr>
      <w:r>
        <w:rPr>
          <w:rFonts w:ascii="Times New Roman" w:hAnsi="Times New Roman" w:cs="Times New Roman"/>
          <w:bCs/>
          <w:i/>
        </w:rPr>
      </w:r>
      <w:r>
        <w:rPr>
          <w:rFonts w:ascii="Times New Roman" w:hAnsi="Times New Roman" w:cs="Times New Roman"/>
          <w:bCs/>
          <w:i/>
        </w:rPr>
      </w:r>
      <w:r>
        <w:rPr>
          <w:rFonts w:ascii="Times New Roman" w:hAnsi="Times New Roman" w:cs="Times New Roman"/>
          <w:bCs/>
          <w:i/>
        </w:rPr>
      </w:r>
    </w:p>
    <w:p w14:paraId="2CA64008">
      <w:pPr>
        <w:pBdr/>
        <w:spacing w:after="0"/>
        <w:ind/>
        <w:jc w:val="both"/>
        <w:rPr>
          <w:rFonts w:ascii="Times New Roman" w:hAnsi="Times New Roman" w:cs="Times New Roman"/>
          <w:bCs/>
          <w:i/>
        </w:rPr>
      </w:pPr>
      <w:r>
        <w:rPr>
          <w:rFonts w:ascii="Times New Roman" w:hAnsi="Times New Roman" w:cs="Times New Roman"/>
          <w:bCs/>
          <w:i/>
        </w:rPr>
      </w:r>
      <w:r>
        <w:rPr>
          <w:rFonts w:ascii="Times New Roman" w:hAnsi="Times New Roman" w:cs="Times New Roman"/>
          <w:bCs/>
          <w:i/>
        </w:rPr>
      </w:r>
      <w:r>
        <w:rPr>
          <w:rFonts w:ascii="Times New Roman" w:hAnsi="Times New Roman" w:cs="Times New Roman"/>
          <w:bCs/>
          <w:i/>
        </w:rPr>
      </w:r>
    </w:p>
    <w:p w14:paraId="254C4DF0">
      <w:pPr>
        <w:pStyle w:val="877"/>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8"/>
        </w:rPr>
        <w:t xml:space="preserve">APÊNDICE B</w:t>
      </w:r>
      <w:r/>
    </w:p>
    <w:p w14:paraId="0E96990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i/>
          <w:color w:val="000000"/>
          <w:sz w:val="24"/>
        </w:rPr>
        <w:t xml:space="preserve">Representações Gráficas dos Modelos de Triagem</w:t>
      </w:r>
      <w:r/>
    </w:p>
    <w:p w14:paraId="17E9FA7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O encerramento do fluxo analítico compreende a apresentação dos resultados visuais consolidados na etapa computacional. Sendo assim, os gráficos gerados servem como ferramentas de auditoria e evidência para o monitoramento contínuo do </w:t>
      </w:r>
      <w:r>
        <w:rPr>
          <w:rFonts w:ascii="Times New Roman" w:hAnsi="Times New Roman" w:eastAsia="Times New Roman" w:cs="Times New Roman"/>
          <w:i/>
          <w:color w:val="000000"/>
          <w:sz w:val="24"/>
        </w:rPr>
        <w:t xml:space="preserve">framework</w:t>
      </w:r>
      <w:r>
        <w:rPr>
          <w:rFonts w:ascii="Times New Roman" w:hAnsi="Times New Roman" w:eastAsia="Times New Roman" w:cs="Times New Roman"/>
          <w:color w:val="000000"/>
          <w:sz w:val="24"/>
        </w:rPr>
        <w:t xml:space="preserve"> na administração pública.</w:t>
      </w:r>
      <w:r>
        <w:rPr>
          <w:rFonts w:ascii="Times New Roman" w:hAnsi="Times New Roman" w:eastAsia="Times New Roman" w:cs="Times New Roman"/>
          <w:sz w:val="24"/>
        </w:rPr>
      </w:r>
      <w:r/>
    </w:p>
    <w:p w14:paraId="23D76E64">
      <w:pPr>
        <w:pBdr/>
        <w:spacing w:after="0"/>
        <w:ind/>
        <w:jc w:val="both"/>
        <w:rPr>
          <w:rFonts w:ascii="Times New Roman" w:hAnsi="Times New Roman" w:eastAsia="Times New Roman" w:cs="Times New Roman"/>
          <w:sz w:val="20"/>
          <w:szCs w:val="20"/>
        </w:rPr>
      </w:pPr>
      <w:r>
        <w:rPr>
          <w:rFonts w:ascii="Times New Roman" w:hAnsi="Times New Roman" w:eastAsia="Times New Roman" w:cs="Times New Roman"/>
          <w:b/>
          <w:bCs/>
          <w:sz w:val="20"/>
          <w:szCs w:val="20"/>
        </w:rPr>
        <w:t xml:space="preserve">Figura 9</w:t>
      </w:r>
      <w:r>
        <w:rPr>
          <w:rFonts w:ascii="Times New Roman" w:hAnsi="Times New Roman" w:cs="Times New Roman"/>
          <w:b/>
          <w:bCs/>
          <w:sz w:val="20"/>
          <w:szCs w:val="20"/>
        </w:rPr>
      </w:r>
      <w:r>
        <w:rPr>
          <w:rFonts w:ascii="Times New Roman" w:hAnsi="Times New Roman" w:eastAsia="Times New Roman" w:cs="Times New Roman"/>
          <w:sz w:val="20"/>
          <w:szCs w:val="20"/>
        </w:rPr>
      </w:r>
    </w:p>
    <w:p w14:paraId="00EB531B">
      <w:pPr>
        <w:pBdr/>
        <w:spacing w:after="0"/>
        <w:ind/>
        <w:jc w:val="both"/>
        <w:rPr>
          <w:rFonts w:ascii="Times New Roman" w:hAnsi="Times New Roman" w:cs="Times New Roman"/>
          <w:b/>
          <w:bCs/>
          <w:sz w:val="20"/>
          <w:szCs w:val="20"/>
        </w:rPr>
      </w:pPr>
      <w:r>
        <w:rPr>
          <w:rFonts w:ascii="Times New Roman" w:hAnsi="Times New Roman" w:eastAsia="Times New Roman" w:cs="Times New Roman"/>
          <w:sz w:val="20"/>
          <w:szCs w:val="20"/>
        </w:rPr>
        <w:t xml:space="preserve">Desempenho dos Modelos – Modelo A vs Modelo B</w:t>
      </w:r>
      <w:r>
        <w:rPr>
          <w:sz w:val="20"/>
          <w:szCs w:val="20"/>
        </w:rPr>
      </w:r>
      <w:r>
        <w:rPr>
          <w:rFonts w:ascii="Times New Roman" w:hAnsi="Times New Roman" w:cs="Times New Roman"/>
          <w:b/>
          <w:bCs/>
          <w:sz w:val="20"/>
          <w:szCs w:val="20"/>
        </w:rPr>
      </w:r>
    </w:p>
    <w:p w14:paraId="477AB7FE">
      <w:pPr>
        <w:pBdr/>
        <w:spacing w:after="0"/>
        <w:ind/>
        <w:jc w:val="both"/>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334000" cy="3423250"/>
                <wp:effectExtent l="0" t="0" r="0" b="0"/>
                <wp:docPr id="9" name="Picture" descr="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42318" name="Picture" descr="C:\Users\Renato\Documents\ThePapperAI\papers\paper-algoritmica-ia-blockchain-compras-publicas\05-documento\figuras/grafico_11_modelos_desempenho.png"/>
                        <pic:cNvPicPr>
                          <a:picLocks noChangeAspect="1"/>
                        </pic:cNvPicPr>
                        <pic:nvPr/>
                      </pic:nvPicPr>
                      <pic:blipFill rotWithShape="1">
                        <a:blip r:embed="rId18"/>
                        <a:stretch/>
                      </pic:blipFill>
                      <pic:spPr bwMode="auto">
                        <a:xfrm>
                          <a:off x="0" y="0"/>
                          <a:ext cx="5333999" cy="342324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20.00pt;height:269.55pt;mso-wrap-distance-left:0.00pt;mso-wrap-distance-top:0.00pt;mso-wrap-distance-right:0.00pt;mso-wrap-distance-bottom:0.00pt;z-index:1;" stroked="f" strokeweight="0.75pt">
                <v:imagedata r:id="rId18" o:title=""/>
                <o:lock v:ext="edit" rotation="t"/>
              </v:shape>
            </w:pict>
          </mc:Fallback>
        </mc:AlternateContent>
      </w:r>
      <w:r>
        <w:rPr>
          <w:rFonts w:ascii="Times New Roman" w:hAnsi="Times New Roman" w:eastAsia="Times New Roman" w:cs="Times New Roman"/>
        </w:rPr>
      </w:r>
      <w:r>
        <w:rPr>
          <w:rFonts w:ascii="Times New Roman" w:hAnsi="Times New Roman" w:cs="Times New Roman"/>
        </w:rPr>
      </w:r>
    </w:p>
    <w:p w14:paraId="45B1CB1F">
      <w:pPr>
        <w:pBdr/>
        <w:spacing w:after="0"/>
        <w:ind/>
        <w:jc w:val="both"/>
        <w:rPr>
          <w:rFonts w:ascii="Times New Roman" w:hAnsi="Times New Roman" w:eastAsia="Times New Roman" w:cs="Times New Roman"/>
          <w:iCs/>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N</w:t>
      </w:r>
      <w:r>
        <w:rPr>
          <w:rFonts w:ascii="Times New Roman" w:hAnsi="Times New Roman" w:eastAsia="Times New Roman" w:cs="Times New Roman"/>
          <w:sz w:val="20"/>
          <w:szCs w:val="20"/>
        </w:rPr>
        <w:t xml:space="preserve">ota. A dispersão matricial quantifica os acertos e os erros de classificação para cada nível do escore de risco processual. Dessa forma, observa-se graficamente a perda de sensibilidade do modelo quando as variáveis primárias de desconto e sobrepreço são o</w:t>
      </w:r>
      <w:r>
        <w:rPr>
          <w:rFonts w:ascii="Times New Roman" w:hAnsi="Times New Roman" w:eastAsia="Times New Roman" w:cs="Times New Roman"/>
          <w:sz w:val="20"/>
          <w:szCs w:val="20"/>
        </w:rPr>
        <w:t xml:space="preserve">mitidas do ambiente preditivo. </w:t>
      </w:r>
      <w:r>
        <w:rPr>
          <w:rFonts w:ascii="Times New Roman" w:hAnsi="Times New Roman" w:cs="Times New Roman"/>
          <w:i/>
          <w:iCs/>
          <w:sz w:val="20"/>
          <w:szCs w:val="20"/>
        </w:rPr>
      </w:r>
      <w:r>
        <w:rPr>
          <w:rFonts w:ascii="Times New Roman" w:hAnsi="Times New Roman" w:eastAsia="Times New Roman" w:cs="Times New Roman"/>
          <w:iCs/>
          <w:sz w:val="20"/>
          <w:szCs w:val="20"/>
        </w:rPr>
      </w:r>
    </w:p>
    <w:p w14:paraId="46603E00">
      <w:pPr>
        <w:pBdr/>
        <w:spacing w:after="0"/>
        <w:ind/>
        <w:jc w:val="both"/>
        <w:rPr>
          <w:rFonts w:ascii="Times New Roman" w:hAnsi="Times New Roman" w:cs="Times New Roman"/>
          <w:bCs/>
          <w:i/>
          <w:sz w:val="20"/>
          <w:szCs w:val="20"/>
        </w:rPr>
      </w:pPr>
      <w:r>
        <w:rPr>
          <w:rFonts w:ascii="Times New Roman" w:hAnsi="Times New Roman" w:eastAsia="Times New Roman" w:cs="Times New Roman"/>
          <w:sz w:val="20"/>
          <w:szCs w:val="20"/>
        </w:rPr>
        <w:t xml:space="preserve">Fonte: Elaboração própria.</w:t>
      </w:r>
      <w:r>
        <w:rPr>
          <w:sz w:val="20"/>
          <w:szCs w:val="20"/>
        </w:rPr>
      </w:r>
      <w:r>
        <w:rPr>
          <w:rFonts w:ascii="Times New Roman" w:hAnsi="Times New Roman" w:cs="Times New Roman"/>
          <w:bCs/>
          <w:i/>
          <w:sz w:val="20"/>
          <w:szCs w:val="20"/>
        </w:rPr>
      </w:r>
    </w:p>
    <w:p w14:paraId="6AACB279">
      <w:pPr>
        <w:pBdr/>
        <w:spacing w:after="0"/>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455BA406">
      <w:pPr>
        <w:pBdr/>
        <w:spacing w:after="0"/>
        <w:ind/>
        <w:jc w:val="both"/>
        <w:rPr>
          <w:rFonts w:ascii="Times New Roman" w:hAnsi="Times New Roman" w:eastAsia="Times New Roman" w:cs="Times New Roman"/>
          <w:sz w:val="20"/>
          <w:szCs w:val="20"/>
        </w:rPr>
      </w:pPr>
      <w:r>
        <w:rPr>
          <w:rFonts w:ascii="Times New Roman" w:hAnsi="Times New Roman" w:eastAsia="Times New Roman" w:cs="Times New Roman"/>
          <w:b/>
          <w:bCs/>
          <w:sz w:val="20"/>
          <w:szCs w:val="20"/>
        </w:rPr>
        <w:t xml:space="preserve">Figura 10</w:t>
      </w:r>
      <w:r>
        <w:rPr>
          <w:rFonts w:ascii="Times New Roman" w:hAnsi="Times New Roman" w:cs="Times New Roman"/>
          <w:b/>
          <w:bCs/>
          <w:sz w:val="20"/>
          <w:szCs w:val="20"/>
        </w:rPr>
      </w:r>
      <w:r>
        <w:rPr>
          <w:rFonts w:ascii="Times New Roman" w:hAnsi="Times New Roman" w:eastAsia="Times New Roman" w:cs="Times New Roman"/>
          <w:sz w:val="20"/>
          <w:szCs w:val="20"/>
        </w:rPr>
      </w:r>
    </w:p>
    <w:p w14:paraId="3F49B781">
      <w:pPr>
        <w:pBdr/>
        <w:spacing w:after="0"/>
        <w:ind/>
        <w:jc w:val="both"/>
        <w:rPr>
          <w:rFonts w:ascii="Times New Roman" w:hAnsi="Times New Roman" w:cs="Times New Roman"/>
          <w:b/>
          <w:bCs/>
          <w:sz w:val="20"/>
          <w:szCs w:val="20"/>
        </w:rPr>
      </w:pPr>
      <w:r>
        <w:rPr>
          <w:rFonts w:ascii="Times New Roman" w:hAnsi="Times New Roman" w:eastAsia="Times New Roman" w:cs="Times New Roman"/>
          <w:sz w:val="20"/>
          <w:szCs w:val="20"/>
        </w:rPr>
        <w:t xml:space="preserve">Importância das Variáveis (Feature Importance) no Modelo de Floresta Aleatória</w:t>
      </w:r>
      <w:r>
        <w:rPr>
          <w:sz w:val="20"/>
          <w:szCs w:val="20"/>
        </w:rPr>
      </w:r>
      <w:r>
        <w:rPr>
          <w:rFonts w:ascii="Times New Roman" w:hAnsi="Times New Roman" w:cs="Times New Roman"/>
          <w:b/>
          <w:bCs/>
          <w:sz w:val="20"/>
          <w:szCs w:val="20"/>
        </w:rPr>
      </w:r>
    </w:p>
    <w:p w14:paraId="022A315B">
      <w:pPr>
        <w:pBdr/>
        <w:spacing w:after="0"/>
        <w:ind/>
        <w:jc w:val="both"/>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334000" cy="3159730"/>
                <wp:effectExtent l="0" t="0" r="0" b="0"/>
                <wp:docPr id="10" name="Picture" descr="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06775" name="Picture" descr="C:\Users\Renato\Documents\ThePapperAI\papers\paper-algoritmica-ia-blockchain-compras-publicas\05-documento\figuras/grafico_12_feature_importance_a.png"/>
                        <pic:cNvPicPr>
                          <a:picLocks noChangeAspect="1"/>
                        </pic:cNvPicPr>
                        <pic:nvPr/>
                      </pic:nvPicPr>
                      <pic:blipFill rotWithShape="1">
                        <a:blip r:embed="rId19"/>
                        <a:stretch/>
                      </pic:blipFill>
                      <pic:spPr bwMode="auto">
                        <a:xfrm>
                          <a:off x="0" y="0"/>
                          <a:ext cx="5333999" cy="315972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20.00pt;height:248.80pt;mso-wrap-distance-left:0.00pt;mso-wrap-distance-top:0.00pt;mso-wrap-distance-right:0.00pt;mso-wrap-distance-bottom:0.00pt;z-index:1;" stroked="f" strokeweight="0.75pt">
                <v:imagedata r:id="rId19" o:title=""/>
                <o:lock v:ext="edit" rotation="t"/>
              </v:shape>
            </w:pict>
          </mc:Fallback>
        </mc:AlternateContent>
      </w:r>
      <w:r>
        <w:rPr>
          <w:rFonts w:ascii="Times New Roman" w:hAnsi="Times New Roman" w:eastAsia="Times New Roman" w:cs="Times New Roman"/>
        </w:rPr>
      </w:r>
      <w:r>
        <w:rPr>
          <w:rFonts w:ascii="Times New Roman" w:hAnsi="Times New Roman" w:cs="Times New Roman"/>
        </w:rPr>
      </w:r>
    </w:p>
    <w:p w14:paraId="450773E4">
      <w:pPr>
        <w:pBdr/>
        <w:spacing w:after="0"/>
        <w:ind/>
        <w:jc w:val="both"/>
        <w:rPr>
          <w:rFonts w:ascii="Times New Roman" w:hAnsi="Times New Roman" w:eastAsia="Times New Roman" w:cs="Times New Roman"/>
          <w:iCs/>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N</w:t>
      </w:r>
      <w:r>
        <w:rPr>
          <w:rFonts w:ascii="Times New Roman" w:hAnsi="Times New Roman" w:eastAsia="Times New Roman" w:cs="Times New Roman"/>
          <w:sz w:val="20"/>
          <w:szCs w:val="20"/>
        </w:rPr>
        <w:t xml:space="preserve">ota. O ordenamento dos fatores revela o peso relativo de cada atributo no cálculo do risco processual. Nesse contexto, a representação visual atesta que os indicadores de desvio orçamental e a modalidade de contratação direta respondem pela maior parcela d</w:t>
      </w:r>
      <w:r>
        <w:rPr>
          <w:rFonts w:ascii="Times New Roman" w:hAnsi="Times New Roman" w:eastAsia="Times New Roman" w:cs="Times New Roman"/>
          <w:sz w:val="20"/>
          <w:szCs w:val="20"/>
        </w:rPr>
        <w:t xml:space="preserve">o poder explicativo da arquitetura de compliance desenvolvida. </w:t>
      </w:r>
      <w:r>
        <w:rPr>
          <w:rFonts w:ascii="Times New Roman" w:hAnsi="Times New Roman" w:cs="Times New Roman"/>
          <w:i/>
          <w:iCs/>
          <w:sz w:val="20"/>
          <w:szCs w:val="20"/>
        </w:rPr>
      </w:r>
      <w:r>
        <w:rPr>
          <w:rFonts w:ascii="Times New Roman" w:hAnsi="Times New Roman" w:eastAsia="Times New Roman" w:cs="Times New Roman"/>
          <w:iCs/>
          <w:sz w:val="20"/>
          <w:szCs w:val="20"/>
        </w:rPr>
      </w:r>
    </w:p>
    <w:p w14:paraId="327751E2">
      <w:pPr>
        <w:pBdr/>
        <w:spacing w:after="0"/>
        <w:ind/>
        <w:jc w:val="both"/>
        <w:rPr>
          <w:rFonts w:ascii="Times New Roman" w:hAnsi="Times New Roman" w:cs="Times New Roman"/>
          <w:bCs/>
          <w:i/>
          <w:sz w:val="20"/>
          <w:szCs w:val="20"/>
        </w:rPr>
      </w:pPr>
      <w:r>
        <w:rPr>
          <w:rFonts w:ascii="Times New Roman" w:hAnsi="Times New Roman" w:eastAsia="Times New Roman" w:cs="Times New Roman"/>
          <w:sz w:val="20"/>
          <w:szCs w:val="20"/>
        </w:rPr>
        <w:t xml:space="preserve">Fonte: Elaboração própria.</w:t>
      </w:r>
      <w:r>
        <w:rPr>
          <w:sz w:val="20"/>
          <w:szCs w:val="20"/>
        </w:rPr>
      </w:r>
      <w:r>
        <w:rPr>
          <w:rFonts w:ascii="Times New Roman" w:hAnsi="Times New Roman" w:cs="Times New Roman"/>
          <w:bCs/>
          <w:i/>
          <w:sz w:val="20"/>
          <w:szCs w:val="20"/>
        </w:rPr>
      </w:r>
    </w:p>
    <w:sectPr>
      <w:footnotePr>
        <w:numRestart w:val="eachSect"/>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Consolas">
    <w:panose1 w:val="020B06090202040302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2F3530C5"/>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
    <w:nsid w:val="0AFCBB9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eachSect"/>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name w:val="Table Grid Light"/>
    <w:basedOn w:val="88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1"/>
    <w:basedOn w:val="88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8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8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8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8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8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8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8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8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8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8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8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8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8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8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8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8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8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8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8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8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8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8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8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8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8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8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8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8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8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8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8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8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8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8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8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8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8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8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8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8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8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8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8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8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8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8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8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8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8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8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8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8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8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8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8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8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8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8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8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8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8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8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8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8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8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8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8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8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8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8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8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8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8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8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8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8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8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8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8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05">
    <w:name w:val="List Table 7 Colorful - Accent 2"/>
    <w:basedOn w:val="88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06">
    <w:name w:val="List Table 7 Colorful - Accent 3"/>
    <w:basedOn w:val="88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07">
    <w:name w:val="List Table 7 Colorful - Accent 4"/>
    <w:basedOn w:val="88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08">
    <w:name w:val="List Table 7 Colorful - Accent 5"/>
    <w:basedOn w:val="88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09">
    <w:name w:val="List Table 7 Colorful - Accent 6"/>
    <w:basedOn w:val="88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10">
    <w:name w:val="Lined - Accent"/>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8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8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8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8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8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8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8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8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8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8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8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8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8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8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31">
    <w:name w:val="Heading 1 Char"/>
    <w:basedOn w:val="884"/>
    <w:link w:val="875"/>
    <w:uiPriority w:val="9"/>
    <w:pPr>
      <w:pBdr/>
      <w:spacing/>
      <w:ind/>
    </w:pPr>
    <w:rPr>
      <w:rFonts w:ascii="Arial" w:hAnsi="Arial" w:eastAsia="Arial" w:cs="Arial"/>
      <w:color w:val="0f4761" w:themeColor="accent1" w:themeShade="BF"/>
      <w:sz w:val="40"/>
      <w:szCs w:val="40"/>
    </w:rPr>
  </w:style>
  <w:style w:type="character" w:styleId="832">
    <w:name w:val="Heading 2 Char"/>
    <w:basedOn w:val="884"/>
    <w:link w:val="876"/>
    <w:uiPriority w:val="9"/>
    <w:pPr>
      <w:pBdr/>
      <w:spacing/>
      <w:ind/>
    </w:pPr>
    <w:rPr>
      <w:rFonts w:ascii="Arial" w:hAnsi="Arial" w:eastAsia="Arial" w:cs="Arial"/>
      <w:color w:val="0f4761" w:themeColor="accent1" w:themeShade="BF"/>
      <w:sz w:val="32"/>
      <w:szCs w:val="32"/>
    </w:rPr>
  </w:style>
  <w:style w:type="character" w:styleId="833">
    <w:name w:val="Heading 3 Char"/>
    <w:basedOn w:val="884"/>
    <w:link w:val="877"/>
    <w:uiPriority w:val="9"/>
    <w:pPr>
      <w:pBdr/>
      <w:spacing/>
      <w:ind/>
    </w:pPr>
    <w:rPr>
      <w:rFonts w:ascii="Arial" w:hAnsi="Arial" w:eastAsia="Arial" w:cs="Arial"/>
      <w:color w:val="0f4761" w:themeColor="accent1" w:themeShade="BF"/>
      <w:sz w:val="28"/>
      <w:szCs w:val="28"/>
    </w:rPr>
  </w:style>
  <w:style w:type="character" w:styleId="834">
    <w:name w:val="Heading 4 Char"/>
    <w:basedOn w:val="884"/>
    <w:link w:val="878"/>
    <w:uiPriority w:val="9"/>
    <w:pPr>
      <w:pBdr/>
      <w:spacing/>
      <w:ind/>
    </w:pPr>
    <w:rPr>
      <w:rFonts w:ascii="Arial" w:hAnsi="Arial" w:eastAsia="Arial" w:cs="Arial"/>
      <w:i/>
      <w:iCs/>
      <w:color w:val="0f4761" w:themeColor="accent1" w:themeShade="BF"/>
    </w:rPr>
  </w:style>
  <w:style w:type="character" w:styleId="835">
    <w:name w:val="Heading 5 Char"/>
    <w:basedOn w:val="884"/>
    <w:link w:val="879"/>
    <w:uiPriority w:val="9"/>
    <w:pPr>
      <w:pBdr/>
      <w:spacing/>
      <w:ind/>
    </w:pPr>
    <w:rPr>
      <w:rFonts w:ascii="Arial" w:hAnsi="Arial" w:eastAsia="Arial" w:cs="Arial"/>
      <w:color w:val="0f4761" w:themeColor="accent1" w:themeShade="BF"/>
    </w:rPr>
  </w:style>
  <w:style w:type="character" w:styleId="836">
    <w:name w:val="Heading 6 Char"/>
    <w:basedOn w:val="884"/>
    <w:link w:val="880"/>
    <w:uiPriority w:val="9"/>
    <w:pPr>
      <w:pBdr/>
      <w:spacing/>
      <w:ind/>
    </w:pPr>
    <w:rPr>
      <w:rFonts w:ascii="Arial" w:hAnsi="Arial" w:eastAsia="Arial" w:cs="Arial"/>
      <w:i/>
      <w:iCs/>
      <w:color w:val="595959" w:themeColor="text1" w:themeTint="A6"/>
    </w:rPr>
  </w:style>
  <w:style w:type="character" w:styleId="837">
    <w:name w:val="Heading 7 Char"/>
    <w:basedOn w:val="884"/>
    <w:link w:val="881"/>
    <w:uiPriority w:val="9"/>
    <w:pPr>
      <w:pBdr/>
      <w:spacing/>
      <w:ind/>
    </w:pPr>
    <w:rPr>
      <w:rFonts w:ascii="Arial" w:hAnsi="Arial" w:eastAsia="Arial" w:cs="Arial"/>
      <w:color w:val="595959" w:themeColor="text1" w:themeTint="A6"/>
    </w:rPr>
  </w:style>
  <w:style w:type="character" w:styleId="838">
    <w:name w:val="Heading 8 Char"/>
    <w:basedOn w:val="884"/>
    <w:link w:val="882"/>
    <w:uiPriority w:val="9"/>
    <w:pPr>
      <w:pBdr/>
      <w:spacing/>
      <w:ind/>
    </w:pPr>
    <w:rPr>
      <w:rFonts w:ascii="Arial" w:hAnsi="Arial" w:eastAsia="Arial" w:cs="Arial"/>
      <w:i/>
      <w:iCs/>
      <w:color w:val="272727" w:themeColor="text1" w:themeTint="D8"/>
    </w:rPr>
  </w:style>
  <w:style w:type="character" w:styleId="839">
    <w:name w:val="Heading 9 Char"/>
    <w:basedOn w:val="884"/>
    <w:link w:val="883"/>
    <w:uiPriority w:val="9"/>
    <w:pPr>
      <w:pBdr/>
      <w:spacing/>
      <w:ind/>
    </w:pPr>
    <w:rPr>
      <w:rFonts w:ascii="Arial" w:hAnsi="Arial" w:eastAsia="Arial" w:cs="Arial"/>
      <w:i/>
      <w:iCs/>
      <w:color w:val="272727" w:themeColor="text1" w:themeTint="D8"/>
    </w:rPr>
  </w:style>
  <w:style w:type="character" w:styleId="840">
    <w:name w:val="Title Char"/>
    <w:basedOn w:val="884"/>
    <w:link w:val="890"/>
    <w:uiPriority w:val="10"/>
    <w:pPr>
      <w:pBdr/>
      <w:spacing/>
      <w:ind/>
    </w:pPr>
    <w:rPr>
      <w:rFonts w:ascii="Arial" w:hAnsi="Arial" w:eastAsia="Arial" w:cs="Arial"/>
      <w:spacing w:val="-10"/>
      <w:sz w:val="56"/>
      <w:szCs w:val="56"/>
    </w:rPr>
  </w:style>
  <w:style w:type="character" w:styleId="841">
    <w:name w:val="Subtitle Char"/>
    <w:basedOn w:val="884"/>
    <w:link w:val="892"/>
    <w:uiPriority w:val="11"/>
    <w:pPr>
      <w:pBdr/>
      <w:spacing/>
      <w:ind/>
    </w:pPr>
    <w:rPr>
      <w:color w:val="595959" w:themeColor="text1" w:themeTint="A6"/>
      <w:spacing w:val="15"/>
      <w:sz w:val="28"/>
      <w:szCs w:val="28"/>
    </w:rPr>
  </w:style>
  <w:style w:type="paragraph" w:styleId="842">
    <w:name w:val="Quote"/>
    <w:basedOn w:val="874"/>
    <w:next w:val="874"/>
    <w:link w:val="843"/>
    <w:uiPriority w:val="29"/>
    <w:qFormat/>
    <w:pPr>
      <w:pBdr/>
      <w:spacing w:before="160"/>
      <w:ind/>
      <w:jc w:val="center"/>
    </w:pPr>
    <w:rPr>
      <w:i/>
      <w:iCs/>
      <w:color w:val="404040" w:themeColor="text1" w:themeTint="BF"/>
    </w:rPr>
  </w:style>
  <w:style w:type="character" w:styleId="843">
    <w:name w:val="Quote Char"/>
    <w:basedOn w:val="884"/>
    <w:link w:val="842"/>
    <w:uiPriority w:val="29"/>
    <w:pPr>
      <w:pBdr/>
      <w:spacing/>
      <w:ind/>
    </w:pPr>
    <w:rPr>
      <w:i/>
      <w:iCs/>
      <w:color w:val="404040" w:themeColor="text1" w:themeTint="BF"/>
    </w:rPr>
  </w:style>
  <w:style w:type="character" w:styleId="844">
    <w:name w:val="Intense Emphasis"/>
    <w:basedOn w:val="884"/>
    <w:uiPriority w:val="21"/>
    <w:qFormat/>
    <w:pPr>
      <w:pBdr/>
      <w:spacing/>
      <w:ind/>
    </w:pPr>
    <w:rPr>
      <w:i/>
      <w:iCs/>
      <w:color w:val="0f4761" w:themeColor="accent1" w:themeShade="BF"/>
    </w:rPr>
  </w:style>
  <w:style w:type="paragraph" w:styleId="845">
    <w:name w:val="Intense Quote"/>
    <w:basedOn w:val="874"/>
    <w:next w:val="874"/>
    <w:link w:val="84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46">
    <w:name w:val="Intense Quote Char"/>
    <w:basedOn w:val="884"/>
    <w:link w:val="845"/>
    <w:uiPriority w:val="30"/>
    <w:pPr>
      <w:pBdr/>
      <w:spacing/>
      <w:ind/>
    </w:pPr>
    <w:rPr>
      <w:i/>
      <w:iCs/>
      <w:color w:val="0f4761" w:themeColor="accent1" w:themeShade="BF"/>
    </w:rPr>
  </w:style>
  <w:style w:type="character" w:styleId="847">
    <w:name w:val="Intense Reference"/>
    <w:basedOn w:val="884"/>
    <w:uiPriority w:val="32"/>
    <w:qFormat/>
    <w:pPr>
      <w:pBdr/>
      <w:spacing/>
      <w:ind/>
    </w:pPr>
    <w:rPr>
      <w:b/>
      <w:bCs/>
      <w:smallCaps/>
      <w:color w:val="0f4761" w:themeColor="accent1" w:themeShade="BF"/>
      <w:spacing w:val="5"/>
    </w:rPr>
  </w:style>
  <w:style w:type="paragraph" w:styleId="848">
    <w:name w:val="No Spacing"/>
    <w:basedOn w:val="874"/>
    <w:uiPriority w:val="1"/>
    <w:qFormat/>
    <w:pPr>
      <w:pBdr/>
      <w:spacing w:after="0" w:line="240" w:lineRule="auto"/>
      <w:ind/>
    </w:pPr>
  </w:style>
  <w:style w:type="character" w:styleId="849">
    <w:name w:val="Subtle Emphasis"/>
    <w:basedOn w:val="884"/>
    <w:uiPriority w:val="19"/>
    <w:qFormat/>
    <w:pPr>
      <w:pBdr/>
      <w:spacing/>
      <w:ind/>
    </w:pPr>
    <w:rPr>
      <w:i/>
      <w:iCs/>
      <w:color w:val="404040" w:themeColor="text1" w:themeTint="BF"/>
    </w:rPr>
  </w:style>
  <w:style w:type="character" w:styleId="850">
    <w:name w:val="Emphasis"/>
    <w:basedOn w:val="884"/>
    <w:uiPriority w:val="20"/>
    <w:qFormat/>
    <w:pPr>
      <w:pBdr/>
      <w:spacing/>
      <w:ind/>
    </w:pPr>
    <w:rPr>
      <w:i/>
      <w:iCs/>
    </w:rPr>
  </w:style>
  <w:style w:type="character" w:styleId="851">
    <w:name w:val="Strong"/>
    <w:basedOn w:val="884"/>
    <w:uiPriority w:val="22"/>
    <w:qFormat/>
    <w:pPr>
      <w:pBdr/>
      <w:spacing/>
      <w:ind/>
    </w:pPr>
    <w:rPr>
      <w:b/>
      <w:bCs/>
    </w:rPr>
  </w:style>
  <w:style w:type="character" w:styleId="852">
    <w:name w:val="Subtle Reference"/>
    <w:basedOn w:val="884"/>
    <w:uiPriority w:val="31"/>
    <w:qFormat/>
    <w:pPr>
      <w:pBdr/>
      <w:spacing/>
      <w:ind/>
    </w:pPr>
    <w:rPr>
      <w:smallCaps/>
      <w:color w:val="5a5a5a" w:themeColor="text1" w:themeTint="A5"/>
    </w:rPr>
  </w:style>
  <w:style w:type="character" w:styleId="853">
    <w:name w:val="Book Title"/>
    <w:basedOn w:val="884"/>
    <w:uiPriority w:val="33"/>
    <w:qFormat/>
    <w:pPr>
      <w:pBdr/>
      <w:spacing/>
      <w:ind/>
    </w:pPr>
    <w:rPr>
      <w:b/>
      <w:bCs/>
      <w:i/>
      <w:iCs/>
      <w:spacing w:val="5"/>
    </w:rPr>
  </w:style>
  <w:style w:type="paragraph" w:styleId="854">
    <w:name w:val="Header"/>
    <w:basedOn w:val="874"/>
    <w:link w:val="855"/>
    <w:uiPriority w:val="99"/>
    <w:unhideWhenUsed/>
    <w:pPr>
      <w:pBdr/>
      <w:tabs>
        <w:tab w:val="center" w:leader="none" w:pos="4844"/>
        <w:tab w:val="right" w:leader="none" w:pos="9689"/>
      </w:tabs>
      <w:spacing w:after="0" w:line="240" w:lineRule="auto"/>
      <w:ind/>
    </w:pPr>
  </w:style>
  <w:style w:type="character" w:styleId="855">
    <w:name w:val="Header Char"/>
    <w:basedOn w:val="884"/>
    <w:link w:val="854"/>
    <w:uiPriority w:val="99"/>
    <w:pPr>
      <w:pBdr/>
      <w:spacing/>
      <w:ind/>
    </w:pPr>
  </w:style>
  <w:style w:type="paragraph" w:styleId="856">
    <w:name w:val="Footer"/>
    <w:basedOn w:val="874"/>
    <w:link w:val="857"/>
    <w:uiPriority w:val="99"/>
    <w:unhideWhenUsed/>
    <w:pPr>
      <w:pBdr/>
      <w:tabs>
        <w:tab w:val="center" w:leader="none" w:pos="4844"/>
        <w:tab w:val="right" w:leader="none" w:pos="9689"/>
      </w:tabs>
      <w:spacing w:after="0" w:line="240" w:lineRule="auto"/>
      <w:ind/>
    </w:pPr>
  </w:style>
  <w:style w:type="character" w:styleId="857">
    <w:name w:val="Footer Char"/>
    <w:basedOn w:val="884"/>
    <w:link w:val="856"/>
    <w:uiPriority w:val="99"/>
    <w:pPr>
      <w:pBdr/>
      <w:spacing/>
      <w:ind/>
    </w:pPr>
  </w:style>
  <w:style w:type="character" w:styleId="858">
    <w:name w:val="Footnote Text Char"/>
    <w:basedOn w:val="884"/>
    <w:link w:val="909"/>
    <w:uiPriority w:val="99"/>
    <w:semiHidden/>
    <w:pPr>
      <w:pBdr/>
      <w:spacing/>
      <w:ind/>
    </w:pPr>
    <w:rPr>
      <w:sz w:val="20"/>
      <w:szCs w:val="20"/>
    </w:rPr>
  </w:style>
  <w:style w:type="paragraph" w:styleId="859">
    <w:name w:val="endnote text"/>
    <w:basedOn w:val="874"/>
    <w:link w:val="860"/>
    <w:uiPriority w:val="99"/>
    <w:semiHidden/>
    <w:unhideWhenUsed/>
    <w:pPr>
      <w:pBdr/>
      <w:spacing w:after="0" w:line="240" w:lineRule="auto"/>
      <w:ind/>
    </w:pPr>
    <w:rPr>
      <w:sz w:val="20"/>
      <w:szCs w:val="20"/>
    </w:rPr>
  </w:style>
  <w:style w:type="character" w:styleId="860">
    <w:name w:val="Endnote Text Char"/>
    <w:basedOn w:val="884"/>
    <w:link w:val="859"/>
    <w:uiPriority w:val="99"/>
    <w:semiHidden/>
    <w:pPr>
      <w:pBdr/>
      <w:spacing/>
      <w:ind/>
    </w:pPr>
    <w:rPr>
      <w:sz w:val="20"/>
      <w:szCs w:val="20"/>
    </w:rPr>
  </w:style>
  <w:style w:type="character" w:styleId="861">
    <w:name w:val="endnote reference"/>
    <w:basedOn w:val="884"/>
    <w:uiPriority w:val="99"/>
    <w:semiHidden/>
    <w:unhideWhenUsed/>
    <w:pPr>
      <w:pBdr/>
      <w:spacing/>
      <w:ind/>
    </w:pPr>
    <w:rPr>
      <w:vertAlign w:val="superscript"/>
    </w:rPr>
  </w:style>
  <w:style w:type="character" w:styleId="862">
    <w:name w:val="FollowedHyperlink"/>
    <w:basedOn w:val="884"/>
    <w:uiPriority w:val="99"/>
    <w:semiHidden/>
    <w:unhideWhenUsed/>
    <w:pPr>
      <w:pBdr/>
      <w:spacing/>
      <w:ind/>
    </w:pPr>
    <w:rPr>
      <w:color w:val="954f72" w:themeColor="followedHyperlink"/>
      <w:u w:val="single"/>
    </w:rPr>
  </w:style>
  <w:style w:type="paragraph" w:styleId="863">
    <w:name w:val="toc 1"/>
    <w:basedOn w:val="874"/>
    <w:next w:val="874"/>
    <w:uiPriority w:val="39"/>
    <w:unhideWhenUsed/>
    <w:pPr>
      <w:pBdr/>
      <w:spacing w:after="100"/>
      <w:ind/>
    </w:pPr>
  </w:style>
  <w:style w:type="paragraph" w:styleId="864">
    <w:name w:val="toc 2"/>
    <w:basedOn w:val="874"/>
    <w:next w:val="874"/>
    <w:uiPriority w:val="39"/>
    <w:unhideWhenUsed/>
    <w:pPr>
      <w:pBdr/>
      <w:spacing w:after="100"/>
      <w:ind w:left="220"/>
    </w:pPr>
  </w:style>
  <w:style w:type="paragraph" w:styleId="865">
    <w:name w:val="toc 3"/>
    <w:basedOn w:val="874"/>
    <w:next w:val="874"/>
    <w:uiPriority w:val="39"/>
    <w:unhideWhenUsed/>
    <w:pPr>
      <w:pBdr/>
      <w:spacing w:after="100"/>
      <w:ind w:left="440"/>
    </w:pPr>
  </w:style>
  <w:style w:type="paragraph" w:styleId="866">
    <w:name w:val="toc 4"/>
    <w:basedOn w:val="874"/>
    <w:next w:val="874"/>
    <w:uiPriority w:val="39"/>
    <w:unhideWhenUsed/>
    <w:pPr>
      <w:pBdr/>
      <w:spacing w:after="100"/>
      <w:ind w:left="660"/>
    </w:pPr>
  </w:style>
  <w:style w:type="paragraph" w:styleId="867">
    <w:name w:val="toc 5"/>
    <w:basedOn w:val="874"/>
    <w:next w:val="874"/>
    <w:uiPriority w:val="39"/>
    <w:unhideWhenUsed/>
    <w:pPr>
      <w:pBdr/>
      <w:spacing w:after="100"/>
      <w:ind w:left="880"/>
    </w:pPr>
  </w:style>
  <w:style w:type="paragraph" w:styleId="868">
    <w:name w:val="toc 6"/>
    <w:basedOn w:val="874"/>
    <w:next w:val="874"/>
    <w:uiPriority w:val="39"/>
    <w:unhideWhenUsed/>
    <w:pPr>
      <w:pBdr/>
      <w:spacing w:after="100"/>
      <w:ind w:left="1100"/>
    </w:pPr>
  </w:style>
  <w:style w:type="paragraph" w:styleId="869">
    <w:name w:val="toc 7"/>
    <w:basedOn w:val="874"/>
    <w:next w:val="874"/>
    <w:uiPriority w:val="39"/>
    <w:unhideWhenUsed/>
    <w:pPr>
      <w:pBdr/>
      <w:spacing w:after="100"/>
      <w:ind w:left="1320"/>
    </w:pPr>
  </w:style>
  <w:style w:type="paragraph" w:styleId="870">
    <w:name w:val="toc 8"/>
    <w:basedOn w:val="874"/>
    <w:next w:val="874"/>
    <w:uiPriority w:val="39"/>
    <w:unhideWhenUsed/>
    <w:pPr>
      <w:pBdr/>
      <w:spacing w:after="100"/>
      <w:ind w:left="1540"/>
    </w:pPr>
  </w:style>
  <w:style w:type="paragraph" w:styleId="871">
    <w:name w:val="toc 9"/>
    <w:basedOn w:val="874"/>
    <w:next w:val="874"/>
    <w:uiPriority w:val="39"/>
    <w:unhideWhenUsed/>
    <w:pPr>
      <w:pBdr/>
      <w:spacing w:after="100"/>
      <w:ind w:left="1760"/>
    </w:pPr>
  </w:style>
  <w:style w:type="character" w:styleId="872">
    <w:name w:val="Placeholder Text"/>
    <w:basedOn w:val="884"/>
    <w:uiPriority w:val="99"/>
    <w:semiHidden/>
    <w:pPr>
      <w:pBdr/>
      <w:spacing/>
      <w:ind/>
    </w:pPr>
    <w:rPr>
      <w:color w:val="666666"/>
    </w:rPr>
  </w:style>
  <w:style w:type="paragraph" w:styleId="873">
    <w:name w:val="table of figures"/>
    <w:basedOn w:val="874"/>
    <w:next w:val="874"/>
    <w:uiPriority w:val="99"/>
    <w:unhideWhenUsed/>
    <w:pPr>
      <w:pBdr/>
      <w:spacing w:after="0" w:afterAutospacing="0"/>
      <w:ind/>
    </w:pPr>
  </w:style>
  <w:style w:type="paragraph" w:styleId="874" w:default="1">
    <w:name w:val="Normal"/>
    <w:qFormat/>
    <w:pPr>
      <w:pBdr/>
      <w:spacing/>
      <w:ind/>
    </w:pPr>
    <w:rPr>
      <w:lang w:val="pt-BR"/>
    </w:rPr>
  </w:style>
  <w:style w:type="paragraph" w:styleId="875">
    <w:name w:val="Heading 1"/>
    <w:basedOn w:val="874"/>
    <w:next w:val="887"/>
    <w:link w:val="899"/>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76">
    <w:name w:val="Heading 2"/>
    <w:basedOn w:val="874"/>
    <w:next w:val="887"/>
    <w:link w:val="900"/>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77">
    <w:name w:val="Heading 3"/>
    <w:basedOn w:val="874"/>
    <w:next w:val="887"/>
    <w:link w:val="901"/>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78">
    <w:name w:val="Heading 4"/>
    <w:basedOn w:val="874"/>
    <w:next w:val="887"/>
    <w:link w:val="902"/>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79">
    <w:name w:val="Heading 5"/>
    <w:basedOn w:val="874"/>
    <w:next w:val="887"/>
    <w:link w:val="903"/>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80">
    <w:name w:val="Heading 6"/>
    <w:basedOn w:val="874"/>
    <w:next w:val="887"/>
    <w:link w:val="904"/>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81">
    <w:name w:val="Heading 7"/>
    <w:basedOn w:val="874"/>
    <w:next w:val="887"/>
    <w:link w:val="905"/>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82">
    <w:name w:val="Heading 8"/>
    <w:basedOn w:val="874"/>
    <w:next w:val="887"/>
    <w:link w:val="906"/>
    <w:uiPriority w:val="9"/>
    <w:semiHidden/>
    <w:unhideWhenUsed/>
    <w:qFormat/>
    <w:pPr>
      <w:keepNext w:val="true"/>
      <w:keepLines w:val="true"/>
      <w:pBdr/>
      <w:spacing w:after="0"/>
      <w:ind/>
      <w:outlineLvl w:val="7"/>
    </w:pPr>
    <w:rPr>
      <w:rFonts w:eastAsiaTheme="majorEastAsia" w:cstheme="majorBidi"/>
      <w:i/>
      <w:iCs/>
      <w:color w:val="272727"/>
    </w:rPr>
  </w:style>
  <w:style w:type="paragraph" w:styleId="883">
    <w:name w:val="Heading 9"/>
    <w:basedOn w:val="874"/>
    <w:next w:val="887"/>
    <w:link w:val="907"/>
    <w:uiPriority w:val="9"/>
    <w:semiHidden/>
    <w:unhideWhenUsed/>
    <w:qFormat/>
    <w:pPr>
      <w:keepNext w:val="true"/>
      <w:keepLines w:val="true"/>
      <w:pBdr/>
      <w:spacing w:after="0"/>
      <w:ind/>
      <w:outlineLvl w:val="8"/>
    </w:pPr>
    <w:rPr>
      <w:rFonts w:eastAsiaTheme="majorEastAsia" w:cstheme="majorBidi"/>
      <w:color w:val="272727"/>
    </w:rPr>
  </w:style>
  <w:style w:type="character" w:styleId="884" w:default="1">
    <w:name w:val="Default Paragraph Font"/>
    <w:uiPriority w:val="1"/>
    <w:semiHidden/>
    <w:unhideWhenUsed/>
    <w:pPr>
      <w:pBdr/>
      <w:spacing/>
      <w:ind/>
    </w:pPr>
  </w:style>
  <w:style w:type="table" w:styleId="88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6" w:default="1">
    <w:name w:val="No List"/>
    <w:uiPriority w:val="99"/>
    <w:semiHidden/>
    <w:unhideWhenUsed/>
    <w:pPr>
      <w:pBdr/>
      <w:spacing/>
      <w:ind/>
    </w:pPr>
  </w:style>
  <w:style w:type="paragraph" w:styleId="887">
    <w:name w:val="Body Text"/>
    <w:basedOn w:val="874"/>
    <w:uiPriority w:val="1"/>
    <w:qFormat/>
    <w:pPr>
      <w:pBdr/>
      <w:spacing w:after="180" w:before="180"/>
      <w:ind/>
    </w:pPr>
  </w:style>
  <w:style w:type="paragraph" w:styleId="888" w:customStyle="1">
    <w:name w:val="First Paragraph"/>
    <w:basedOn w:val="887"/>
    <w:next w:val="887"/>
    <w:qFormat/>
    <w:pPr>
      <w:pBdr/>
      <w:spacing/>
      <w:ind/>
    </w:pPr>
  </w:style>
  <w:style w:type="paragraph" w:styleId="889" w:customStyle="1">
    <w:name w:val="Compact"/>
    <w:basedOn w:val="887"/>
    <w:qFormat/>
    <w:pPr>
      <w:pBdr/>
      <w:spacing w:after="36" w:before="36"/>
      <w:ind/>
    </w:pPr>
  </w:style>
  <w:style w:type="paragraph" w:styleId="890">
    <w:name w:val="Title"/>
    <w:basedOn w:val="874"/>
    <w:next w:val="887"/>
    <w:link w:val="891"/>
    <w:uiPriority w:val="10"/>
    <w:qFormat/>
    <w:pPr>
      <w:pBdr/>
      <w:spacing w:after="80"/>
      <w:ind/>
      <w:contextualSpacing w:val="true"/>
      <w:jc w:val="center"/>
    </w:pPr>
    <w:rPr>
      <w:rFonts w:asciiTheme="majorHAnsi" w:hAnsiTheme="majorHAnsi" w:eastAsiaTheme="majorEastAsia" w:cstheme="majorBidi"/>
      <w:sz w:val="56"/>
      <w:szCs w:val="56"/>
    </w:rPr>
  </w:style>
  <w:style w:type="character" w:styleId="891" w:customStyle="1">
    <w:name w:val="Título Char"/>
    <w:basedOn w:val="884"/>
    <w:link w:val="890"/>
    <w:uiPriority w:val="10"/>
    <w:pPr>
      <w:pBdr/>
      <w:spacing/>
      <w:ind/>
    </w:pPr>
    <w:rPr>
      <w:rFonts w:asciiTheme="majorHAnsi" w:hAnsiTheme="majorHAnsi" w:eastAsiaTheme="majorEastAsia" w:cstheme="majorBidi"/>
      <w:sz w:val="56"/>
      <w:szCs w:val="56"/>
    </w:rPr>
  </w:style>
  <w:style w:type="paragraph" w:styleId="892">
    <w:name w:val="Subtitle"/>
    <w:basedOn w:val="890"/>
    <w:next w:val="887"/>
    <w:link w:val="893"/>
    <w:uiPriority w:val="11"/>
    <w:qFormat/>
    <w:pPr>
      <w:numPr>
        <w:ilvl w:val="1"/>
      </w:numPr>
      <w:pBdr/>
      <w:spacing/>
      <w:ind/>
    </w:pPr>
    <w:rPr>
      <w:spacing w:val="15"/>
      <w:sz w:val="28"/>
      <w:szCs w:val="28"/>
    </w:rPr>
  </w:style>
  <w:style w:type="character" w:styleId="893" w:customStyle="1">
    <w:name w:val="Subtítulo Char"/>
    <w:basedOn w:val="884"/>
    <w:link w:val="892"/>
    <w:uiPriority w:val="11"/>
    <w:pPr>
      <w:pBdr/>
      <w:spacing/>
      <w:ind/>
    </w:pPr>
    <w:rPr>
      <w:rFonts w:eastAsiaTheme="majorEastAsia" w:cstheme="majorBidi"/>
      <w:color w:val="595959" w:themeColor="text1" w:themeTint="A6"/>
      <w:spacing w:val="15"/>
      <w:sz w:val="28"/>
      <w:szCs w:val="28"/>
    </w:rPr>
  </w:style>
  <w:style w:type="paragraph" w:styleId="894" w:customStyle="1">
    <w:name w:val="Author"/>
    <w:basedOn w:val="890"/>
    <w:next w:val="887"/>
    <w:qFormat/>
    <w:pPr>
      <w:keepNext w:val="true"/>
      <w:keepLines w:val="true"/>
      <w:pBdr/>
      <w:spacing/>
      <w:ind/>
    </w:pPr>
    <w:rPr>
      <w:sz w:val="24"/>
      <w:szCs w:val="24"/>
    </w:rPr>
  </w:style>
  <w:style w:type="paragraph" w:styleId="895">
    <w:name w:val="Date"/>
    <w:basedOn w:val="890"/>
    <w:next w:val="887"/>
    <w:qFormat/>
    <w:pPr>
      <w:keepNext w:val="true"/>
      <w:keepLines w:val="true"/>
      <w:pBdr/>
      <w:spacing/>
      <w:ind/>
    </w:pPr>
    <w:rPr>
      <w:sz w:val="24"/>
      <w:szCs w:val="24"/>
    </w:rPr>
  </w:style>
  <w:style w:type="paragraph" w:styleId="896" w:customStyle="1">
    <w:name w:val="Abstract Title"/>
    <w:basedOn w:val="874"/>
    <w:next w:val="897"/>
    <w:uiPriority w:val="1"/>
    <w:qFormat/>
    <w:pPr>
      <w:keepNext w:val="true"/>
      <w:keepLines w:val="true"/>
      <w:pBdr/>
      <w:spacing w:after="0" w:before="300"/>
      <w:ind/>
      <w:jc w:val="center"/>
    </w:pPr>
    <w:rPr>
      <w:b/>
      <w:bCs/>
      <w:sz w:val="20"/>
      <w:szCs w:val="20"/>
    </w:rPr>
  </w:style>
  <w:style w:type="paragraph" w:styleId="897" w:customStyle="1">
    <w:name w:val="Abstract"/>
    <w:basedOn w:val="874"/>
    <w:next w:val="887"/>
    <w:uiPriority w:val="1"/>
    <w:qFormat/>
    <w:pPr>
      <w:keepNext w:val="true"/>
      <w:keepLines w:val="true"/>
      <w:pBdr/>
      <w:spacing w:after="300" w:before="100"/>
      <w:ind/>
    </w:pPr>
    <w:rPr>
      <w:sz w:val="20"/>
      <w:szCs w:val="20"/>
    </w:rPr>
  </w:style>
  <w:style w:type="paragraph" w:styleId="898">
    <w:name w:val="Bibliography"/>
    <w:basedOn w:val="874"/>
    <w:uiPriority w:val="1"/>
    <w:qFormat/>
    <w:pPr>
      <w:pBdr/>
      <w:spacing/>
      <w:ind/>
    </w:pPr>
  </w:style>
  <w:style w:type="character" w:styleId="899" w:customStyle="1">
    <w:name w:val="Título 1 Char"/>
    <w:basedOn w:val="884"/>
    <w:link w:val="875"/>
    <w:uiPriority w:val="9"/>
    <w:pPr>
      <w:pBdr/>
      <w:spacing/>
      <w:ind/>
    </w:pPr>
    <w:rPr>
      <w:rFonts w:asciiTheme="majorHAnsi" w:hAnsiTheme="majorHAnsi" w:eastAsiaTheme="majorEastAsia" w:cstheme="majorBidi"/>
      <w:color w:val="0f4761" w:themeColor="accent1" w:themeShade="BF"/>
      <w:sz w:val="40"/>
      <w:szCs w:val="40"/>
    </w:rPr>
  </w:style>
  <w:style w:type="character" w:styleId="900" w:customStyle="1">
    <w:name w:val="Título 2 Char"/>
    <w:basedOn w:val="884"/>
    <w:link w:val="876"/>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901" w:customStyle="1">
    <w:name w:val="Título 3 Char"/>
    <w:basedOn w:val="884"/>
    <w:link w:val="877"/>
    <w:uiPriority w:val="9"/>
    <w:semiHidden/>
    <w:pPr>
      <w:pBdr/>
      <w:spacing/>
      <w:ind/>
    </w:pPr>
    <w:rPr>
      <w:rFonts w:eastAsiaTheme="majorEastAsia" w:cstheme="majorBidi"/>
      <w:color w:val="0f4761" w:themeColor="accent1" w:themeShade="BF"/>
      <w:sz w:val="28"/>
      <w:szCs w:val="28"/>
    </w:rPr>
  </w:style>
  <w:style w:type="character" w:styleId="902" w:customStyle="1">
    <w:name w:val="Título 4 Char"/>
    <w:basedOn w:val="884"/>
    <w:link w:val="878"/>
    <w:uiPriority w:val="9"/>
    <w:semiHidden/>
    <w:pPr>
      <w:pBdr/>
      <w:spacing/>
      <w:ind/>
    </w:pPr>
    <w:rPr>
      <w:rFonts w:eastAsiaTheme="majorEastAsia" w:cstheme="majorBidi"/>
      <w:i/>
      <w:iCs/>
      <w:color w:val="0f4761" w:themeColor="accent1" w:themeShade="BF"/>
    </w:rPr>
  </w:style>
  <w:style w:type="character" w:styleId="903" w:customStyle="1">
    <w:name w:val="Título 5 Char"/>
    <w:basedOn w:val="884"/>
    <w:link w:val="879"/>
    <w:uiPriority w:val="9"/>
    <w:semiHidden/>
    <w:pPr>
      <w:pBdr/>
      <w:spacing/>
      <w:ind/>
    </w:pPr>
    <w:rPr>
      <w:rFonts w:eastAsiaTheme="majorEastAsia" w:cstheme="majorBidi"/>
      <w:color w:val="0f4761" w:themeColor="accent1" w:themeShade="BF"/>
    </w:rPr>
  </w:style>
  <w:style w:type="character" w:styleId="904" w:customStyle="1">
    <w:name w:val="Título 6 Char"/>
    <w:basedOn w:val="884"/>
    <w:link w:val="880"/>
    <w:uiPriority w:val="9"/>
    <w:semiHidden/>
    <w:pPr>
      <w:pBdr/>
      <w:spacing/>
      <w:ind/>
    </w:pPr>
    <w:rPr>
      <w:rFonts w:eastAsiaTheme="majorEastAsia" w:cstheme="majorBidi"/>
      <w:i/>
      <w:iCs/>
      <w:color w:val="595959" w:themeColor="text1" w:themeTint="A6"/>
    </w:rPr>
  </w:style>
  <w:style w:type="character" w:styleId="905" w:customStyle="1">
    <w:name w:val="Título 7 Char"/>
    <w:basedOn w:val="884"/>
    <w:link w:val="881"/>
    <w:uiPriority w:val="9"/>
    <w:semiHidden/>
    <w:pPr>
      <w:pBdr/>
      <w:spacing/>
      <w:ind/>
    </w:pPr>
    <w:rPr>
      <w:rFonts w:eastAsiaTheme="majorEastAsia" w:cstheme="majorBidi"/>
      <w:color w:val="595959" w:themeColor="text1" w:themeTint="A6"/>
    </w:rPr>
  </w:style>
  <w:style w:type="character" w:styleId="906" w:customStyle="1">
    <w:name w:val="Título 8 Char"/>
    <w:basedOn w:val="884"/>
    <w:link w:val="882"/>
    <w:uiPriority w:val="9"/>
    <w:semiHidden/>
    <w:pPr>
      <w:pBdr/>
      <w:spacing/>
      <w:ind/>
    </w:pPr>
    <w:rPr>
      <w:rFonts w:eastAsiaTheme="majorEastAsia" w:cstheme="majorBidi"/>
      <w:i/>
      <w:iCs/>
      <w:color w:val="272727" w:themeColor="text1" w:themeTint="D8"/>
    </w:rPr>
  </w:style>
  <w:style w:type="character" w:styleId="907" w:customStyle="1">
    <w:name w:val="Título 9 Char"/>
    <w:basedOn w:val="884"/>
    <w:link w:val="883"/>
    <w:uiPriority w:val="9"/>
    <w:semiHidden/>
    <w:pPr>
      <w:pBdr/>
      <w:spacing/>
      <w:ind/>
    </w:pPr>
    <w:rPr>
      <w:rFonts w:eastAsiaTheme="majorEastAsia" w:cstheme="majorBidi"/>
      <w:color w:val="272727" w:themeColor="text1" w:themeTint="D8"/>
    </w:rPr>
  </w:style>
  <w:style w:type="paragraph" w:styleId="908">
    <w:name w:val="Block Text"/>
    <w:basedOn w:val="887"/>
    <w:next w:val="887"/>
    <w:uiPriority w:val="9"/>
    <w:unhideWhenUsed/>
    <w:qFormat/>
    <w:pPr>
      <w:pBdr/>
      <w:spacing w:after="100" w:before="100"/>
      <w:ind w:right="480" w:left="480"/>
    </w:pPr>
  </w:style>
  <w:style w:type="paragraph" w:styleId="909">
    <w:name w:val="footnote text"/>
    <w:basedOn w:val="874"/>
    <w:uiPriority w:val="9"/>
    <w:unhideWhenUsed/>
    <w:qFormat/>
    <w:pPr>
      <w:pBdr/>
      <w:spacing/>
      <w:ind/>
    </w:pPr>
  </w:style>
  <w:style w:type="paragraph" w:styleId="910" w:customStyle="1">
    <w:name w:val="Footnote Block Text"/>
    <w:basedOn w:val="909"/>
    <w:next w:val="909"/>
    <w:uiPriority w:val="9"/>
    <w:unhideWhenUsed/>
    <w:qFormat/>
    <w:pPr>
      <w:pBdr/>
      <w:spacing w:after="100" w:before="100"/>
      <w:ind w:right="480" w:left="480"/>
    </w:pPr>
  </w:style>
  <w:style w:type="table" w:styleId="911" w:customStyle="1">
    <w:name w:val="Table"/>
    <w:basedOn w:val="885"/>
    <w:semiHidden/>
    <w:unhideWhenUsed/>
    <w:qFormat/>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0"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2" w:customStyle="1">
    <w:name w:val="Definition Term"/>
    <w:basedOn w:val="874"/>
    <w:next w:val="913"/>
    <w:uiPriority w:val="1"/>
    <w:pPr>
      <w:keepNext w:val="true"/>
      <w:keepLines w:val="true"/>
      <w:pBdr/>
      <w:spacing w:after="0"/>
      <w:ind/>
    </w:pPr>
    <w:rPr>
      <w:b/>
      <w:bCs/>
    </w:rPr>
  </w:style>
  <w:style w:type="paragraph" w:styleId="913" w:customStyle="1">
    <w:name w:val="Definition"/>
    <w:basedOn w:val="874"/>
    <w:uiPriority w:val="1"/>
    <w:pPr>
      <w:pBdr/>
      <w:spacing/>
      <w:ind/>
    </w:pPr>
  </w:style>
  <w:style w:type="paragraph" w:styleId="914">
    <w:name w:val="Caption"/>
    <w:basedOn w:val="874"/>
    <w:link w:val="919"/>
    <w:uiPriority w:val="1"/>
    <w:pPr>
      <w:pBdr/>
      <w:spacing w:after="120"/>
      <w:ind/>
    </w:pPr>
    <w:rPr>
      <w:i/>
      <w:iCs/>
    </w:rPr>
  </w:style>
  <w:style w:type="paragraph" w:styleId="915" w:customStyle="1">
    <w:name w:val="Table Caption"/>
    <w:basedOn w:val="914"/>
    <w:pPr>
      <w:keepNext w:val="true"/>
      <w:pBdr/>
      <w:spacing/>
      <w:ind/>
    </w:pPr>
  </w:style>
  <w:style w:type="paragraph" w:styleId="916" w:customStyle="1">
    <w:name w:val="Image Caption"/>
    <w:basedOn w:val="914"/>
    <w:pPr>
      <w:pBdr/>
      <w:spacing/>
      <w:ind/>
    </w:pPr>
  </w:style>
  <w:style w:type="paragraph" w:styleId="917" w:customStyle="1">
    <w:name w:val="Figure"/>
    <w:basedOn w:val="874"/>
    <w:uiPriority w:val="1"/>
    <w:pPr>
      <w:pBdr/>
      <w:spacing/>
      <w:ind/>
    </w:pPr>
  </w:style>
  <w:style w:type="paragraph" w:styleId="918" w:customStyle="1">
    <w:name w:val="Captioned Figure"/>
    <w:basedOn w:val="917"/>
    <w:pPr>
      <w:keepNext w:val="true"/>
      <w:pBdr/>
      <w:spacing/>
      <w:ind/>
    </w:pPr>
  </w:style>
  <w:style w:type="character" w:styleId="919" w:customStyle="1">
    <w:name w:val="Legenda Char"/>
    <w:basedOn w:val="884"/>
    <w:link w:val="914"/>
    <w:pPr>
      <w:pBdr/>
      <w:spacing/>
      <w:ind/>
    </w:pPr>
  </w:style>
  <w:style w:type="character" w:styleId="920" w:customStyle="1">
    <w:name w:val="Verbatim Char"/>
    <w:basedOn w:val="919"/>
    <w:link w:val="925"/>
    <w:pPr>
      <w:pBdr/>
      <w:spacing/>
      <w:ind/>
    </w:pPr>
    <w:rPr>
      <w:rFonts w:ascii="Consolas" w:hAnsi="Consolas"/>
      <w:sz w:val="22"/>
    </w:rPr>
  </w:style>
  <w:style w:type="character" w:styleId="921" w:customStyle="1">
    <w:name w:val="Section Number"/>
    <w:basedOn w:val="919"/>
    <w:pPr>
      <w:pBdr/>
      <w:spacing/>
      <w:ind/>
    </w:pPr>
  </w:style>
  <w:style w:type="character" w:styleId="922">
    <w:name w:val="footnote reference"/>
    <w:basedOn w:val="919"/>
    <w:pPr>
      <w:pBdr/>
      <w:spacing/>
      <w:ind/>
    </w:pPr>
    <w:rPr>
      <w:vertAlign w:val="superscript"/>
    </w:rPr>
  </w:style>
  <w:style w:type="character" w:styleId="923">
    <w:name w:val="Hyperlink"/>
    <w:basedOn w:val="919"/>
    <w:pPr>
      <w:pBdr/>
      <w:spacing/>
      <w:ind/>
    </w:pPr>
    <w:rPr>
      <w:color w:val="156082" w:themeColor="accent1"/>
    </w:rPr>
  </w:style>
  <w:style w:type="paragraph" w:styleId="924">
    <w:name w:val="TOC Heading"/>
    <w:basedOn w:val="875"/>
    <w:next w:val="887"/>
    <w:uiPriority w:val="39"/>
    <w:unhideWhenUsed/>
    <w:qFormat/>
    <w:pPr>
      <w:pBdr/>
      <w:spacing w:before="240" w:line="259" w:lineRule="auto"/>
      <w:ind/>
      <w:outlineLvl w:val="9"/>
    </w:pPr>
  </w:style>
  <w:style w:type="paragraph" w:styleId="925" w:customStyle="1">
    <w:name w:val="Source Code"/>
    <w:basedOn w:val="874"/>
    <w:link w:val="920"/>
    <w:uiPriority w:val="1"/>
    <w:pPr>
      <w:pBdr/>
      <w:spacing/>
      <w:ind/>
    </w:pPr>
  </w:style>
  <w:style w:type="character" w:styleId="926" w:customStyle="1">
    <w:name w:val="KeywordTok"/>
    <w:basedOn w:val="920"/>
    <w:pPr>
      <w:pBdr/>
      <w:spacing/>
      <w:ind/>
    </w:pPr>
    <w:rPr>
      <w:rFonts w:ascii="Consolas" w:hAnsi="Consolas"/>
      <w:b/>
      <w:color w:val="007020"/>
      <w:sz w:val="22"/>
    </w:rPr>
  </w:style>
  <w:style w:type="character" w:styleId="927" w:customStyle="1">
    <w:name w:val="DataTypeTok"/>
    <w:basedOn w:val="920"/>
    <w:pPr>
      <w:pBdr/>
      <w:spacing/>
      <w:ind/>
    </w:pPr>
    <w:rPr>
      <w:rFonts w:ascii="Consolas" w:hAnsi="Consolas"/>
      <w:color w:val="902000"/>
      <w:sz w:val="22"/>
    </w:rPr>
  </w:style>
  <w:style w:type="character" w:styleId="928" w:customStyle="1">
    <w:name w:val="DecValTok"/>
    <w:basedOn w:val="920"/>
    <w:pPr>
      <w:pBdr/>
      <w:spacing/>
      <w:ind/>
    </w:pPr>
    <w:rPr>
      <w:rFonts w:ascii="Consolas" w:hAnsi="Consolas"/>
      <w:color w:val="40a070"/>
      <w:sz w:val="22"/>
    </w:rPr>
  </w:style>
  <w:style w:type="character" w:styleId="929" w:customStyle="1">
    <w:name w:val="BaseNTok"/>
    <w:basedOn w:val="920"/>
    <w:pPr>
      <w:pBdr/>
      <w:spacing/>
      <w:ind/>
    </w:pPr>
    <w:rPr>
      <w:rFonts w:ascii="Consolas" w:hAnsi="Consolas"/>
      <w:color w:val="40a070"/>
      <w:sz w:val="22"/>
    </w:rPr>
  </w:style>
  <w:style w:type="character" w:styleId="930" w:customStyle="1">
    <w:name w:val="FloatTok"/>
    <w:basedOn w:val="920"/>
    <w:pPr>
      <w:pBdr/>
      <w:spacing/>
      <w:ind/>
    </w:pPr>
    <w:rPr>
      <w:rFonts w:ascii="Consolas" w:hAnsi="Consolas"/>
      <w:color w:val="40a070"/>
      <w:sz w:val="22"/>
    </w:rPr>
  </w:style>
  <w:style w:type="character" w:styleId="931" w:customStyle="1">
    <w:name w:val="ConstantTok"/>
    <w:basedOn w:val="920"/>
    <w:pPr>
      <w:pBdr/>
      <w:spacing/>
      <w:ind/>
    </w:pPr>
    <w:rPr>
      <w:rFonts w:ascii="Consolas" w:hAnsi="Consolas"/>
      <w:color w:val="880000"/>
      <w:sz w:val="22"/>
    </w:rPr>
  </w:style>
  <w:style w:type="character" w:styleId="932" w:customStyle="1">
    <w:name w:val="CharTok"/>
    <w:basedOn w:val="920"/>
    <w:pPr>
      <w:pBdr/>
      <w:spacing/>
      <w:ind/>
    </w:pPr>
    <w:rPr>
      <w:rFonts w:ascii="Consolas" w:hAnsi="Consolas"/>
      <w:color w:val="4070a0"/>
      <w:sz w:val="22"/>
    </w:rPr>
  </w:style>
  <w:style w:type="character" w:styleId="933" w:customStyle="1">
    <w:name w:val="SpecialCharTok"/>
    <w:basedOn w:val="920"/>
    <w:pPr>
      <w:pBdr/>
      <w:spacing/>
      <w:ind/>
    </w:pPr>
    <w:rPr>
      <w:rFonts w:ascii="Consolas" w:hAnsi="Consolas"/>
      <w:color w:val="4070a0"/>
      <w:sz w:val="22"/>
    </w:rPr>
  </w:style>
  <w:style w:type="character" w:styleId="934" w:customStyle="1">
    <w:name w:val="StringTok"/>
    <w:basedOn w:val="920"/>
    <w:pPr>
      <w:pBdr/>
      <w:spacing/>
      <w:ind/>
    </w:pPr>
    <w:rPr>
      <w:rFonts w:ascii="Consolas" w:hAnsi="Consolas"/>
      <w:color w:val="4070a0"/>
      <w:sz w:val="22"/>
    </w:rPr>
  </w:style>
  <w:style w:type="character" w:styleId="935" w:customStyle="1">
    <w:name w:val="VerbatimStringTok"/>
    <w:basedOn w:val="920"/>
    <w:pPr>
      <w:pBdr/>
      <w:spacing/>
      <w:ind/>
    </w:pPr>
    <w:rPr>
      <w:rFonts w:ascii="Consolas" w:hAnsi="Consolas"/>
      <w:color w:val="4070a0"/>
      <w:sz w:val="22"/>
    </w:rPr>
  </w:style>
  <w:style w:type="character" w:styleId="936" w:customStyle="1">
    <w:name w:val="SpecialStringTok"/>
    <w:basedOn w:val="920"/>
    <w:pPr>
      <w:pBdr/>
      <w:spacing/>
      <w:ind/>
    </w:pPr>
    <w:rPr>
      <w:rFonts w:ascii="Consolas" w:hAnsi="Consolas"/>
      <w:color w:val="bb6688"/>
      <w:sz w:val="22"/>
    </w:rPr>
  </w:style>
  <w:style w:type="character" w:styleId="937" w:customStyle="1">
    <w:name w:val="ImportTok"/>
    <w:basedOn w:val="920"/>
    <w:pPr>
      <w:pBdr/>
      <w:spacing/>
      <w:ind/>
    </w:pPr>
    <w:rPr>
      <w:rFonts w:ascii="Consolas" w:hAnsi="Consolas"/>
      <w:b/>
      <w:color w:val="008000"/>
      <w:sz w:val="22"/>
    </w:rPr>
  </w:style>
  <w:style w:type="character" w:styleId="938" w:customStyle="1">
    <w:name w:val="CommentTok"/>
    <w:basedOn w:val="920"/>
    <w:pPr>
      <w:pBdr/>
      <w:spacing/>
      <w:ind/>
    </w:pPr>
    <w:rPr>
      <w:rFonts w:ascii="Consolas" w:hAnsi="Consolas"/>
      <w:i/>
      <w:color w:val="60a0b0"/>
      <w:sz w:val="22"/>
    </w:rPr>
  </w:style>
  <w:style w:type="character" w:styleId="939" w:customStyle="1">
    <w:name w:val="DocumentationTok"/>
    <w:basedOn w:val="920"/>
    <w:pPr>
      <w:pBdr/>
      <w:spacing/>
      <w:ind/>
    </w:pPr>
    <w:rPr>
      <w:rFonts w:ascii="Consolas" w:hAnsi="Consolas"/>
      <w:i/>
      <w:color w:val="ba2121"/>
      <w:sz w:val="22"/>
    </w:rPr>
  </w:style>
  <w:style w:type="character" w:styleId="940" w:customStyle="1">
    <w:name w:val="AnnotationTok"/>
    <w:basedOn w:val="920"/>
    <w:pPr>
      <w:pBdr/>
      <w:spacing/>
      <w:ind/>
    </w:pPr>
    <w:rPr>
      <w:rFonts w:ascii="Consolas" w:hAnsi="Consolas"/>
      <w:b/>
      <w:i/>
      <w:color w:val="60a0b0"/>
      <w:sz w:val="22"/>
    </w:rPr>
  </w:style>
  <w:style w:type="character" w:styleId="941" w:customStyle="1">
    <w:name w:val="CommentVarTok"/>
    <w:basedOn w:val="920"/>
    <w:pPr>
      <w:pBdr/>
      <w:spacing/>
      <w:ind/>
    </w:pPr>
    <w:rPr>
      <w:rFonts w:ascii="Consolas" w:hAnsi="Consolas"/>
      <w:b/>
      <w:i/>
      <w:color w:val="60a0b0"/>
      <w:sz w:val="22"/>
    </w:rPr>
  </w:style>
  <w:style w:type="character" w:styleId="942" w:customStyle="1">
    <w:name w:val="OtherTok"/>
    <w:basedOn w:val="920"/>
    <w:pPr>
      <w:pBdr/>
      <w:spacing/>
      <w:ind/>
    </w:pPr>
    <w:rPr>
      <w:rFonts w:ascii="Consolas" w:hAnsi="Consolas"/>
      <w:color w:val="007020"/>
      <w:sz w:val="22"/>
    </w:rPr>
  </w:style>
  <w:style w:type="character" w:styleId="943" w:customStyle="1">
    <w:name w:val="FunctionTok"/>
    <w:basedOn w:val="920"/>
    <w:pPr>
      <w:pBdr/>
      <w:spacing/>
      <w:ind/>
    </w:pPr>
    <w:rPr>
      <w:rFonts w:ascii="Consolas" w:hAnsi="Consolas"/>
      <w:color w:val="06287e"/>
      <w:sz w:val="22"/>
    </w:rPr>
  </w:style>
  <w:style w:type="character" w:styleId="944" w:customStyle="1">
    <w:name w:val="VariableTok"/>
    <w:basedOn w:val="920"/>
    <w:pPr>
      <w:pBdr/>
      <w:spacing/>
      <w:ind/>
    </w:pPr>
    <w:rPr>
      <w:rFonts w:ascii="Consolas" w:hAnsi="Consolas"/>
      <w:color w:val="19177c"/>
      <w:sz w:val="22"/>
    </w:rPr>
  </w:style>
  <w:style w:type="character" w:styleId="945" w:customStyle="1">
    <w:name w:val="ControlFlowTok"/>
    <w:basedOn w:val="920"/>
    <w:pPr>
      <w:pBdr/>
      <w:spacing/>
      <w:ind/>
    </w:pPr>
    <w:rPr>
      <w:rFonts w:ascii="Consolas" w:hAnsi="Consolas"/>
      <w:b/>
      <w:color w:val="007020"/>
      <w:sz w:val="22"/>
    </w:rPr>
  </w:style>
  <w:style w:type="character" w:styleId="946" w:customStyle="1">
    <w:name w:val="OperatorTok"/>
    <w:basedOn w:val="920"/>
    <w:pPr>
      <w:pBdr/>
      <w:spacing/>
      <w:ind/>
    </w:pPr>
    <w:rPr>
      <w:rFonts w:ascii="Consolas" w:hAnsi="Consolas"/>
      <w:color w:val="666666"/>
      <w:sz w:val="22"/>
    </w:rPr>
  </w:style>
  <w:style w:type="character" w:styleId="947" w:customStyle="1">
    <w:name w:val="BuiltInTok"/>
    <w:basedOn w:val="920"/>
    <w:pPr>
      <w:pBdr/>
      <w:spacing/>
      <w:ind/>
    </w:pPr>
    <w:rPr>
      <w:rFonts w:ascii="Consolas" w:hAnsi="Consolas"/>
      <w:color w:val="008000"/>
      <w:sz w:val="22"/>
    </w:rPr>
  </w:style>
  <w:style w:type="character" w:styleId="948" w:customStyle="1">
    <w:name w:val="ExtensionTok"/>
    <w:basedOn w:val="920"/>
    <w:pPr>
      <w:pBdr/>
      <w:spacing/>
      <w:ind/>
    </w:pPr>
    <w:rPr>
      <w:rFonts w:ascii="Consolas" w:hAnsi="Consolas"/>
      <w:sz w:val="22"/>
    </w:rPr>
  </w:style>
  <w:style w:type="character" w:styleId="949" w:customStyle="1">
    <w:name w:val="PreprocessorTok"/>
    <w:basedOn w:val="920"/>
    <w:pPr>
      <w:pBdr/>
      <w:spacing/>
      <w:ind/>
    </w:pPr>
    <w:rPr>
      <w:rFonts w:ascii="Consolas" w:hAnsi="Consolas"/>
      <w:color w:val="bc7a00"/>
      <w:sz w:val="22"/>
    </w:rPr>
  </w:style>
  <w:style w:type="character" w:styleId="950" w:customStyle="1">
    <w:name w:val="AttributeTok"/>
    <w:basedOn w:val="920"/>
    <w:pPr>
      <w:pBdr/>
      <w:spacing/>
      <w:ind/>
    </w:pPr>
    <w:rPr>
      <w:rFonts w:ascii="Consolas" w:hAnsi="Consolas"/>
      <w:color w:val="7d9029"/>
      <w:sz w:val="22"/>
    </w:rPr>
  </w:style>
  <w:style w:type="character" w:styleId="951" w:customStyle="1">
    <w:name w:val="RegionMarkerTok"/>
    <w:basedOn w:val="920"/>
    <w:pPr>
      <w:pBdr/>
      <w:spacing/>
      <w:ind/>
    </w:pPr>
    <w:rPr>
      <w:rFonts w:ascii="Consolas" w:hAnsi="Consolas"/>
      <w:sz w:val="22"/>
    </w:rPr>
  </w:style>
  <w:style w:type="character" w:styleId="952" w:customStyle="1">
    <w:name w:val="InformationTok"/>
    <w:basedOn w:val="920"/>
    <w:pPr>
      <w:pBdr/>
      <w:spacing/>
      <w:ind/>
    </w:pPr>
    <w:rPr>
      <w:rFonts w:ascii="Consolas" w:hAnsi="Consolas"/>
      <w:b/>
      <w:i/>
      <w:color w:val="60a0b0"/>
      <w:sz w:val="22"/>
    </w:rPr>
  </w:style>
  <w:style w:type="character" w:styleId="953" w:customStyle="1">
    <w:name w:val="WarningTok"/>
    <w:basedOn w:val="920"/>
    <w:pPr>
      <w:pBdr/>
      <w:spacing/>
      <w:ind/>
    </w:pPr>
    <w:rPr>
      <w:rFonts w:ascii="Consolas" w:hAnsi="Consolas"/>
      <w:b/>
      <w:i/>
      <w:color w:val="60a0b0"/>
      <w:sz w:val="22"/>
    </w:rPr>
  </w:style>
  <w:style w:type="character" w:styleId="954" w:customStyle="1">
    <w:name w:val="AlertTok"/>
    <w:basedOn w:val="920"/>
    <w:pPr>
      <w:pBdr/>
      <w:spacing/>
      <w:ind/>
    </w:pPr>
    <w:rPr>
      <w:rFonts w:ascii="Consolas" w:hAnsi="Consolas"/>
      <w:b/>
      <w:color w:val="ff0000"/>
      <w:sz w:val="22"/>
    </w:rPr>
  </w:style>
  <w:style w:type="character" w:styleId="955" w:customStyle="1">
    <w:name w:val="ErrorTok"/>
    <w:basedOn w:val="920"/>
    <w:pPr>
      <w:pBdr/>
      <w:spacing/>
      <w:ind/>
    </w:pPr>
    <w:rPr>
      <w:rFonts w:ascii="Consolas" w:hAnsi="Consolas"/>
      <w:b/>
      <w:color w:val="ff0000"/>
      <w:sz w:val="22"/>
    </w:rPr>
  </w:style>
  <w:style w:type="character" w:styleId="956" w:customStyle="1">
    <w:name w:val="NormalTok"/>
    <w:basedOn w:val="920"/>
    <w:pPr>
      <w:pBdr/>
      <w:spacing/>
      <w:ind/>
    </w:pPr>
    <w:rPr>
      <w:rFonts w:ascii="Consolas" w:hAnsi="Consolas"/>
      <w:sz w:val="22"/>
    </w:rPr>
  </w:style>
  <w:style w:type="paragraph" w:styleId="957">
    <w:name w:val="List Paragraph"/>
    <w:basedOn w:val="874"/>
    <w:uiPriority w:val="34"/>
    <w:qFormat/>
    <w:pPr>
      <w:pBdr/>
      <w:spacing/>
      <w:ind w:left="720"/>
      <w:contextualSpacing w:val="true"/>
    </w:pPr>
  </w:style>
  <w:style w:type="table" w:styleId="958">
    <w:name w:val="Table Grid"/>
    <w:basedOn w:val="885"/>
    <w:uiPriority w:val="59"/>
    <w:pPr>
      <w:pBdr/>
      <w:spacing w:after="0"/>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Plain Table 2"/>
    <w:basedOn w:val="885"/>
    <w:uiPriority w:val="42"/>
    <w:pPr>
      <w:pBdr/>
      <w:spacing w:after="0"/>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pPr>
        <w:pBdr/>
        <w:spacing/>
        <w:ind/>
      </w:pPr>
      <w:tblPr>
        <w:tblBorders/>
      </w:tblPr>
      <w:tcPr>
        <w:tcBorders>
          <w:top w:val="single" w:color="7f7f7f" w:themeColor="text1" w:themeTint="80" w:sz="4" w:space="0"/>
          <w:bottom w:val="single" w:color="7f7f7f" w:themeColor="text1" w:themeTint="80" w:sz="4" w:space="0"/>
        </w:tcBorders>
      </w:tcPr>
    </w:tblStylePr>
    <w:tblStylePr w:type="band1Vert">
      <w:pPr>
        <w:pBdr/>
        <w:spacing/>
        <w:ind/>
      </w:pPr>
      <w:tblPr>
        <w:tblBorders/>
      </w:tblPr>
      <w:tcPr>
        <w:tcBorders>
          <w:left w:val="single" w:color="7f7f7f" w:themeColor="text1" w:themeTint="80" w:sz="4" w:space="0"/>
          <w:right w:val="single" w:color="7f7f7f" w:themeColor="text1" w:themeTint="8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7f7f7f" w:themeColor="text1" w:themeTint="80" w:sz="4" w:space="0"/>
          <w:right w:val="single" w:color="7f7f7f" w:themeColor="text1" w:themeTint="80" w:sz="4" w:space="0"/>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7f7f7f" w:themeColor="text1" w:themeTint="80"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yperlink" Target="https://christophm.github.io/interpretable-ml-book/" TargetMode="External"/><Relationship Id="rId18" Type="http://schemas.openxmlformats.org/officeDocument/2006/relationships/image" Target="media/image9.png"/><Relationship Id="rId19"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7</cp:revision>
  <dcterms:created xsi:type="dcterms:W3CDTF">2026-04-04T07:21:00Z</dcterms:created>
  <dcterms:modified xsi:type="dcterms:W3CDTF">2026-06-22T18:59:35Z</dcterms:modified>
</cp:coreProperties>
</file>