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b w:val="1"/>
          <w:sz w:val="50"/>
          <w:szCs w:val="50"/>
          <w:rtl w:val="0"/>
        </w:rPr>
        <w:t xml:space="preserve">Computer Networks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36"/>
          <w:szCs w:val="36"/>
          <w:rtl w:val="0"/>
        </w:rPr>
        <w:t xml:space="preserve">Relatório</w:t>
      </w:r>
      <w:r w:rsidDel="00000000" w:rsidR="00000000" w:rsidRPr="00000000">
        <w:rPr>
          <w:rFonts w:ascii="Alegreya" w:cs="Alegreya" w:eastAsia="Alegreya" w:hAnsi="Alegrey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Alegreya" w:cs="Alegreya" w:eastAsia="Alegreya" w:hAnsi="Alegreya"/>
          <w:sz w:val="36"/>
          <w:szCs w:val="36"/>
          <w:rtl w:val="0"/>
        </w:rPr>
        <w:t xml:space="preserve">Intercalar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795713" cy="1254729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1254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Mestrado Integrado em Engenharia Informática e Computação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Redes de Computadores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Grupo: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José Carlos Alves Vieira - up201404446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Renato Sampaio de Abreu - up201403377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Faculdade de Engenharia da Universidade do Porto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Rua Roberto Frias, sn, 4200-465 Porto, Portugal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16 de Dezembro de 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4i5ae2pmriv" w:id="0"/>
      <w:bookmarkEnd w:id="0"/>
      <w:r w:rsidDel="00000000" w:rsidR="00000000" w:rsidRPr="00000000">
        <w:rPr>
          <w:rFonts w:ascii="Alegreya" w:cs="Alegreya" w:eastAsia="Alegreya" w:hAnsi="Alegreya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80" w:line="240" w:lineRule="auto"/>
        <w:ind w:left="0" w:firstLine="0"/>
        <w:contextualSpacing w:val="0"/>
      </w:pPr>
      <w:hyperlink w:anchor="_44i5ae2pmriv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Índice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44i5ae2pmriv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fxr0t1pzsg86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Sumário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fxr0t1pzsg86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s7lnwywbc0go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Introdução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s7lnwywbc0go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6jg2aiw4yqm0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Conclusões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6jg2aiw4yqm0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qmysowe5t8v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Contribuição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qmysowe5t8v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before="200" w:line="240" w:lineRule="auto"/>
        <w:ind w:left="0" w:firstLine="0"/>
        <w:contextualSpacing w:val="0"/>
      </w:pPr>
      <w:hyperlink w:anchor="_s70lesapz3m7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Anexo I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s70lesapz3m7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25.511811023624"/>
        </w:tabs>
        <w:spacing w:after="80" w:before="200" w:line="240" w:lineRule="auto"/>
        <w:ind w:left="0" w:firstLine="0"/>
        <w:contextualSpacing w:val="0"/>
      </w:pPr>
      <w:hyperlink w:anchor="_z8rvgbbi785d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Anexo II</w:t>
        </w:r>
      </w:hyperlink>
      <w:r w:rsidDel="00000000" w:rsidR="00000000" w:rsidRPr="00000000">
        <w:rPr>
          <w:rFonts w:ascii="Alegreya" w:cs="Alegreya" w:eastAsia="Alegreya" w:hAnsi="Alegreya"/>
          <w:b w:val="1"/>
          <w:rtl w:val="0"/>
        </w:rPr>
        <w:tab/>
      </w:r>
      <w:hyperlink w:anchor="_z8rvgbbi785d">
        <w:r w:rsidDel="00000000" w:rsidR="00000000" w:rsidRPr="00000000">
          <w:rPr>
            <w:rFonts w:ascii="Alegreya" w:cs="Alegreya" w:eastAsia="Alegreya" w:hAnsi="Alegreya"/>
            <w:b w:val="1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ij9cyws32d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wbw1zzo3wfx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4"/>
        </w:numPr>
        <w:spacing w:after="120" w:before="400" w:line="276" w:lineRule="auto"/>
        <w:ind w:left="720" w:right="0" w:hanging="360"/>
        <w:contextualSpacing w:val="1"/>
        <w:jc w:val="left"/>
        <w:rPr/>
      </w:pPr>
      <w:bookmarkStart w:colFirst="0" w:colLast="0" w:name="_fxr0t1pzsg86" w:id="3"/>
      <w:bookmarkEnd w:id="3"/>
      <w:r w:rsidDel="00000000" w:rsidR="00000000" w:rsidRPr="00000000">
        <w:rPr>
          <w:rFonts w:ascii="Alegreya" w:cs="Alegreya" w:eastAsia="Alegreya" w:hAnsi="Alegreya"/>
          <w:rtl w:val="0"/>
        </w:rPr>
        <w:t xml:space="preserve">Sumário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Este projeto, desenvolvido no contexto da cadeira Redes de Computadores do Mestrado Integrado de Engenharia Informática, tem como objetivo o desenvolvimento de uma aplicação de download ftp e a configuração e estudo de uma rede. Posto isto,  o projeto incide maioritariamente em conteúdos que tínhamos abordado durante as aulas teóricas, principalmente a Mac Sublayer, Network Layer e Transport Layer.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O relatório permitiu-nos aprofundar os aspectos mais teóricos dos conteúdos anteriormente referidos, de forma a relacionar a parte teórica com a parte prática, possibilitando uma melhor aprendizagem por parte do grupo e ao mesmo tempo facilitar o processo de correção do projeto por parte do docente.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numPr>
          <w:ilvl w:val="0"/>
          <w:numId w:val="4"/>
        </w:numPr>
        <w:spacing w:after="120" w:before="400" w:line="276" w:lineRule="auto"/>
        <w:ind w:left="720" w:right="0" w:hanging="360"/>
        <w:contextualSpacing w:val="1"/>
        <w:jc w:val="both"/>
        <w:rPr/>
      </w:pPr>
      <w:bookmarkStart w:colFirst="0" w:colLast="0" w:name="_s7lnwywbc0go" w:id="4"/>
      <w:bookmarkEnd w:id="4"/>
      <w:r w:rsidDel="00000000" w:rsidR="00000000" w:rsidRPr="00000000">
        <w:rPr>
          <w:rFonts w:ascii="Alegreya" w:cs="Alegreya" w:eastAsia="Alegreya" w:hAnsi="Alegreya"/>
          <w:rtl w:val="0"/>
        </w:rPr>
        <w:t xml:space="preserve">Introdução</w:t>
      </w:r>
    </w:p>
    <w:p w:rsidR="00000000" w:rsidDel="00000000" w:rsidP="00000000" w:rsidRDefault="00000000" w:rsidRPr="00000000">
      <w:pPr>
        <w:spacing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O objectivo proposto para o segundo trabalho de Redes de Computadores era, numa primeira parte, implementar uma aplicação de download de um ficheiro único, seguindo o protocolo de transferência de ficheiros descrito no RFC 959 e aplicando como sintaxe de URL a descrita no RFC 1738.</w:t>
      </w:r>
    </w:p>
    <w:p w:rsidR="00000000" w:rsidDel="00000000" w:rsidP="00000000" w:rsidRDefault="00000000" w:rsidRPr="00000000">
      <w:pPr>
        <w:spacing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Na segunda parte do trabalho,  o objetivo foi configurar e estudar minuciosamente uma rede de computadores. Assim, ao longo das aulas laboratoriais realizaram-se várias experiências centrando-se à volta dos aspetos fundamentais de uma rede (IP, NAT, DNS, TCP, etc).</w:t>
      </w:r>
    </w:p>
    <w:p w:rsidR="00000000" w:rsidDel="00000000" w:rsidP="00000000" w:rsidRDefault="00000000" w:rsidRPr="00000000">
      <w:pPr>
        <w:spacing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Este relatório subdivide-se nas seguintes secções: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Introdução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onde é realizada uma introdução aos objectivos do projecto.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Aplicação de Download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referindo a arquitetura e protocolo implementados e os resultados de uma transferência com sucesso.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Análise e configuração da rede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referindo os objetivos principais e conceitos de cada experiência realizada bem como a arquitetura de rede e análise de logs.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1440" w:hanging="360"/>
        <w:contextualSpacing w:val="1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Conclusões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elaborando uma síntese das secções apresentadas e uma breve reflexão sobre os objectivos académicos alcançados.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4"/>
        </w:numPr>
        <w:ind w:left="720" w:hanging="360"/>
        <w:contextualSpacing w:val="1"/>
        <w:rPr>
          <w:sz w:val="40"/>
          <w:szCs w:val="40"/>
        </w:rPr>
      </w:pPr>
      <w:bookmarkStart w:colFirst="0" w:colLast="0" w:name="_3r1mh56n1p82" w:id="5"/>
      <w:bookmarkEnd w:id="5"/>
      <w:r w:rsidDel="00000000" w:rsidR="00000000" w:rsidRPr="00000000">
        <w:rPr>
          <w:rFonts w:ascii="Alegreya" w:cs="Alegreya" w:eastAsia="Alegreya" w:hAnsi="Alegreya"/>
          <w:sz w:val="40"/>
          <w:szCs w:val="40"/>
          <w:rtl w:val="0"/>
        </w:rPr>
        <w:t xml:space="preserve">Aplicação de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Arquitetura</w:t>
      </w:r>
    </w:p>
    <w:p w:rsidR="00000000" w:rsidDel="00000000" w:rsidP="00000000" w:rsidRDefault="00000000" w:rsidRPr="00000000">
      <w:pPr>
        <w:spacing w:before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aplicação desenvolvida está estruturada em duas componentes: o download do ficheiro, especificado nos ficheiros ftp.h e ftp.c, e o parser do URL, presente nos ficheiros urlParser.h e urlParser.h. </w:t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Existem 2  estruturas de dados principais: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ftp_data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e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parsed_url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(Ver anexo I).</w:t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Os URL seguem a sintaxe descrita no RFC1738: ftp://[&lt;user&gt;:&lt;password&gt;@]&lt;host&gt;/&lt;url-path portanto cada estrutura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parsed_url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armazena o url original, scheme, host, port, path, username, password, ip e o filename.</w:t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343025" cy="1676400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De seguida são apresentadas as funções relativas ao parsing do url:</w:t>
      </w:r>
    </w:p>
    <w:p w:rsidR="00000000" w:rsidDel="00000000" w:rsidP="00000000" w:rsidRDefault="00000000" w:rsidRPr="00000000">
      <w:pPr>
        <w:spacing w:before="200" w:line="240" w:lineRule="auto"/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809875" cy="695325"/>
            <wp:effectExtent b="0" l="0" r="0" t="0"/>
            <wp:docPr id="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</w:rPr>
      </w:pPr>
      <w:r w:rsidDel="00000000" w:rsidR="00000000" w:rsidRPr="00000000">
        <w:rPr>
          <w:rFonts w:ascii="Alegreya" w:cs="Alegreya" w:eastAsia="Alegreya" w:hAnsi="Alegreya"/>
          <w:b w:val="1"/>
          <w:highlight w:val="white"/>
          <w:rtl w:val="0"/>
        </w:rPr>
        <w:t xml:space="preserve">parse_url</w:t>
      </w: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, que recebe um URL e realiza o seu parser obtendo as variáveis existentes na estrutura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parsed_url.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No URL, o user e password podem estar omitidos e como tal, é atribuído por default o valor de “anonymous” ao username e posteriormente é pedido o email universitário ao utilizador que será associado à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b w:val="1"/>
        </w:rPr>
      </w:pPr>
      <w:r w:rsidDel="00000000" w:rsidR="00000000" w:rsidRPr="00000000">
        <w:rPr>
          <w:rFonts w:ascii="Alegreya" w:cs="Alegreya" w:eastAsia="Alegreya" w:hAnsi="Alegreya"/>
          <w:b w:val="1"/>
          <w:highlight w:val="white"/>
          <w:rtl w:val="0"/>
        </w:rPr>
        <w:t xml:space="preserve">hostToIP, </w:t>
      </w: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responsável pela obtenção do endereço IP associado ao host obtido no parse_url.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highlight w:val="white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highlight w:val="white"/>
          <w:rtl w:val="0"/>
        </w:rPr>
        <w:t xml:space="preserve">printParsedUrl</w:t>
      </w: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, escreve na consola a informação guardada em cada campo da estrutura.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highlight w:val="white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highlight w:val="white"/>
          <w:rtl w:val="0"/>
        </w:rPr>
        <w:t xml:space="preserve">freeUrlStruct</w:t>
      </w: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, liberta a memória alocada a variáveis que necessitaram de alocação de memória.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O protocolo de transferência de ficheiros (FTP), estabelecido no RCF959, recorre a uma conexão TCP de dados e de controlo. A conexão de controlo é utilizada para abrir e fechar sessões FTP tal como enviar comandos do cliente para o servidor. Por outro lado, a conexão de dados é utilizada durante a transferência de ficheiros (download ou upload) entre o cliente e o servidor. Posto isto, a estrutura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 ftp_data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possui um descriptor para o socket de controlo e outro para o socket de dados.</w:t>
      </w:r>
    </w:p>
    <w:p w:rsidR="00000000" w:rsidDel="00000000" w:rsidP="00000000" w:rsidRDefault="00000000" w:rsidRPr="00000000">
      <w:pPr>
        <w:spacing w:after="200" w:line="240" w:lineRule="auto"/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81150" cy="619125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De seguida são apresentadas as funções relativas à conexão e transferência: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72050" cy="1304925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connectSocket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responsável por abrir uma socket TCP e pelo estabelecimento da conexão com o servidor.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ftpConnet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função que invoca connectSocket para associar o socket de controlo e lê a resposta do servidor (serviço pronto a ser usado).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ftpLogin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responsável pelo login do utilizador (username e password) e pela verificação dos códigos recebidos do servidor.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ftpSetPassiveMode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responsável por impôr o modo passivo. Calcula a porta através da mensagem recebida e associa o socket de dados.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ftpDownload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responsável pelo download do ficheiro em questão.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ftpLogout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responsável pelo logout do utilizador e pela verificação do código enviado pelo servidor.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ftpRead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responsável pela leitura de todas as respostas enviadas pelo servidor e verificação do código respectivo.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200" w:line="240" w:lineRule="auto"/>
        <w:ind w:left="720" w:hanging="360"/>
        <w:contextualSpacing w:val="1"/>
        <w:jc w:val="both"/>
        <w:rPr>
          <w:rFonts w:ascii="Alegreya" w:cs="Alegreya" w:eastAsia="Alegreya" w:hAnsi="Alegreya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ftpSendMessage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responsável por escrever para o servidor.</w:t>
      </w:r>
    </w:p>
    <w:p w:rsidR="00000000" w:rsidDel="00000000" w:rsidP="00000000" w:rsidRDefault="00000000" w:rsidRPr="00000000">
      <w:pPr>
        <w:spacing w:before="20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Uma sessão de transferência de dados segue uma sequência comum de passos, e desta forma, a componente ftp está dividida em funções que de maneira geral representam esta sequência.</w:t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Transferência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Assim, em primeiro lugar é estabelecida a conexão de controlo ao servidor, através da função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ftpConnect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. Neste passo, é utilizada a função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connectSocket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que abre uma conexão de controlo recorrendo ao endereço IP (obtido através do URL) e à porta (por default, 21), sendo que o “controlSocket” resultante é utilizado no envio de comandos FTP (Cliente -&gt; Servidor) e respostas FTP (Servidor -&gt; Cliente).</w:t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Posto isto, é necessário realizar a autenticação do utilizador no servidor e portanto a função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ftpLogin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envia primeiro o comando USER juntamente com o username e posteriormente envia o comando PASS com a password. Entre cada comando enviado, a função valida a resposta recebida.</w:t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O modo FTP usado é o passivo e como tal é necessário que o cliente abra uma ligação de dados TCP existindo assim apenas ligações TCP de saída (dados e controlo). Podemos então considerar o server como passivo já que o socket TCP é aberto em “listening mode”. </w:t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função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ftpSetPassiveMode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é responsável por ativar o modo passivo: Primeiro é enviado o comando PASV e é recebida uma resposta por parte do servidor com o endereço de IP e a porta TCP. Posteriormente é analisada a resposta recebida e estabelece-se uma conexão de dados, utilizando a função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connectSocket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e o descriptor “dataSocket”.</w:t>
      </w:r>
    </w:p>
    <w:p w:rsidR="00000000" w:rsidDel="00000000" w:rsidP="00000000" w:rsidRDefault="00000000" w:rsidRPr="00000000">
      <w:pPr>
        <w:spacing w:after="200" w:line="240" w:lineRule="auto"/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De seguida, na função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ftpDownload,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o cliente inicia a transferência do ficheiro usando o comando RETR, começando de seguida o download e respectivo armazenamento do ficheiro especificado através do socket de dados. Uma vez realizado o download, o server encarrega-se de fechar a conexão de dados TCP.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Por último, o cliente procede ao fecho da sessão FTP usando a função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ftpLogout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a qual envia o comando QUIT e procede ao fecho da conexão de controlo.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4"/>
        </w:numPr>
        <w:ind w:left="720" w:hanging="360"/>
        <w:contextualSpacing w:val="1"/>
        <w:rPr>
          <w:sz w:val="40"/>
          <w:szCs w:val="40"/>
        </w:rPr>
      </w:pPr>
      <w:bookmarkStart w:colFirst="0" w:colLast="0" w:name="_5e05eqkk31s1" w:id="6"/>
      <w:bookmarkEnd w:id="6"/>
      <w:r w:rsidDel="00000000" w:rsidR="00000000" w:rsidRPr="00000000">
        <w:rPr>
          <w:rFonts w:ascii="Alegreya" w:cs="Alegreya" w:eastAsia="Alegreya" w:hAnsi="Alegreya"/>
          <w:sz w:val="40"/>
          <w:szCs w:val="40"/>
          <w:rtl w:val="0"/>
        </w:rPr>
        <w:t xml:space="preserve">Análise e Configuração de Rede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Experiência 1 - IP Network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Esta experiência teve objetivo a compreensão do funcionamento de uma simples rede de computadores ligados entre si bem como o tipo de dados enviados entre ambos.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Assim, ao longo da experiência verificamos o envio de pacotes ARP (Protocolo de resolução de endereços), sendo que estes são necessários para obter o endereço MAC e associá-lo a um endereço IP.</w:t>
      </w:r>
    </w:p>
    <w:p w:rsidR="00000000" w:rsidDel="00000000" w:rsidP="00000000" w:rsidRDefault="00000000" w:rsidRPr="00000000">
      <w:pPr>
        <w:ind w:firstLine="72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1 - Pacotes ARP e ICMP</w:t>
      </w:r>
      <w:r w:rsidDel="00000000" w:rsidR="00000000" w:rsidRPr="00000000">
        <w:drawing>
          <wp:anchor allowOverlap="1" behindDoc="0" distB="57150" distT="57150" distL="57150" distR="57150" hidden="0" layoutInCell="0" locked="0" relativeHeight="0" simplePos="0">
            <wp:simplePos x="0" y="0"/>
            <wp:positionH relativeFrom="margin">
              <wp:posOffset>-57149</wp:posOffset>
            </wp:positionH>
            <wp:positionV relativeFrom="paragraph">
              <wp:posOffset>66675</wp:posOffset>
            </wp:positionV>
            <wp:extent cx="5731200" cy="355600"/>
            <wp:effectExtent b="0" l="0" r="0" t="0"/>
            <wp:wrapTopAndBottom distB="57150" distT="5715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Desta forma, existem dois pacotes ARP: Primeiro, é necessário associar o IP que se pretende alcançar a um determinado endereço MAC, daí que este pacote é enviado a toda a rede do computador de origem. O segundo é utilizado quando o computador que possua o IP em questão, envia um pacote ARP contendo o seu endereço MAC.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Após o estabelecimento dos endereços, inicia-se o envio de pacotes de protocolo ICMP, podendo ser do tipo reply ou request. Na experiência foi realizado o ping da máquina 4 a partir da máquina 1, e como tal cada pacote do tipo “request” tem como IP e MAC de origem a máquina 1 e de destino os valores IP e MAC da máquina 2. Por outro lado, os pacotes de tipo “reply” têm os valores contrários.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438150</wp:posOffset>
            </wp:positionH>
            <wp:positionV relativeFrom="paragraph">
              <wp:posOffset>933450</wp:posOffset>
            </wp:positionV>
            <wp:extent cx="4867275" cy="1295400"/>
            <wp:effectExtent b="0" l="0" r="0" t="0"/>
            <wp:wrapTopAndBottom distB="114300" distT="11430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 b="0" l="0" r="-4392" t="5549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Figura 2 - Ping da máquina 172.16.40.254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É possível identificar o tipo de trama ethernet recebida analisando os bytes 12-13 de cada trama, visto que estes correspondem ao valor “eth.type”.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rFonts w:ascii="Alegreya" w:cs="Alegreya" w:eastAsia="Alegreya" w:hAnsi="Alegreya"/>
          <w:rtl w:val="0"/>
        </w:rPr>
        <w:t xml:space="preserve">A interface loopback é uma interface existente nos routers (neste caso da Cisco). É uma interface virtual que o computador usa para comunicar consigo mesmo, estando sempre disponível, disponibilizando uma forma de as aplicações locais que correm no computador se possam ligar a servidores na mesma máquina, caso contrário, se portas ethernet fossem desconectadas ou o Wi-Fi desligado, isso seria impossível.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Experiência 2 - Virtual LANs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experiência 2 consiste em implementar duas Virtual LANs (Local Area Network). Assim, tal como especificado no guião e de acordo com a nossa área de trabalho (bancada 4), foram criadas a VLAN40, contendo as máquinas 1 e 4 com os IPs 172.16.40.1 e 172.16.40.254, respetivamente, e a VLAN41 apenas com a máquina 2 com o IP 172.16.41.1.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Desta forma, a configuração de cada vlan4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x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sendo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x 0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ou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 1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é realizada no switch da Cisco: Em primeiro lugar é necessário criar a vlan usando-se os comandos ‘configure terminal’, ‘vlan4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x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’ e ‘end’. Posteriormente, de modo a configurar a rede de cada vlan, são adicionadas as portas correspondentes, recorrendo para isso a uma série de comandos: ‘configure terminal’, ‘interface fastethernet 0/i’ (onde i é o número da porta), ‘switchport mode access’, ‘switchport access vlan 4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x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(onde </w:t>
      </w: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x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é 0 ou 1, dependendo da vlan a que se quer adicionar a porta i).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Conforme as configurações exigidas no guião, o grupo adicionou a porta 1 e 4 à vlan40 e a porta 2 à vlan41, seguindo os passos anteriormente referidos, resultando na configuração apresentada na figura 2, a qual corresponde ao output do comando ‘show vlan brief’.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Um domínio de broadcast é uma divisão lógica da rede em que qualquer node consegue alcançar qualquer outro node pertencente a esse broadcast (i.e ping). Como tal, a criação e respetiva configuração de uma vlan essencialmente cria o seu próprio domínio de broadcast. Então, devido à arquitetura da rede  podemos concluir que existem dois domínios broadcast.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 análise dos logs obtidos ao longo da experiência permite confirmar a correta implementação da arquitetura de rede especificada no guião uma vez que o ping do tux44 a partir do tux41 (e vice versa) funciona e como tal pertencem ao mesmo domínio (vlan40). Por outro lado, tanto o tux41 como o tux44 não conseguem alcançar o tux42 podendo-se concluir que não conseguem alcançar a sub-rede pertencente à vlan41. 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Experiência 3 - Router Configuration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experiência 3 consiste em transformar a máquina tux44 num router. Para tal, foi necessário configurar a interface ethernet 1 (eth1) da máquina em questão através dos seguintes comandos: ‘i</w:t>
      </w: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fconfig eth1 up’; ‘ifconfig eth1 172.16.</w:t>
      </w:r>
      <w:r w:rsidDel="00000000" w:rsidR="00000000" w:rsidRPr="00000000">
        <w:rPr>
          <w:rFonts w:ascii="Alegreya" w:cs="Alegreya" w:eastAsia="Alegreya" w:hAnsi="Alegreya"/>
          <w:b w:val="1"/>
          <w:highlight w:val="white"/>
          <w:rtl w:val="0"/>
        </w:rPr>
        <w:t xml:space="preserve">41</w:t>
      </w: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.253/24’; ‘echo 1 &gt; /proc/sys/net/ipv4/ip_forward’; ‘echo 0 &gt; /proc/sys/net/ipv4/icmp_echo_ignore_broadcasts’. Por fim, adicionou-se a interface eth1 (através da porta 5) do tux44 à vlan41 de forma a que a máquina 2 e 4 pertençam à mesma sub-rede e possam comunicar entre si. A máquina 4 vai possuir então duas interfaces, eth0 e eth1, e duas rotas para cada tux.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A comunicação entre o tux41 e o tux42 é alcançada adicionando as portas necessárias para a respetiva subrede.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Na máquina 1 é adicionada a rota “route add -net 172.16.41.0/24 gw 172.16.40.254”, que por sua vez possibilita a comunicação com as máquinas da subrede 172.16.41.0/24 utilizando como gateway 172.16.40.254, ou seja, os pacotes enviados para essa subrede são reencaminhados para a máquina com o IP identificado na gateway, que no nosso caso corresponde à máquina 4. 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Após isto foi introduzido na máquina 2 a rota “route add -net 172.16.40.0/24 gw 172.16.41.253”, que permite o envio de pacotes a partir da máquina para a subrede com endereço 172.16.40.0/24 passando pelo gateway.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Assim a máquina 1 pode comunicar com a máquina 2, sendo que as interfaces existentes na máquina 4 servem de intermediador entre esta ligação, ou seja, esta  funciona como router.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As tabelas de forwarding são obtidas através do comando “route -n” e estas possuem a informação necessária para enviar um pacote através do melhor caminho até ao seu destino. As tabelas são constituídas pelo IP de destino do pacote, o IP para o qual o pacote é enviado, a máscara e a interface utilizada no “forwarding” do pacote. 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Ao pingar a máquina 2 a partir da 1 é possível observar a sequência de reencaminhamento existente. O pedido efetuado para a máquina com IP 172.16.41.1 é reencaminhado para o “router”, i.e máquina 4, através da interface ethernet 0, sendo que a máquina obtém o endereço MAC da interface em questão (172.16.40.254).  Os dados são então enviados para a máquina 2, já que está conectada à máquina 4 através da interface ethernet 1. Neste último caso, a máquina 4 obtém o endereço MAC da máquina 2. Em ambos os casos em que é necessário obter os endereços MAC são utilizados pacotes ARP.</w:t>
      </w:r>
    </w:p>
    <w:p w:rsidR="00000000" w:rsidDel="00000000" w:rsidP="00000000" w:rsidRDefault="00000000" w:rsidRPr="00000000">
      <w:pPr>
        <w:ind w:left="-3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highlight w:val="white"/>
          <w:rtl w:val="0"/>
        </w:rPr>
        <w:t xml:space="preserve">Os pacotes ICMP observados no wireshark nas requests correspondem aos valores IP e MAC da máquina 1 e 2, sendo respectivamente a origem e o destino, enquanto que nas replies é exatamente o contrário. Uma vez que seja possível alcançar a máquina de destino e o endereço MAC seja mapeado, são atribuídos como IPs aos pacotes ICMP o valor das respetivas máquinas de origem e destino, sendo que a rota efectuada e os respectivos reencaminhamentos são da responsabilidade do router.</w:t>
      </w:r>
    </w:p>
    <w:p w:rsidR="00000000" w:rsidDel="00000000" w:rsidP="00000000" w:rsidRDefault="00000000" w:rsidRPr="00000000">
      <w:pPr>
        <w:ind w:left="-30" w:firstLine="720"/>
        <w:contextualSpacing w:val="0"/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Experiência 4 - Comercial Router and NAT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experiência 4 consiste em configurar o router comercial e implementar o NAT.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Para tal, foi necessário configurar o gigabitethernet 0/0 e o gigabitethernet 0/1. Na consola do switch, usam-se os comandos ’configure terminal’, ‘interface gigabitethernet 0/i’ (onde i é 0 ou 1, dependendo do gigabitethernet a configurar), ‘ip address customIP 255.255.255.0’ (onde customIP é 172.16.41.254 para o gigabitethernet 0/0 e 172.16.1.49 para o gigabitethernet 0/1), ‘no shutdown’, ‘exit’. Estes comandos são executados tanto para o gigabitethernet 0/0  como para o 0/1. De seguida configura-se a rota, através dos comandos ‘conf t’, ‘ip route 0.0.0.0 0.0.0.0. 172.16.1.254’, ‘ip route 172.16.40.0 255.255.255.0 172.16.41.253’, ‘end’.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Para a configuração do NAT, executaram-se os comandos ‘conf t’, ‘interface gigabitethernet 0/0’, ‘ip address 172.16.41.254 255.255.255.0’, ‘no shutdown’ (assegura-se que as configurações são mantidas, mesmo que o router seja desligado), ‘ip nat inside’, ‘exit’, ‘interface gigabitethernet 0/1’, ‘ip adress 172.16.1.49 255.255.255.0’, ‘no shutdown’, ‘ip nat inside’, ‘exit’, ‘ip nat pool ovrld 172.16.1.49 172.16.1.49 prefix 24’, ‘ip nat inside source list 1 pool ovrld overload’ (desta forma é mantida a gama de endereços ), ‘access-list 1 permit 172.16.40.0 0.0.0.255’, ‘access-list 1 permit 172.16.41.0 0.0.0.255’ (criou-se uma lista de permissões e acessos aos pacotes que iriam ser enviados/recebidos, isto para todas as sub-redes. Foi utilizado o máximo permitido (255) para deixar que todas as subredes tivessem acesso à internet), ‘ip route 0.0.0.0 0.0.0.0 172.16.1.254’, ‘ip route 172.16.40.0 255.255.255.0 172.16.41.253’ (adicionaram-se rotas que basicamente redireciona os pacotes  que têm como destino o ip 172.16.40.0 para o ip ip 172.16.41.253.), ‘end’.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Testando o que foi implementado fez-se, pela primeira vez, um ping do tux42 para o tux41. Os pacotes eram enviados para o router, que posteriormente enviava para a rede 172.16.40.0. Realizando o mesmo processo novamente, o caminho seguido pelos pacotes é diferente, indo do tux42 directamente para a rede 172.16.40.0.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Ao fazer um ping do tux41 para o router (sem NAT) não há resposta, mas ao adicionar NAT já a obtemos.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NAT (Network address translation) permite que um dispositivo (router Cisco) aja como um intermediador entre a Internet e uma rede local (lab network). Recorrendo a isto, todos os computadores pertencentes à rede local são representados apenas com um endereço de IP  único. A NAT oferece então segurança adicional na medida em que toda a rede de computadores é representada por um único endereço.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Experiência 5 - DNS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experiência 5 consiste em configurar o DNS de forma a conseguir aceder a redes externas, fazendo uso da internet através da rede interna que foi criada nas experiências anteriores.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Assim, fez-se a configuração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através do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ficheiro resolv.conf. Neste caso, o nameserver seria configurado com o IP 172.16.1.1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Pacotes de DNS são enviados e recebidos, contendo informação com queries e respostas. As queries possuem o “name”, “type” e “class”, enquanto que as respostas, para além dos campos que existem nas queries, também possuem “time to live”, “data length” e “address”. Em termos de exemplo, apresentamos os dados de um dos pacotes: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Queries: Name: google.com, Type: A (Host Address) (1), Class: IN (0x0001).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b w:val="1"/>
          <w:rtl w:val="0"/>
        </w:rPr>
        <w:t xml:space="preserve">Answers: Name: google.com, Type: A (Host Address) (1), Class: IN (0x0001), Time to live: 155, Data length: 4, Address: 194.210.238.163.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Experiência 6 - TCP connections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 experiência 6 consiste em compilar a aplicação de download, correr a aplicação e fazer download de um ficheiro que esteja alojado na internet, mais especificamente num domínio introduzido aquando da execução da aplicação.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Para testar foi usado um servidor ftp para fazer o download, e depois de se ter corrido a aplicação, verificou-se que o ficheiro foi descarregado, demonstrando que as redes estavam bem configuradas.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 aplicação ftp realiza 2 conexões TCP, a conexão de controlo e a conexão de dados.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 informação de controlo FTP, como a identificação do utilizador, password ou comandos para mudar diretórios remotos é transportada pela conexão de cont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rolo.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O estabelecimento da conexão TCP é realizado por fases. Em primeiro lugar, o cliente envia a mensagem SYN com informação relativa ao número de sequência, de seguida recebe a resposta do servidor, resposta essa que inclui SYN e ACK (acknowledgment) da mensagem anteriormente enviada. Para finalizar, o cliente envia uma mensagem de ACK (acknowledgment).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Relativamente ao mecanismo de ARQ do TCP, este usa o mecanismo de 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Sliding Window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que é uma variante do 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Go-Back-N. 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Este mecanismo permite ao receptor receber n bytes sem ter de esperar pela confirmação do ACK. O receptor envia um ACK que inclui o número de sequência esperado do próximo byte, ou seja, o receptor pode receber n bytes, começando com o byte com o número de sequência esperado. Tanto o receptor como o servidor possui uma “janela”, janela esse com um tamanho menor ou igual ao tamanho do buffer. O servidor envia todos os bytes permitidos pelo tamanho da janela e fica à espera de um ACK. Então o receptor desloca-se na janela para o número de sequência correspondente, indicando os bytes que podem ser enviados pelo servidor que o buffer da nova posição da janela permite. O servidor recebe o ACK com essa informação, voltando a enviar os bytes.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Como se pode observar pelo funcionamento da 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sliding window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, um dos elementos mais importantes neste mecanismo é o número de sequência.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O mecanismo de controlo de congestão do TCP funciona com um comportamento em modo “serra”. Basicamente, o número de bytes transmitidos por segmento vão sendo cada vez maiores, até que é detectado que um segmento foi perdido, fazendo com que o número de bytes transmitidos diminua e se entre no modo “congestion avoidance”. Através dos logs pode-se verificar o número de bytes enviados por segmento (ver próxima imagem).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12446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3 -Bytes transmitidos por segmento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Os resultados estão de acordo com o mecanismo, uma vez que começam com um valor baixo, sobem e voltam a descer (quando é detectado que um segmento foi perdido), criando o efeito “serra”.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Analisando os logs recolhidos, podemos observar, usando o </w:t>
      </w:r>
      <w:r w:rsidDel="00000000" w:rsidR="00000000" w:rsidRPr="00000000">
        <w:rPr>
          <w:rFonts w:ascii="Alegreya" w:cs="Alegreya" w:eastAsia="Alegreya" w:hAnsi="Alegreya"/>
          <w:i w:val="1"/>
          <w:rtl w:val="0"/>
        </w:rPr>
        <w:t xml:space="preserve">I/O Graph,</w:t>
      </w:r>
      <w:r w:rsidDel="00000000" w:rsidR="00000000" w:rsidRPr="00000000">
        <w:rPr>
          <w:rFonts w:ascii="Alegreya" w:cs="Alegreya" w:eastAsia="Alegreya" w:hAnsi="Alegreya"/>
          <w:rtl w:val="0"/>
        </w:rPr>
        <w:t xml:space="preserve"> que a conexão de dados foi afectada por termos começado a transferir outro ficheiro noutra máquina, ou seja, pelo aparecimento de uma segunda conexão de dados. Inicialmente começou-se um download no tux41, que atingiu uma velocidade de aproximadamente 8000 pacotes por segundo. No entanto, devido ao aparecimento de uma nova conexão de dados (na máquina tux42), a  velocidade diminuiu para aproximadamente metade (4000 pacotes por segundo), sendo esta também a velocidade a que a segunda transferência começou. Quando o download no tux41 acabou, a velocidade no tux42 subiu para 8000 pacotes por segundo, até que ao fim do download.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731200" cy="29337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4 - I/O Graph registado no tux41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37338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5 - I/O Graph registado no tux42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Pode-se então concluir que a velocidade é afetada pelo aparecimento de outra conexão de dados.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6jg2aiw4yqm0" w:id="7"/>
      <w:bookmarkEnd w:id="7"/>
      <w:r w:rsidDel="00000000" w:rsidR="00000000" w:rsidRPr="00000000">
        <w:rPr>
          <w:rFonts w:ascii="Alegreya" w:cs="Alegreya" w:eastAsia="Alegreya" w:hAnsi="Alegreya"/>
          <w:rtl w:val="0"/>
        </w:rPr>
        <w:t xml:space="preserve">Conclusões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Com o término das experiências e do relatório em si, pode-se afirmar que o grupo conseguiu interiorizar e perceber os conceitos necessários inerentes a este segundo trabalho da cadeira de Redes de Computadores.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 implementação de uma aplicação de download não foi difícil, no entanto foi necessário estudar conceitos e protocolos relativos ao RFC959 sobre FTP.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As redes ficaram bem configuradas e as experiências foram bem sucedidas, logo pode-se concluir que os objectivos do projecto foram atingidos com sucesso.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ab/>
        <w:t xml:space="preserve">De notar que o grupo inicialmente era constituído por 4 elementos. 2 deles abandonaram a cadeira, logo o trabalho recaiu sobre os 2 elementos restantes.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qmysowe5t8v" w:id="8"/>
      <w:bookmarkEnd w:id="8"/>
      <w:r w:rsidDel="00000000" w:rsidR="00000000" w:rsidRPr="00000000">
        <w:rPr>
          <w:rFonts w:ascii="Alegreya" w:cs="Alegreya" w:eastAsia="Alegreya" w:hAnsi="Alegreya"/>
          <w:rtl w:val="0"/>
        </w:rPr>
        <w:t xml:space="preserve">Contribuição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José Carlos Alves Vieira - 50%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Renato Sampaio de Abreu - 50%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s70lesapz3m7" w:id="9"/>
      <w:bookmarkEnd w:id="9"/>
      <w:r w:rsidDel="00000000" w:rsidR="00000000" w:rsidRPr="00000000">
        <w:rPr>
          <w:rFonts w:ascii="Alegreya" w:cs="Alegreya" w:eastAsia="Alegreya" w:hAnsi="Alegreya"/>
          <w:rtl w:val="0"/>
        </w:rPr>
        <w:t xml:space="preserve">Anexo 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Arquivo .zip contendo o código fonte e arquivo .zip com os logs capturados nas 6 experiências realizadas.</w:t>
      </w:r>
    </w:p>
    <w:p w:rsidR="00000000" w:rsidDel="00000000" w:rsidP="00000000" w:rsidRDefault="00000000" w:rsidRPr="00000000">
      <w:pPr>
        <w:pStyle w:val="Heading1"/>
        <w:numPr>
          <w:ilvl w:val="0"/>
          <w:numId w:val="4"/>
        </w:numPr>
        <w:ind w:left="720" w:hanging="360"/>
        <w:contextualSpacing w:val="1"/>
        <w:rPr/>
      </w:pPr>
      <w:bookmarkStart w:colFirst="0" w:colLast="0" w:name="_z8rvgbbi785d" w:id="10"/>
      <w:bookmarkEnd w:id="10"/>
      <w:r w:rsidDel="00000000" w:rsidR="00000000" w:rsidRPr="00000000">
        <w:rPr>
          <w:rFonts w:ascii="Alegreya" w:cs="Alegreya" w:eastAsia="Alegreya" w:hAnsi="Alegreya"/>
          <w:rtl w:val="0"/>
        </w:rPr>
        <w:t xml:space="preserve">Anexo II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600075</wp:posOffset>
            </wp:positionV>
            <wp:extent cx="5734050" cy="2114550"/>
            <wp:effectExtent b="0" l="0" r="0" t="0"/>
            <wp:wrapTopAndBottom distB="114300" distT="11430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411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6 - Endereços MAC e IP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7 - VLAN 40 e 41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142875</wp:posOffset>
            </wp:positionV>
            <wp:extent cx="5734050" cy="2943225"/>
            <wp:effectExtent b="0" l="0" r="0" t="0"/>
            <wp:wrapTopAndBottom distB="114300" distT="114300"/>
            <wp:docPr descr="exp2point 3" id="1" name="image14.png"/>
            <a:graphic>
              <a:graphicData uri="http://schemas.openxmlformats.org/drawingml/2006/picture">
                <pic:pic>
                  <pic:nvPicPr>
                    <pic:cNvPr descr="exp2point 3" id="0" name="image14.png"/>
                    <pic:cNvPicPr preferRelativeResize="0"/>
                  </pic:nvPicPr>
                  <pic:blipFill>
                    <a:blip r:embed="rId16"/>
                    <a:srcRect b="227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3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8 - Interfaces Ethernet 0 e 1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80963</wp:posOffset>
            </wp:positionH>
            <wp:positionV relativeFrom="paragraph">
              <wp:posOffset>3686175</wp:posOffset>
            </wp:positionV>
            <wp:extent cx="5381625" cy="371475"/>
            <wp:effectExtent b="0" l="0" r="0" t="0"/>
            <wp:wrapTopAndBottom distB="114300" distT="114300"/>
            <wp:docPr descr="exp3point3.png" id="5" name="image18.png"/>
            <a:graphic>
              <a:graphicData uri="http://schemas.openxmlformats.org/drawingml/2006/picture">
                <pic:pic>
                  <pic:nvPicPr>
                    <pic:cNvPr descr="exp3point3.png" id="0" name="image18.png"/>
                    <pic:cNvPicPr preferRelativeResize="0"/>
                  </pic:nvPicPr>
                  <pic:blipFill>
                    <a:blip r:embed="rId17"/>
                    <a:srcRect b="0" l="0" r="0" t="8686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734050" cy="3186113"/>
            <wp:effectExtent b="0" l="0" r="0" t="0"/>
            <wp:wrapTopAndBottom distB="114300" distT="114300"/>
            <wp:docPr descr="exp3point2.png" id="6" name="image20.png"/>
            <a:graphic>
              <a:graphicData uri="http://schemas.openxmlformats.org/drawingml/2006/picture">
                <pic:pic>
                  <pic:nvPicPr>
                    <pic:cNvPr descr="exp3point2.png"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9 - Rotas Tux41, experiência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 10 - Rotas Tux42, experiência 3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909638</wp:posOffset>
            </wp:positionH>
            <wp:positionV relativeFrom="paragraph">
              <wp:posOffset>19050</wp:posOffset>
            </wp:positionV>
            <wp:extent cx="3686175" cy="514350"/>
            <wp:effectExtent b="0" l="0" r="0" t="0"/>
            <wp:wrapTopAndBottom distB="114300" distT="114300"/>
            <wp:docPr descr="exp3point3tux42.png" id="13" name="image27.png"/>
            <a:graphic>
              <a:graphicData uri="http://schemas.openxmlformats.org/drawingml/2006/picture">
                <pic:pic>
                  <pic:nvPicPr>
                    <pic:cNvPr descr="exp3point3tux42.png" id="0" name="image27.png"/>
                    <pic:cNvPicPr preferRelativeResize="0"/>
                  </pic:nvPicPr>
                  <pic:blipFill>
                    <a:blip r:embed="rId19"/>
                    <a:srcRect b="0" l="0" r="0" t="7777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legreya" w:cs="Alegreya" w:eastAsia="Alegreya" w:hAnsi="Alegreya"/>
          <w:rtl w:val="0"/>
        </w:rPr>
        <w:t xml:space="preserve">Figura 11 - Experiência 3, ping a todos as subredes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400050</wp:posOffset>
            </wp:positionH>
            <wp:positionV relativeFrom="paragraph">
              <wp:posOffset>0</wp:posOffset>
            </wp:positionV>
            <wp:extent cx="5219700" cy="3362325"/>
            <wp:effectExtent b="0" l="0" r="0" t="0"/>
            <wp:wrapTopAndBottom distB="114300" distT="114300"/>
            <wp:docPr descr="exp3point7.png" id="4" name="image17.png"/>
            <a:graphic>
              <a:graphicData uri="http://schemas.openxmlformats.org/drawingml/2006/picture">
                <pic:pic>
                  <pic:nvPicPr>
                    <pic:cNvPr descr="exp3point7.png"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362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footerReference r:id="rId23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b w:val="1"/>
        <w:rtl w:val="0"/>
      </w:rPr>
      <w:t xml:space="preserve">Redes de Computadores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firstLine="360"/>
      </w:pPr>
      <w:rPr>
        <w:rFonts w:ascii="Alegreya" w:cs="Alegreya" w:eastAsia="Alegreya" w:hAnsi="Alegreya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26.png"/><Relationship Id="rId22" Type="http://schemas.openxmlformats.org/officeDocument/2006/relationships/footer" Target="footer2.xml"/><Relationship Id="rId10" Type="http://schemas.openxmlformats.org/officeDocument/2006/relationships/image" Target="media/image29.png"/><Relationship Id="rId21" Type="http://schemas.openxmlformats.org/officeDocument/2006/relationships/header" Target="header1.xml"/><Relationship Id="rId13" Type="http://schemas.openxmlformats.org/officeDocument/2006/relationships/image" Target="media/image24.png"/><Relationship Id="rId12" Type="http://schemas.openxmlformats.org/officeDocument/2006/relationships/image" Target="media/image21.png"/><Relationship Id="rId23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8.png"/><Relationship Id="rId15" Type="http://schemas.openxmlformats.org/officeDocument/2006/relationships/image" Target="media/image16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4.png"/><Relationship Id="rId5" Type="http://schemas.openxmlformats.org/officeDocument/2006/relationships/image" Target="media/image31.png"/><Relationship Id="rId19" Type="http://schemas.openxmlformats.org/officeDocument/2006/relationships/image" Target="media/image27.png"/><Relationship Id="rId6" Type="http://schemas.openxmlformats.org/officeDocument/2006/relationships/image" Target="media/image23.png"/><Relationship Id="rId18" Type="http://schemas.openxmlformats.org/officeDocument/2006/relationships/image" Target="media/image20.png"/><Relationship Id="rId7" Type="http://schemas.openxmlformats.org/officeDocument/2006/relationships/image" Target="media/image22.png"/><Relationship Id="rId8" Type="http://schemas.openxmlformats.org/officeDocument/2006/relationships/image" Target="media/image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