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400" w:before="0" w:line="276"/>
        <w:jc w:val="center"/>
      </w:pPr>
      <w:r>
        <w:rPr>
          <w:color w:val="475569"/>
          <w:sz w:val="22"/>
          <w:szCs w:val="22"/>
        </w:rPr>
        <w:t xml:space="preserve">DUOC UC — Escuela de Informática y Telecomunicaciones</w:t>
      </w:r>
    </w:p>
    <w:p>
      <w:pPr>
        <w:spacing w:after="200" w:before="0" w:line="276"/>
        <w:jc w:val="center"/>
      </w:pPr>
      <w:r>
        <w:rPr>
          <w:b/>
          <w:bCs/>
          <w:color w:val="1C6FB0"/>
          <w:sz w:val="26"/>
          <w:szCs w:val="26"/>
        </w:rPr>
        <w:t xml:space="preserve">EVALUACIÓN 2 — ARQUITECTURA, MODELO DE DATOS Y DIAGRAMAS</w:t>
      </w:r>
    </w:p>
    <w:p>
      <w:pPr>
        <w:spacing w:after="100" w:before="0" w:line="276"/>
        <w:jc w:val="center"/>
      </w:pPr>
      <w:r>
        <w:rPr>
          <w:b/>
          <w:bCs/>
          <w:color w:val="0B2942"/>
          <w:sz w:val="52"/>
          <w:szCs w:val="52"/>
        </w:rPr>
        <w:t xml:space="preserve">Plataforma CONEXSUR</w:t>
      </w:r>
    </w:p>
    <w:p>
      <w:pPr>
        <w:spacing w:after="300" w:before="0" w:line="276"/>
        <w:jc w:val="center"/>
      </w:pPr>
      <w:r>
        <w:rPr>
          <w:color w:val="0B2942"/>
          <w:sz w:val="26"/>
          <w:szCs w:val="26"/>
        </w:rPr>
        <w:t xml:space="preserve">Sistema Web de Gestión, Agendamiento y Pagos para Proveedor de Conectividad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36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7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9"/>
                <w:szCs w:val="19"/>
              </w:rPr>
              <w:t xml:space="preserve">Capstone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7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9"/>
                <w:szCs w:val="19"/>
              </w:rPr>
              <w:t xml:space="preserve">Cindy Betzabe Contador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9"/>
                <w:szCs w:val="19"/>
              </w:rPr>
              <w:t xml:space="preserve">Renato Huaiquil, Tomás Galdames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A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9"/>
                <w:szCs w:val="19"/>
              </w:rPr>
              <w:t xml:space="preserve">1.0 — octubre de 2026</w:t>
            </w:r>
          </w:p>
        </w:tc>
      </w:tr>
    </w:tbl>
    <w:p>
      <w:pPr>
        <w:spacing w:after="1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636"/>
      </w:tblGrid>
      <w:tr>
        <w:trPr>
          <w:cantSplit/>
          <w:tblHeader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Artefacto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Documento de arquitectura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Sección 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Modelo de base de datos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Sección 15 y archivo server/db/001_schema.sql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Diagramas: casos de uso, componentes, clases y despliegue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Sección 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Software programado</w:t>
            </w:r>
          </w:p>
        </w:tc>
        <w:tc>
          <w:tcPr>
            <w:tcW w:type="dxa" w:w="3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8"/>
                <w:szCs w:val="18"/>
              </w:rPr>
              <w:t xml:space="preserve">Sección 17, repositorio y video de demostración</w:t>
            </w:r>
          </w:p>
        </w:tc>
      </w:tr>
    </w:tbl>
    <w:p>
      <w:pPr>
        <w:pStyle w:val="Heading1"/>
        <w:keepNext/>
        <w:pageBreakBefore/>
      </w:pPr>
      <w:r>
        <w:t xml:space="preserve">14. Documento de arquitectura</w:t>
      </w:r>
    </w:p>
    <w:p>
      <w:pPr>
        <w:pStyle w:val="Heading2"/>
        <w:keepNext/>
      </w:pPr>
      <w:r>
        <w:t xml:space="preserve">14.1 Propósito y alcance</w:t>
      </w:r>
    </w:p>
    <w:p>
      <w:pPr>
        <w:spacing w:after="120" w:before="0" w:line="276"/>
      </w:pPr>
      <w:r>
        <w:rPr>
          <w:sz w:val="21"/>
          <w:szCs w:val="21"/>
        </w:rPr>
        <w:t xml:space="preserve">Este documento describe cómo está construida la Plataforma CONEXSUR y por qué. Cubre el alcance del producto mínimo aprobado para la presentación de mediados de noviembre de 2026: autenticación por rol (HU-01), CRM de clientes (HU-03, HU-04), agendamiento técnico (HU-07, HU-08, HU-09), portal del cliente (HU-12, HU-13), pago con Mercado Pago (HU-14, HU-15) y despliegue (HU-21). Las historias restantes quedan como etapa posterior y no alteran la arquitectura.</w:t>
      </w:r>
    </w:p>
    <w:p>
      <w:pPr>
        <w:pStyle w:val="Heading2"/>
        <w:keepNext/>
      </w:pPr>
      <w:r>
        <w:t xml:space="preserve">14.2 Estilo arquitectónico</w:t>
      </w:r>
    </w:p>
    <w:p>
      <w:pPr>
        <w:spacing w:after="120" w:before="0" w:line="276"/>
      </w:pPr>
      <w:r>
        <w:rPr>
          <w:sz w:val="21"/>
          <w:szCs w:val="21"/>
        </w:rPr>
        <w:t xml:space="preserve">La solución es una aplicación web cliente-servidor en tres capas: cliente web (React), API (Express) y base de datos (PostgreSQL). La API es un monolito modular: un solo proceso, organizado en módulos por dominio (auth, clientes, visitas, boletas, pagos) con límites claros entre ellos.</w:t>
      </w:r>
    </w:p>
    <w:p>
      <w:pPr>
        <w:spacing w:after="120" w:before="0" w:line="276"/>
      </w:pPr>
      <w:r>
        <w:rPr>
          <w:sz w:val="21"/>
          <w:szCs w:val="21"/>
        </w:rPr>
        <w:t xml:space="preserve">Se descartaron los microservicios. Con dos desarrolladores y 4 a 5 semanas, el costo de operar varios servicios, redes internas y despliegues independientes no se compensa con ningún beneficio del producto. El monolito modular permite separar un módulo más adelante, porque cada uno accede a los datos solo mediante su repositorio.</w:t>
      </w:r>
    </w:p>
    <w:p>
      <w:pPr>
        <w:pStyle w:val="Heading2"/>
        <w:keepNext/>
      </w:pPr>
      <w:r>
        <w:t xml:space="preserve">14.3 Tecnologías y justificación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5236"/>
      </w:tblGrid>
      <w:tr>
        <w:trPr>
          <w:cantSplit/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Tecnología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Cliente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React 19, React Router, Tailwind CSS 4, Vite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Stack fijado en la propuesta. Interfaz responsiva y base para la PWA. Vite entrega compilación rápida y desarrollo con recarga.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Node.js 22, Express 5, zod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Stack fijado en la propuesta. zod valida y limpia toda entrada en un solo lugar por ruta.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helmet, cors, express-rate-limit, jsonwebtoken, scrypt (módulo crypto de Node)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Cabeceras seguras, origen restringido, límite de solicitudes, sesión firmada y hash de contraseñas sin dependencias nativas.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Datos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PostgreSQL 16, controlador pg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Restricciones declarativas (claves, unicidad, exclusión de rangos) y transacciones ACID para pagos y agenda.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Pagos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Mercado Pago Checkout Pro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Stack fijado en la propuesta. La pasarela captura los datos de tarjeta, por lo que el sistema nunca los toca.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Despliegue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Docker Compose, Nginx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Un solo comando levanta base de datos, API y cliente. Nginx entrega el cliente y reenvía /api a la API.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Pruebas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node:test (incluido en Node), Playwright para la prueba de punta a punta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Sin dependencias adicionales en el servidor; las pruebas usan una base de datos real.</w:t>
            </w:r>
          </w:p>
        </w:tc>
      </w:tr>
    </w:tbl>
    <w:p>
      <w:pPr>
        <w:pStyle w:val="Heading2"/>
        <w:keepNext/>
      </w:pPr>
      <w:r>
        <w:t xml:space="preserve">14.4 Componentes y responsabilidades</w:t>
      </w:r>
    </w:p>
    <w:p>
      <w:pPr>
        <w:spacing w:after="120" w:before="0" w:line="276"/>
      </w:pPr>
      <w:r>
        <w:rPr>
          <w:sz w:val="21"/>
          <w:szCs w:val="21"/>
        </w:rPr>
        <w:t xml:space="preserve">La Figura 2 (sección 16.2) muestra los componentes. Cada petición recorre las capas siguientes: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00"/>
        <w:gridCol w:w="263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 debe hacer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Middlewares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Autenticación (cookie con JWT), autorización por rol, validación con zod, verificación de Origin, límite de solicitudes y manejo central de errores.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Reglas de negocio.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Rutas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Asocian cada URL con sus middlewares y su controlador.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Lógica de cualquier tipo.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Controlador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Traduce la petición HTTP a una llamada al servicio y la respuesta a JSON y código de estado.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Consultas SQL o reglas de negocio.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Servicio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Reglas de negocio, transacciones y auditoría. Ejemplo: cambiar el estado del servicio y registrar quién lo hizo en una sola transacción.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Conocer HTTP (req, res).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Repositorio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Todo el SQL, siempre parametrizado.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Reglas de negocio.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Adaptador Mercado Pago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Crear preferencias, consultar pagos y verificar la firma del aviso. Aísla a la pasarela del resto del sistema.</w:t>
            </w:r>
          </w:p>
        </w:tc>
        <w:tc>
          <w:tcPr>
            <w:tcW w:type="dxa" w:w="26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Modificar datos propios.</w:t>
            </w:r>
          </w:p>
        </w:tc>
      </w:tr>
    </w:tbl>
    <w:p>
      <w:pPr>
        <w:pStyle w:val="Heading2"/>
        <w:keepNext/>
      </w:pPr>
      <w:r>
        <w:t xml:space="preserve">14.5 Estructura del repositorio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conexsur/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server/                      API Express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db/                      Migraciones SQL versionadas (001_schema.sql, 002_semilla.sql)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├── src/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config/env.js        Variables de entorno validadas al iniciar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db/                  pool.js (conexión y transacciones), migrar.js, semilla.js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middlewares/         autenticar, autorizar, validar, origen, errores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modulos/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auth/            rutas, controlador, servicio, repositorio, esquemas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clientes/        (mismo patrón)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├── visitas/         agenda, disponibilidad, confirmación y control de cruces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│   └── planes/ tecnicos/ portal/ resumen/   (rutas de lectura)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utilidades/          claves (scrypt), rut, auditoría, errores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├── app.js               Construcción de la aplicación Express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│   └── index.js             Arranque y cierre ordenado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tests/                   Pruebas automáticas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client/                      React + Tailwind (Vite)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│   └── src/ (api, contexto, componentes, hooks, lib, paginas/{admin,tecnico,portal})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docs/                        Diagramas, capturas y video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docker-compose.yml           db + api + web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sz w:val="20"/>
          <w:szCs w:val="20"/>
        </w:rPr>
        <w:t xml:space="preserve">El módulo de pagos se agrega con el mismo patrón (rutas, controlador, servicio, repositorio y esquemas), lo que permite repartir el trabajo entre los dos integrantes sin que se pisen los archivos.</w:t>
      </w:r>
    </w:p>
    <w:p>
      <w:pPr>
        <w:pStyle w:val="Heading2"/>
        <w:keepNext/>
      </w:pPr>
      <w:r>
        <w:t xml:space="preserve">14.6 Decisiones de arquitectura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700"/>
        <w:gridCol w:w="3700"/>
        <w:gridCol w:w="2886"/>
      </w:tblGrid>
      <w:tr>
        <w:trPr>
          <w:cantSplit/>
          <w:tblHeader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N°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Motivo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Alternativa descartada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Monolito modular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Equipo de 2 personas y plazo corto; menor costo de operación.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Microservicios: sobrecarga sin beneficio en este alcance.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Sesión en cookie httpOnly con SameSite=Strict, más verificación de Origin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El JavaScript de la página no puede leer la sesión, lo que limita el robo por XSS. Strict y Origin mitigan CSRF.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Token en localStorage: legible por cualquier script inyectado.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Contraseñas con scrypt y sal única por usuario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Función de derivación con costo de memoria, incluida en Node; evita compilar módulos nativos en el despliegue.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bcrypt o argon2: requieren dependencias nativas. El requisito RNF-01 admite cualquier hash robusto.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El servidor define el monto y crea la preferencia de Mercado Pago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El navegador no puede alterar el valor a pagar.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Enviar el monto desde el cliente.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El pago se confirma consultando la API de Mercado Pago, no por lo que informa el navegador ni por el cuerpo del aviso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La vuelta desde la pasarela y el cuerpo del webhook pueden falsificarse; la consulta directa con el token del servidor no.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Confiar en los parámetros de retorno.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AD-6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Idempotencia del pago: id de pago único en base de datos, un solo pago aprobado por boleta y registro del aviso por x-request-id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Mercado Pago puede reenviar avisos; no debe cobrarse ni marcarse dos veces.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Control solo en código de la aplicación.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AD-7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El cruce de horarios se impide con una restricción de exclusión en PostgreSQL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La base garantiza la regla aunque dos administradores confirmen a la vez.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Validar solo en el servicio: vulnerable a condiciones de carrera.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AD-8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Migraciones SQL versionadas y aplicadas por un script propio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Esquema reproducible en desarrollo, pruebas y producción.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Crear tablas a mano.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AD-9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Docker Compose con la base de datos sin puerto expuesto</w:t>
            </w:r>
          </w:p>
        </w:tc>
        <w:tc>
          <w:tcPr>
            <w:tcW w:type="dxa" w:w="3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Reduce la superficie de ataque; despliegue repetible.</w:t>
            </w:r>
          </w:p>
        </w:tc>
        <w:tc>
          <w:tcPr>
            <w:tcW w:type="dxa" w:w="28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Instalar cada servicio manualmente.</w:t>
            </w:r>
          </w:p>
        </w:tc>
      </w:tr>
    </w:tbl>
    <w:p>
      <w:pPr>
        <w:pStyle w:val="Heading2"/>
        <w:keepNext/>
      </w:pPr>
      <w:r>
        <w:t xml:space="preserve">14.7 Flujo del pago con Mercado Pago (HU-14 y HU-15)</w:t>
      </w:r>
    </w:p>
    <w:p>
      <w:pPr>
        <w:spacing w:after="120" w:before="0" w:line="276"/>
      </w:pPr>
      <w:r>
        <w:rPr>
          <w:sz w:val="21"/>
          <w:szCs w:val="21"/>
        </w:rPr>
        <w:t xml:space="preserve">Este flujo es el más sensible del sistema. Se implementa en el Ciclo 2 (HU-14 y HU-15); aquí se fija el diseño. En el Ciclo 1 el botón Pagar de la boleta está deshabilitado con el aviso «disponible en el próximo ciclo».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El cliente pulsa Pagar en su boleta pendiente. El navegador envía solo el identificador de la boleta.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El servidor verifica que la boleta pertenece al cliente autenticado y está pendiente, toma el monto de la base de datos y crea un registro en pagos con estado iniciado y una referencia externa única.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El servidor crea la preferencia en Mercado Pago (monto, referencia externa, URL de retorno y URL del webhook) y guarda su identificador.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El servidor responde con la URL de pago y el navegador redirige al cliente a Checkout Pro. Los datos de tarjeta se ingresan solo en la pasarela.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Mercado Pago llama al webhook del servidor. El servidor valida la firma del aviso con el secreto configurado y guarda el evento (con su x-request-id único) antes de procesarlo.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El servidor consulta el pago en la API de Mercado Pago con su token. Si el estado es aprobado y el monto coincide con la boleta, abre una transacción: marca el pago como aprobado, la boleta como pagada y registra la auditoría.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Si el aviso llega repetido, la restricción de unicidad del id de pago impide procesarlo otra vez y el servidor responde 200 sin cambios.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Al volver a la aplicación, el cliente ve el estado leído desde la base de datos, no desde los parámetros de la URL. Si el aviso aún no llegó, se muestra pendiente de confirmación.</w:t>
      </w:r>
    </w:p>
    <w:p>
      <w:pPr>
        <w:pStyle w:val="Heading2"/>
        <w:keepNext/>
      </w:pPr>
      <w:r>
        <w:t xml:space="preserve">14.8 Seguridad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100"/>
        <w:gridCol w:w="2836"/>
      </w:tblGrid>
      <w:tr>
        <w:trPr>
          <w:cantSplit/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Cómo se aplica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RNF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Contraseñas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scrypt con sal única; comparación en tiempo constante; mismo tiempo de respuesta si el correo no existe.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RNF-01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y 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Fuerza bruta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Bloqueo de 15 minutos tras 5 fallos por cuenta y límite de solicitudes por IP.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RNF-03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y 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Sesión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Cookie httpOnly, SameSite=Strict, Secure en producción; expira en 8 horas.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RNF-02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Implementado; HTTPS se activa en el despliegue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CSRF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SameSite=Strict, verificación de Origin y API que solo acepta JSON.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RNF-02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y 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Entrada de datos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Validación zod en cuerpo y parámetros; consultas parametrizadas; límite de 100 KB por solicitud.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RNF-03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y 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Autorización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Rol verificado en el servidor en cada ruta; el cliente web solo oculta pantallas.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RNF-06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y 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Secretos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Variables de entorno validadas al iniciar; .env fuera del repositorio.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RNF-04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Cabeceras y errores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helmet; mensajes de error sin detalles internos; trazas solo en el registro del servidor.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RNF-03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Auditoría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Tabla auditoria con usuario, acción, entidad e IP para inicios de sesión y cambios de estado.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RNF-15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Implementado para auth, clientes y visitas; pagos en el Ciclo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Pagos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Monto del servidor, firma del webhook, verificación contra la API e idempotencia (sección 14.7).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RNF-05, RNF-14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Diseñado; se implementa en el Ciclo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Respaldos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Respaldo diario de PostgreSQL con retención de 7 días y restauración probada.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RNF-08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Pendiente (despliegue)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Calidad de código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ESLint y Prettier en el repositorio.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RNF-13</w:t>
            </w:r>
          </w:p>
        </w:tc>
        <w:tc>
          <w:tcPr>
            <w:tcW w:type="dxa" w:w="28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Pendiente</w:t>
            </w:r>
          </w:p>
        </w:tc>
      </w:tr>
    </w:tbl>
    <w:p>
      <w:pPr>
        <w:spacing w:after="120" w:before="80" w:line="276"/>
      </w:pPr>
      <w:r>
        <w:rPr>
          <w:i/>
          <w:iCs/>
          <w:sz w:val="19"/>
          <w:szCs w:val="19"/>
        </w:rPr>
        <w:t xml:space="preserve">El estado de cada control se actualiza al cierre de cada ciclo. Los controles pendientes figuran en el backlog y no se declaran como cumplidos hasta que se verifiquen.</w:t>
      </w:r>
    </w:p>
    <w:p>
      <w:pPr>
        <w:pStyle w:val="Heading2"/>
        <w:keepNext/>
      </w:pPr>
      <w:r>
        <w:t xml:space="preserve">14.9 Despliegue y operación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Tres contenedores: db (PostgreSQL 16 con volumen persistente), api (Node 22, usuario sin privilegios) y web (Nginx con el cliente compilado).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Solo el contenedor web publica un puerto. La API y la base de datos se comunican por la red interna de Docker.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La API aplica las migraciones pendientes al iniciar y valida su configuración; si falta una variable crítica, no arranca.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Hosting: </w:t>
      </w:r>
      <w:r>
        <w:rPr>
          <w:sz w:val="21"/>
          <w:szCs w:val="21"/>
          <w:shd w:fill="FFF176" w:color="auto" w:val="clear"/>
        </w:rPr>
        <w:t xml:space="preserve">[COMPLETAR: proveedor o equipo donde se desplegará, con su costo y quién lo asume]</w:t>
      </w:r>
      <w:r>
        <w:rPr>
          <w:sz w:val="21"/>
          <w:szCs w:val="21"/>
        </w:rPr>
        <w:t xml:space="preserve">. El proyecto no tiene financiamiento, por lo que se evalúa un plan gratuito o de bajo costo.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HTTPS: certificado gratuito (Let's Encrypt) en el proxy. Mercado Pago exige HTTPS para el webhook; hasta tener dominio se prueba con el entorno de pruebas y un túnel temporal.</w:t>
      </w:r>
    </w:p>
    <w:p>
      <w:pPr>
        <w:pStyle w:val="Heading2"/>
        <w:keepNext/>
      </w:pPr>
      <w:r>
        <w:t xml:space="preserve">14.10 Trazabilidad con los requisitos no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633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Atributo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Requisitos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Táctica arquitectónica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RNF-01 a RNF-05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Capas de middleware, scrypt, cookie httpOnly, validación zod, SQL parametrizado, verificación de pagos.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Integridad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RNF-14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Transacciones, claves foráneas, restricción de exclusión para la agenda, índice único parcial para un solo pago aprobado por boleta.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Trazabilidad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RNF-15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Tabla auditoria y columnas de quién y cuándo en el cambio de estado del servicio.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Mantenibilidad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RNF-13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Módulos por dominio con el patrón rutas, controlador, servicio y repositorio; migraciones versionadas.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Escalabilidad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RNF-11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API sin estado (la sesión viaja en la cookie), índices en columnas de búsqueda.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Disponibilidad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RNF-08</w:t>
            </w:r>
          </w:p>
        </w:tc>
        <w:tc>
          <w:tcPr>
            <w:tcW w:type="dxa" w:w="6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Contenedores con reinicio automático, chequeo de salud de la base de datos, respaldo diario.</w:t>
            </w:r>
          </w:p>
        </w:tc>
      </w:tr>
    </w:tbl>
    <w:p>
      <w:pPr>
        <w:pStyle w:val="Heading1"/>
        <w:keepNext/>
      </w:pPr>
      <w:r>
        <w:t xml:space="preserve">15. Modelo de base de datos</w:t>
      </w:r>
    </w:p>
    <w:p>
      <w:pPr>
        <w:spacing w:after="120" w:before="0" w:line="276"/>
      </w:pPr>
      <w:r>
        <w:rPr>
          <w:sz w:val="21"/>
          <w:szCs w:val="21"/>
        </w:rPr>
        <w:t xml:space="preserve">El modelo está implementado en PostgreSQL 16 y se aplica con la migración server/db/001_schema.sql. Se ejecutó sobre una base real y las restricciones se verificaron con las pruebas automáticas. Las convenciones son: nombres en español en snake_case, claves UUID, montos en pesos chilenos como enteros y fechas con zona horaria.</w:t>
      </w:r>
    </w:p>
    <w:p>
      <w:pPr>
        <w:pStyle w:val="Heading2"/>
        <w:keepNext/>
      </w:pPr>
      <w:r>
        <w:t xml:space="preserve">15.1 Tablas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300"/>
        <w:gridCol w:w="4436"/>
      </w:tblGrid>
      <w:tr>
        <w:trPr>
          <w:cantSplit/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Propósito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Historias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Reglas destacadas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usuarios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Cuentas de administrador, técnico y cliente.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HU-01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Correo único sin distinguir mayúsculas; clave solo como hash; contador de intentos fallidos y bloqueo temporal.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planes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Planes de internet con velocidad y precio.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HU-12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Nombre único; precio y velocidad positivos.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clientes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Ficha del cliente y estado del servicio.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HU-03, HU-04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RUT único con formato validado; estado activo o cortado; guarda quién y cuándo cambió el estado.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visitas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Visitas técnicas solicitadas, confirmadas o realizadas.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HU-07, HU-08, HU-09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Código visible VT-00001 a partir de un número autoincremental; el fin es posterior al inicio; confirmar exige técnico; un técnico no puede tener dos visitas confirmadas que se crucen.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boletas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Cobro mensual por cliente.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HU-13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Una boleta por cliente y mes; monto positivo; estado pendiente, pagada o vencida.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pagos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Intentos de pago con Mercado Pago.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HU-14, HU-15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Referencia externa y id de pago de Mercado Pago únicos; solo un pago aprobado por boleta; el monto sale de la boleta.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eventos_mercadopago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Registro de cada aviso recibido de la pasarela.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HU-15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x-request-id único para no reprocesar; guarda el cuerpo y si la firma fue válida.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auditoria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Quién hizo qué y cuándo.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RNF-15</w:t>
            </w:r>
          </w:p>
        </w:tc>
        <w:tc>
          <w:tcPr>
            <w:tcW w:type="dxa" w:w="44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6"/>
                <w:szCs w:val="16"/>
              </w:rPr>
              <w:t xml:space="preserve">Usuario, acción, entidad, detalle en JSON e IP.</w:t>
            </w:r>
          </w:p>
        </w:tc>
      </w:tr>
    </w:tbl>
    <w:p>
      <w:pPr>
        <w:pStyle w:val="Heading2"/>
        <w:keepNext/>
      </w:pPr>
      <w:r>
        <w:t xml:space="preserve">15.2 Reglas de integridad aplicadas en la base de datos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Exclusión de cruces de horario.</w:t>
      </w:r>
      <w:r>
        <w:rPr>
          <w:sz w:val="21"/>
          <w:szCs w:val="21"/>
        </w:rPr>
        <w:t xml:space="preserve"> La restricción visitas_sin_cruce (extensión btree_gist) impide que un técnico tenga dos visitas confirmadas con rangos que se superpongan. La prueba de inserción de dos visitas cruzadas fue rechazada por la base.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Un solo pago aprobado por boleta.</w:t>
      </w:r>
      <w:r>
        <w:rPr>
          <w:sz w:val="21"/>
          <w:szCs w:val="21"/>
        </w:rPr>
        <w:t xml:space="preserve"> Índice único parcial sobre pagos(boleta_id) donde estado es aprobado.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Idempotencia.</w:t>
      </w:r>
      <w:r>
        <w:rPr>
          <w:sz w:val="21"/>
          <w:szCs w:val="21"/>
        </w:rPr>
        <w:t xml:space="preserve"> pagos.mp_pago_id y eventos_mercadopago.id_solicitud son únicos.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Formato del RUT.</w:t>
      </w:r>
      <w:r>
        <w:rPr>
          <w:sz w:val="21"/>
          <w:szCs w:val="21"/>
        </w:rPr>
        <w:t xml:space="preserve"> Restricción CHECK con la expresión del formato sin puntos y con guion; el dígito verificador se valida en la aplicación (módulo 11).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Coherencia de estados.</w:t>
      </w:r>
      <w:r>
        <w:rPr>
          <w:sz w:val="21"/>
          <w:szCs w:val="21"/>
        </w:rPr>
        <w:t xml:space="preserve"> Una visita confirmada o realizada exige técnico asignado.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  <w:sz w:val="21"/>
          <w:szCs w:val="21"/>
        </w:rPr>
        <w:t xml:space="preserve">Actualización de fechas.</w:t>
      </w:r>
      <w:r>
        <w:rPr>
          <w:sz w:val="21"/>
          <w:szCs w:val="21"/>
        </w:rPr>
        <w:t xml:space="preserve"> Un disparador mantiene actualizado_en en las tablas que se modifican.</w:t>
      </w:r>
    </w:p>
    <w:p>
      <w:pPr>
        <w:pStyle w:val="Heading2"/>
        <w:keepNext/>
      </w:pPr>
      <w:r>
        <w:t xml:space="preserve">15.3 Trazabilidad con las historias del producto mínimo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336"/>
      </w:tblGrid>
      <w:tr>
        <w:trPr>
          <w:cantSplit/>
          <w:tblHeader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Tablas que usa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HU-01 Iniciar sesión según rol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usuarios, auditoria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HU-03 Registrar cliente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clientes, planes, auditoria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HU-04 Consultar ficha y estado del servicio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clientes, planes, visitas, pagos, usuarios, auditoria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HU-07 Solicitar visita técnica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visitas, clientes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HU-08 Ver calendario técnico semanal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visitas, usuarios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HU-09 Asignar técnico y confirmar visita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visitas, usuarios, auditoria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HU-12 Ver estado del plan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clientes, planes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HU-13 Ver boleta pendiente y vencimiento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boletas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HU-14 Pagar con Mercado Pago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boletas, pagos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HU-15 Confirmar pagos por notificación verificada</w:t>
            </w:r>
          </w:p>
        </w:tc>
        <w:tc>
          <w:tcPr>
            <w:tcW w:type="dxa" w:w="5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pagos, boletas, eventos_mercadopago, auditoria</w:t>
            </w:r>
          </w:p>
        </w:tc>
      </w:tr>
    </w:tbl>
    <w:p>
      <w:pPr>
        <w:spacing w:after="120" w:before="80" w:line="276"/>
      </w:pPr>
      <w:r>
        <w:rPr>
          <w:i/>
          <w:iCs/>
          <w:sz w:val="19"/>
          <w:szCs w:val="19"/>
        </w:rPr>
        <w:t xml:space="preserve">El script completo está en server/db/001_schema.sql y debe adjuntarse a la entrega junto con este documento. El diagrama entidad-relación (Figura 1) está en la página siguiente.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200" w:right="1152" w:bottom="1100" w:left="1152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t xml:space="preserve">15.4 Diagrama entidad-relación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8096250" cy="5534025"/>
            <wp:effectExtent t="0" r="0" b="0" l="0"/>
            <wp:docPr id="1" name="05_er.png" descr="Figura 1. Modelo entidad-relación" title="Figura 1. Modelo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1. Modelo entidad-relación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200" w:right="1152" w:bottom="1100" w:left="1152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16. Diagramas</w:t>
      </w:r>
    </w:p>
    <w:p>
      <w:pPr>
        <w:pStyle w:val="Heading2"/>
        <w:keepNext/>
      </w:pPr>
      <w:r>
        <w:t xml:space="preserve">16.1 Diagrama de casos de uso</w:t>
      </w:r>
    </w:p>
    <w:p>
      <w:pPr>
        <w:spacing w:after="120" w:before="0" w:line="276"/>
      </w:pPr>
      <w:r>
        <w:rPr>
          <w:sz w:val="21"/>
          <w:szCs w:val="21"/>
        </w:rPr>
        <w:t xml:space="preserve">Actores: administrador, técnico, cliente y Mercado Pago (sistema externo). Cada caso de uso de negocio lleva el código de su historia. Los casos con «include» y «extend» muestran pasos internos relevantes: crear la preferencia de pago, consultar el pago a la API y validar el cruce de horario.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143500" cy="4600575"/>
            <wp:effectExtent t="0" r="0" b="0" l="0"/>
            <wp:docPr id="1" name="01_casos_de_uso.png" descr="Figura 2. Casos de uso del producto mínimo" title="Figura 2. Casos de uso del producto míni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2. Casos de uso del producto mínimo</w:t>
      </w:r>
    </w:p>
    <w:p>
      <w:pPr>
        <w:pStyle w:val="Heading2"/>
        <w:keepNext/>
      </w:pPr>
      <w:r>
        <w:t xml:space="preserve">16.2 Diagrama de componentes</w:t>
      </w:r>
    </w:p>
    <w:p>
      <w:pPr>
        <w:spacing w:after="120" w:before="0" w:line="276"/>
      </w:pPr>
      <w:r>
        <w:rPr>
          <w:sz w:val="21"/>
          <w:szCs w:val="21"/>
        </w:rPr>
        <w:t xml:space="preserve">Muestra el cliente web, la API con sus middlewares y módulos, la base de datos y la pasarela de pagos. La API recibe el aviso de Mercado Pago y consulta su API; el cliente web solo habla con la API.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476750" cy="5276850"/>
            <wp:effectExtent t="0" r="0" b="0" l="0"/>
            <wp:docPr id="1" name="02_componentes.png" descr="Figura 3. Componentes del sistema" title="Figura 3. Componentes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3. Componentes del sistema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200" w:right="1152" w:bottom="1100" w:left="1152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t xml:space="preserve">16.3 Diagrama de clases</w:t>
      </w:r>
    </w:p>
    <w:p>
      <w:pPr>
        <w:spacing w:after="60" w:before="0" w:line="276"/>
      </w:pPr>
      <w:r>
        <w:rPr>
          <w:sz w:val="19"/>
          <w:szCs w:val="19"/>
        </w:rPr>
        <w:t xml:space="preserve">Representa el modelo de dominio y sus relaciones. Es un diagrama conceptual: en el código, el comportamiento de estas clases vive en los servicios de cada módulo como funciones, no como clases con estado. Las entidades coinciden con las tablas de la sección 15.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7620000" cy="5381625"/>
            <wp:effectExtent t="0" r="0" b="0" l="0"/>
            <wp:docPr id="1" name="03_clases.png" descr="Figura 4. Modelo de dominio" title="Figura 4. Modelo de domi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4. Modelo de dominio</w:t>
      </w:r>
    </w:p>
    <w:p>
      <w:pPr>
        <w:sectPr>
          <w:headerReference w:type="default" r:id="rId13"/>
          <w:footerReference w:type="default" r:id="rId14"/>
          <w:pgSz w:w="15840" w:h="12240" w:orient="landscape"/>
          <w:pgMar w:top="1200" w:right="1152" w:bottom="1100" w:left="1152" w:header="708" w:footer="708" w:gutter="0"/>
          <w:pgNumType/>
          <w:docGrid w:linePitch="360"/>
        </w:sectPr>
      </w:pPr>
    </w:p>
    <w:p>
      <w:pPr>
        <w:pStyle w:val="Heading2"/>
        <w:keepNext/>
      </w:pPr>
      <w:r>
        <w:t xml:space="preserve">16.4 Diagrama de despliegue</w:t>
      </w:r>
    </w:p>
    <w:p>
      <w:pPr>
        <w:spacing w:after="120" w:before="0" w:line="276"/>
      </w:pPr>
      <w:r>
        <w:rPr>
          <w:sz w:val="21"/>
          <w:szCs w:val="21"/>
        </w:rPr>
        <w:t xml:space="preserve">Un servidor con Docker Compose aloja tres contenedores. El navegador accede por HTTPS al proxy; Mercado Pago llama al webhook de la misma entrada. La base de datos no es accesible desde fuera.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3495675"/>
            <wp:effectExtent t="0" r="0" b="0" l="0"/>
            <wp:docPr id="1" name="04_despliegue.png" descr="Figura 5. Despliegue" title="Figura 5.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5. Despliegue</w:t>
      </w:r>
    </w:p>
    <w:p>
      <w:pPr>
        <w:pStyle w:val="Heading1"/>
        <w:keepNext/>
        <w:pageBreakBefore/>
      </w:pPr>
      <w:r>
        <w:t xml:space="preserve">17. Software programado: evidencia</w:t>
      </w:r>
    </w:p>
    <w:p>
      <w:pPr>
        <w:spacing w:after="120" w:before="0" w:line="276"/>
      </w:pPr>
      <w:r>
        <w:rPr>
          <w:sz w:val="21"/>
          <w:szCs w:val="21"/>
        </w:rPr>
        <w:t xml:space="preserve">El código está en el repositorio del proyecto (carpetas server y client) y se entrega con un video de demostración de unos 80 segundos (docs/demo_conexsur.mp4). Lo construido corresponde al Ciclo 1 del documento de gestión: las historias HU-01, 03, 04, 07, 08 y 09, y HU-12 y 13 en modo lectura. Las tarjetas correspondientes están en Pruebas (QA), a la espera de la revisión cruzada entre los integrantes.</w:t>
      </w:r>
    </w:p>
    <w:p>
      <w:pPr>
        <w:pStyle w:val="Heading2"/>
        <w:keepNext/>
      </w:pPr>
      <w:r>
        <w:t xml:space="preserve">17.1 Qué funciona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2536"/>
      </w:tblGrid>
      <w:tr>
        <w:trPr>
          <w:cantSplit/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Alcance entregado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2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HU-01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Inicio y cierre de sesión por rol (administrador, técnico y cliente), protección de rutas en servidor y cliente, bloqueo por intentos fallidos.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7 pruebas automáticas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HU-03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Registro de clientes con validación del RUT (módulo 11), detección de duplicados y selección de plan.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Pruebas automáticas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HU-04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Listado, ficha del cliente con plan, visitas y pagos, y cambio de estado del servicio con registro de quién y cuándo.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Pruebas automáticas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HU-07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El cliente agenda una visita en 2 pasos desde el portal móvil: ve solo las franjas libres (lunes a sábado, de 09:00 a 17:00, con colación) y recibe un código VT-00001. La reserva usa un bloqueo para que dos clientes no tomen la última franja a la vez.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11 pruebas automáticas de visitas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HU-08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Calendario semanal: grilla por día y hora en escritorio y agenda por día en teléfono, con filtro por técnico. El técnico solo ve sus visitas.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 automática de permisos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HU-09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El administrador ve las solicitudes por confirmar, asigna un técnico y confirma. La base rechaza dos visitas confirmadas que se crucen para el mismo técnico (error 409 en la API).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 automática del cruce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HU-12 y HU-13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Inicio del portal con plan, velocidad, estado del servicio y alerta cuando la boleta vence en 5 días o menos; pantalla de pagos con boleta pendiente e historial. El botón Pagar está deshabilitado hasta el Ciclo 2.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Prueba automática del portal y prueba en navegador.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Base técnica</w:t>
            </w:r>
          </w:p>
        </w:tc>
        <w:tc>
          <w:tcPr>
            <w:tcW w:type="dxa" w:w="6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Esquema de base de datos, migraciones, datos de demostración, Docker Compose, validación de configuración y patrón de módulos.</w:t>
            </w:r>
          </w:p>
        </w:tc>
        <w:tc>
          <w:tcPr>
            <w:tcW w:type="dxa" w:w="2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0"/>
            </w:pPr>
            <w:r>
              <w:rPr>
                <w:sz w:val="17"/>
                <w:szCs w:val="17"/>
              </w:rPr>
              <w:t xml:space="preserve">Esquema aplicado en una base real.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sz w:val="21"/>
          <w:szCs w:val="21"/>
        </w:rPr>
        <w:t xml:space="preserve">Resultado de las pruebas automáticas del servidor: 27 pruebas, 27 aprobadas (npm test, sobre una base de datos real de pruebas). La prueba en navegador recorre el login, el alta de un cliente con RUT válido e inválido, la solicitud de una visita desde el teléfono, su confirmación por el administrador y la verificación de que un cliente no pueda abrir el panel de administración.</w:t>
      </w:r>
    </w:p>
    <w:p>
      <w:pPr>
        <w:pStyle w:val="Heading2"/>
        <w:keepNext/>
      </w:pPr>
      <w:r>
        <w:t xml:space="preserve">17.2 Qué falta</w:t>
      </w:r>
    </w:p>
    <w:p>
      <w:pPr>
        <w:spacing w:after="120" w:before="0" w:line="276"/>
      </w:pPr>
      <w:r>
        <w:rPr>
          <w:sz w:val="21"/>
          <w:szCs w:val="21"/>
        </w:rPr>
        <w:t xml:space="preserve">Quedan por construir el pago con Mercado Pago (HU-14 y HU-15, Ciclo 2) y el despliegue con la prueba de aceptación del cliente (HU-21, Ciclo 3), según el plan de la sección 12 del documento de gestión. También quedan ESLint y Prettier, los respaldos de la base de datos y la prueba de restauración. Docker Compose está escrito y su sintaxis validada, pero aún no se levantó en un servidor.</w:t>
      </w:r>
    </w:p>
    <w:p>
      <w:pPr>
        <w:pStyle w:val="Heading2"/>
        <w:keepNext/>
      </w:pPr>
      <w:r>
        <w:t xml:space="preserve">17.3 Capturas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../capturas/01_login.png" descr="Figura 6. Inicio de sesión" title="Figura 6.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6. Inicio de sesión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../capturas/02_resumen.png" descr="Figura 7. Resumen del administrador" title="Figura 7. Resumen del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7. Resumen del administrador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../capturas/06_calendario.png" descr="Figura 8. Calendario técnico semanal con solicitudes por confirmar" title="Figura 8. Calendario técnico semanal con solicitudes por confir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8. Calendario técnico semanal con solicitudes por confirmar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1809750" cy="3914775"/>
            <wp:effectExtent t="0" r="0" b="0" l="0"/>
            <wp:docPr id="1" name="08_portal_inicio.png" descr="Figura 9. Portal del cliente en el teléfono: inicio, agendar una visita (paso 2) y pagos" title="Figura 9. Portal del cliente en el teléfono: inicio, agendar una visita (paso 2) y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09750" cy="3914775"/>
            <wp:effectExtent t="0" r="0" b="0" l="0"/>
            <wp:docPr id="1" name="10_agendar_paso2.png" descr="Figura 9. Portal del cliente en el teléfono: inicio, agendar una visita (paso 2) y pagos" title="Figura 9. Portal del cliente en el teléfono: inicio, agendar una visita (paso 2) y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809750" cy="3914775"/>
            <wp:effectExtent t="0" r="0" b="0" l="0"/>
            <wp:docPr id="1" name="11_portal_pagos.png" descr="Figura 9. Portal del cliente en el teléfono: inicio, agendar una visita (paso 2) y pagos" title="Figura 9. Portal del cliente en el teléfono: inicio, agendar una visita (paso 2) y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i/>
          <w:iCs/>
          <w:color w:val="475569"/>
          <w:sz w:val="17"/>
          <w:szCs w:val="17"/>
        </w:rPr>
        <w:t xml:space="preserve">Figura 9. Portal del cliente en el teléfono: inicio, agendar una visita (paso 2) y pagos</w:t>
      </w:r>
    </w:p>
    <w:p>
      <w:pPr>
        <w:pStyle w:val="Heading2"/>
        <w:keepNext/>
      </w:pPr>
      <w:r>
        <w:t xml:space="preserve">17.4 Cómo ejecutar el sistema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6"/>
      </w:tblGrid>
      <w:tr>
        <w:trPr>
          <w:cantSplit/>
        </w:trPr>
        <w:tc>
          <w:tcPr>
            <w:tcW w:type="dxa" w:w="9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createdb conexsur &amp;&amp; cd server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cp .env.example .env        # completar DATABASE_URL y JWT_SECRETO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npm install &amp;&amp; npm run migrar &amp;&amp; npm run semilla &amp;&amp; npm run dev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npm test                    # 27 pruebas (usa la base conexsur_test)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cd ../client &amp;&amp; npm install &amp;&amp; npm run dev      # http://localhost:5173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Usuarios de demostración (clave Demo1234!):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admin@conexsur.cl · tecnico@conexsur.cl · cliente@conexsur.cl</w:t>
            </w:r>
          </w:p>
        </w:tc>
      </w:tr>
    </w:tbl>
    <w:p>
      <w:pPr>
        <w:spacing w:after="120" w:before="80" w:line="276"/>
      </w:pPr>
      <w:r>
        <w:rPr>
          <w:sz w:val="19"/>
          <w:szCs w:val="19"/>
        </w:rPr>
        <w:t xml:space="preserve">El paso a paso para instalar las herramientas, subir el código a GitHub y armar el tablero está en docs/GUIA_INICIO.md.</w:t>
      </w:r>
    </w:p>
    <w:sectPr>
      <w:headerReference w:type="default" r:id="rId15"/>
      <w:footerReference w:type="default" r:id="rId16"/>
      <w:pgSz w:w="12240" w:h="15840" w:orient="portrait"/>
      <w:pgMar w:top="1200" w:right="1152" w:bottom="11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Plataforma CONEXSUR · Evaluación 2 · Arquitectura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Plataforma CONEXSUR · Evaluación 2 · Arquitectura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Plataforma CONEXSUR · Evaluación 2 · Arquitectura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Plataforma CONEXSUR · Evaluación 2 · Arquitectura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Plataforma CONEXSUR · Evaluación 2 ·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294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C6F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B294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66cb8c4edb6eda43dde7d2fdfdbd186e857930ea.png"/><Relationship Id="rId18" Type="http://schemas.openxmlformats.org/officeDocument/2006/relationships/image" Target="media/a8aa4f6ff5ef2a38eb69cdd2a05379f8b2253451.png"/><Relationship Id="rId19" Type="http://schemas.openxmlformats.org/officeDocument/2006/relationships/image" Target="media/bcd5e7e238c186d11ec6648aa7bf10f7ba4f117d.png"/><Relationship Id="rId20" Type="http://schemas.openxmlformats.org/officeDocument/2006/relationships/image" Target="media/c66eda4281e9784056e7f59e9c11282de647be47.png"/><Relationship Id="rId21" Type="http://schemas.openxmlformats.org/officeDocument/2006/relationships/image" Target="media/b42923c8ce24764e59341b0adef884a13076aa82.png"/><Relationship Id="rId22" Type="http://schemas.openxmlformats.org/officeDocument/2006/relationships/image" Target="media/52b03efdb69fdf0aac0d16385f5bf7f625d166ba.png"/><Relationship Id="rId23" Type="http://schemas.openxmlformats.org/officeDocument/2006/relationships/image" Target="media/d07f5d1be5ea133aa75bd17fbf4ce2b17ce64eac.png"/><Relationship Id="rId24" Type="http://schemas.openxmlformats.org/officeDocument/2006/relationships/image" Target="media/5b009a1d56209dc1669ac6a60052106cb01eb672.png"/><Relationship Id="rId25" Type="http://schemas.openxmlformats.org/officeDocument/2006/relationships/image" Target="media/5dd6bf400a4c6d217ed802a3050a573e421f48af.png"/><Relationship Id="rId26" Type="http://schemas.openxmlformats.org/officeDocument/2006/relationships/image" Target="media/417d0538df1885dfbcef6e2ba65ca304af9a4b64.png"/><Relationship Id="rId27" Type="http://schemas.openxmlformats.org/officeDocument/2006/relationships/image" Target="media/0fc5367ce7408a22aa65244a50202a4d4fa124d9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2 — Plataforma CONEXSUR — Arquitectura</dc:title>
  <dc:creator>Renato Huaiquil, Tomás Galdames</dc:creator>
  <cp:lastModifiedBy>Un-named</cp:lastModifiedBy>
  <cp:revision>1</cp:revision>
  <dcterms:created xsi:type="dcterms:W3CDTF">2026-10-13T23:47:04.635Z</dcterms:created>
  <dcterms:modified xsi:type="dcterms:W3CDTF">2026-10-13T23:47:04.635Z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