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37B4/2026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edital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Contratação de empresa especializada para a prestação continuada de serviços funerários do benefício eventual Auxílio Funeral (urnas mortuárias, preparação e ornamentação do corpo, translados e demais itens), no valor estimado de R$ 1.541.432,67.</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Prefeitura Municipal de Maricá – Secretaria de Assistência Social e Cidadania (SMASC)</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nº 10/2026 – Processo Administrativo nº 23579/2025 (PNCP 29131075000193-1-000297/2026)</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menor preço global, modo de disputa aberto, sem registro de preços</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29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C9781E" w:space="0"/>
              <w:bottom w:val="nil"/>
              <w:right w:val="nil"/>
            </w:tcBorders>
            <w:shd w:val="clear" w:color="auto" w:fill="FBEEDD"/>
            <w:tcMar>
              <w:top w:w="170" w:type="dxa"/>
              <w:left w:w="170" w:type="dxa"/>
              <w:bottom w:w="170" w:type="dxa"/>
              <w:right w:w="170" w:type="dxa"/>
            </w:tcMar>
          </w:tcPr>
          <w:p>
            <w:pPr>
              <w:spacing w:before="0" w:after="0" w:line="264" w:lineRule="auto"/>
              <w:ind w:firstLine="0"/>
              <w:jc w:val="left"/>
            </w:pPr>
            <w:r>
              <w:rPr>
                <w:b/>
                <w:i w:val="0"/>
                <w:color w:val="C9781E"/>
                <w:sz w:val="15"/>
              </w:rPr>
              <w:t xml:space="preserve">SITUAÇÃO GERAL  </w:t>
            </w:r>
            <w:r>
              <w:rPr>
                <w:b/>
                <w:i w:val="0"/>
                <w:color w:val="C9781E"/>
                <w:sz w:val="21"/>
              </w:rPr>
              <w:t>Há ajustes recomendados, sem falha grave identificada.</w:t>
            </w:r>
          </w:p>
        </w:tc>
      </w:tr>
    </w:tbl>
    <w:p>
      <w:pPr>
        <w:spacing w:before="160" w:after="0" w:line="276" w:lineRule="auto"/>
        <w:ind w:firstLine="0"/>
        <w:jc w:val="left"/>
      </w:pPr>
      <w:r>
        <w:rPr>
          <w:b/>
          <w:i w:val="0"/>
          <w:color w:val="1F7A8C"/>
          <w:sz w:val="15"/>
        </w:rPr>
        <w:t xml:space="preserve">PARECER OPINATIVO  </w:t>
      </w:r>
      <w:r>
        <w:rPr>
          <w:b w:val="0"/>
          <w:i w:val="0"/>
          <w:color w:val="1E2A32"/>
          <w:sz w:val="18"/>
        </w:rPr>
        <w:t>As recomendações não vinculam o destinatário; a decisão final é sempre de quem recebe este parecer.</w:t>
      </w:r>
    </w:p>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3</w:t>
      </w:r>
    </w:p>
    <w:p>
      <w:pPr>
        <w:tabs>
          <w:tab w:pos="9071" w:val="right" w:leader="dot"/>
        </w:tabs>
        <w:spacing w:before="0" w:after="0" w:line="360" w:lineRule="auto"/>
        <w:ind w:firstLine="0" w:left="0"/>
        <w:jc w:val="left"/>
      </w:pPr>
      <w:r>
        <w:rPr>
          <w:b/>
          <w:i w:val="0"/>
          <w:sz w:val="22"/>
        </w:rPr>
        <w:t>2 RELATÓRIO</w:t>
      </w:r>
      <w:r>
        <w:rPr>
          <w:b/>
          <w:i w:val="0"/>
          <w:sz w:val="22"/>
        </w:rPr>
        <w:tab/>
        <w:t>7</w:t>
      </w:r>
    </w:p>
    <w:p>
      <w:pPr>
        <w:tabs>
          <w:tab w:pos="9071" w:val="right" w:leader="dot"/>
        </w:tabs>
        <w:spacing w:before="0" w:after="0" w:line="360" w:lineRule="auto"/>
        <w:ind w:firstLine="0" w:left="0"/>
        <w:jc w:val="left"/>
      </w:pPr>
      <w:r>
        <w:rPr>
          <w:b/>
          <w:i w:val="0"/>
          <w:sz w:val="22"/>
        </w:rPr>
        <w:t>3 FUNDAMENTAÇÃO</w:t>
      </w:r>
      <w:r>
        <w:rPr>
          <w:b/>
          <w:i w:val="0"/>
          <w:sz w:val="22"/>
        </w:rPr>
        <w:tab/>
        <w:t>8</w:t>
      </w:r>
    </w:p>
    <w:p>
      <w:pPr>
        <w:tabs>
          <w:tab w:pos="9071" w:val="right" w:leader="dot"/>
        </w:tabs>
        <w:spacing w:before="0" w:after="0" w:line="360" w:lineRule="auto"/>
        <w:ind w:firstLine="0" w:left="340"/>
        <w:jc w:val="left"/>
      </w:pPr>
      <w:r>
        <w:rPr>
          <w:b w:val="0"/>
          <w:i w:val="0"/>
          <w:sz w:val="21"/>
        </w:rPr>
        <w:t>3.1 Qualificação técnica proporcional</w:t>
      </w:r>
      <w:r>
        <w:rPr>
          <w:b w:val="0"/>
          <w:i w:val="0"/>
          <w:sz w:val="21"/>
        </w:rPr>
        <w:tab/>
        <w:t>8</w:t>
      </w:r>
    </w:p>
    <w:p>
      <w:pPr>
        <w:tabs>
          <w:tab w:pos="9071" w:val="right" w:leader="dot"/>
        </w:tabs>
        <w:spacing w:before="0" w:after="0" w:line="360" w:lineRule="auto"/>
        <w:ind w:firstLine="0" w:left="340"/>
        <w:jc w:val="left"/>
      </w:pPr>
      <w:r>
        <w:rPr>
          <w:b w:val="0"/>
          <w:i w:val="0"/>
          <w:sz w:val="21"/>
        </w:rPr>
        <w:t>3.2 Impugnação e esclarecimentos</w:t>
      </w:r>
      <w:r>
        <w:rPr>
          <w:b w:val="0"/>
          <w:i w:val="0"/>
          <w:sz w:val="21"/>
        </w:rPr>
        <w:tab/>
        <w:t>9</w:t>
      </w:r>
    </w:p>
    <w:p>
      <w:pPr>
        <w:tabs>
          <w:tab w:pos="9071" w:val="right" w:leader="dot"/>
        </w:tabs>
        <w:spacing w:before="0" w:after="0" w:line="360" w:lineRule="auto"/>
        <w:ind w:firstLine="0" w:left="340"/>
        <w:jc w:val="left"/>
      </w:pPr>
      <w:r>
        <w:rPr>
          <w:b w:val="0"/>
          <w:i w:val="0"/>
          <w:sz w:val="21"/>
        </w:rPr>
        <w:t>3.3 Minuta de contrato como anexo e cláusulas necessárias</w:t>
      </w:r>
      <w:r>
        <w:rPr>
          <w:b w:val="0"/>
          <w:i w:val="0"/>
          <w:sz w:val="21"/>
        </w:rPr>
        <w:tab/>
        <w:t>11</w:t>
      </w:r>
    </w:p>
    <w:p>
      <w:pPr>
        <w:tabs>
          <w:tab w:pos="9071" w:val="right" w:leader="dot"/>
        </w:tabs>
        <w:spacing w:before="0" w:after="0" w:line="360" w:lineRule="auto"/>
        <w:ind w:firstLine="0" w:left="340"/>
        <w:jc w:val="left"/>
      </w:pPr>
      <w:r>
        <w:rPr>
          <w:b w:val="0"/>
          <w:i w:val="0"/>
          <w:sz w:val="21"/>
        </w:rPr>
        <w:t>3.4 Coerência interna do edital e dos anexos</w:t>
      </w:r>
      <w:r>
        <w:rPr>
          <w:b w:val="0"/>
          <w:i w:val="0"/>
          <w:sz w:val="21"/>
        </w:rPr>
        <w:tab/>
        <w:t>12</w:t>
      </w:r>
    </w:p>
    <w:p>
      <w:pPr>
        <w:tabs>
          <w:tab w:pos="9071" w:val="right" w:leader="dot"/>
        </w:tabs>
        <w:spacing w:before="0" w:after="0" w:line="360" w:lineRule="auto"/>
        <w:ind w:firstLine="0" w:left="340"/>
        <w:jc w:val="left"/>
      </w:pPr>
      <w:r>
        <w:rPr>
          <w:b w:val="0"/>
          <w:i w:val="0"/>
          <w:sz w:val="21"/>
        </w:rPr>
        <w:t>3.5 TR datado após a divulgação do edital no PNCP</w:t>
      </w:r>
      <w:r>
        <w:rPr>
          <w:b w:val="0"/>
          <w:i w:val="0"/>
          <w:sz w:val="21"/>
        </w:rPr>
        <w:tab/>
        <w:t>13</w:t>
      </w:r>
    </w:p>
    <w:p>
      <w:pPr>
        <w:tabs>
          <w:tab w:pos="9071" w:val="right" w:leader="dot"/>
        </w:tabs>
        <w:spacing w:before="0" w:after="0" w:line="360" w:lineRule="auto"/>
        <w:ind w:firstLine="0" w:left="340"/>
        <w:jc w:val="left"/>
      </w:pPr>
      <w:r>
        <w:rPr>
          <w:b w:val="0"/>
          <w:i w:val="0"/>
          <w:sz w:val="21"/>
        </w:rPr>
        <w:t>3.6 Exigência de câmara fria própria, vedada estrutura de terceiros</w:t>
      </w:r>
      <w:r>
        <w:rPr>
          <w:b w:val="0"/>
          <w:i w:val="0"/>
          <w:sz w:val="21"/>
        </w:rPr>
        <w:tab/>
        <w:t>14</w:t>
      </w:r>
    </w:p>
    <w:p>
      <w:pPr>
        <w:tabs>
          <w:tab w:pos="9071" w:val="right" w:leader="dot"/>
        </w:tabs>
        <w:spacing w:before="0" w:after="0" w:line="360" w:lineRule="auto"/>
        <w:ind w:firstLine="0" w:left="340"/>
        <w:jc w:val="left"/>
      </w:pPr>
      <w:r>
        <w:rPr>
          <w:b w:val="0"/>
          <w:i w:val="0"/>
          <w:sz w:val="21"/>
        </w:rPr>
        <w:t>3.7 Julgamento por menor preço global de itens heterogêneos, sem preço unitário máximo</w:t>
      </w:r>
      <w:r>
        <w:rPr>
          <w:b w:val="0"/>
          <w:i w:val="0"/>
          <w:sz w:val="21"/>
        </w:rPr>
        <w:tab/>
        <w:t>16</w:t>
      </w:r>
    </w:p>
    <w:p>
      <w:pPr>
        <w:tabs>
          <w:tab w:pos="9071" w:val="right" w:leader="dot"/>
        </w:tabs>
        <w:spacing w:before="0" w:after="0" w:line="360" w:lineRule="auto"/>
        <w:ind w:firstLine="0" w:left="340"/>
        <w:jc w:val="left"/>
      </w:pPr>
      <w:r>
        <w:rPr>
          <w:b w:val="0"/>
          <w:i w:val="0"/>
          <w:sz w:val="21"/>
        </w:rPr>
        <w:t>3.8 Quantitativos estimados divergem da série histórica e da própria metodologia</w:t>
      </w:r>
      <w:r>
        <w:rPr>
          <w:b w:val="0"/>
          <w:i w:val="0"/>
          <w:sz w:val="21"/>
        </w:rPr>
        <w:tab/>
        <w:t>17</w:t>
      </w:r>
    </w:p>
    <w:p>
      <w:pPr>
        <w:tabs>
          <w:tab w:pos="9071" w:val="right" w:leader="dot"/>
        </w:tabs>
        <w:spacing w:before="0" w:after="0" w:line="360" w:lineRule="auto"/>
        <w:ind w:firstLine="0" w:left="340"/>
        <w:jc w:val="left"/>
      </w:pPr>
      <w:r>
        <w:rPr>
          <w:b w:val="0"/>
          <w:i w:val="0"/>
          <w:sz w:val="21"/>
        </w:rPr>
        <w:t>3.9 Resíduos de modelo e referências indevidas a garantia na minuta de contrato</w:t>
      </w:r>
      <w:r>
        <w:rPr>
          <w:b w:val="0"/>
          <w:i w:val="0"/>
          <w:sz w:val="21"/>
        </w:rPr>
        <w:tab/>
        <w:t>18</w:t>
      </w:r>
    </w:p>
    <w:p>
      <w:pPr>
        <w:tabs>
          <w:tab w:pos="9071" w:val="right" w:leader="dot"/>
        </w:tabs>
        <w:spacing w:before="0" w:after="0" w:line="360" w:lineRule="auto"/>
        <w:ind w:firstLine="0" w:left="340"/>
        <w:jc w:val="left"/>
      </w:pPr>
      <w:r>
        <w:rPr>
          <w:b w:val="0"/>
          <w:i w:val="0"/>
          <w:sz w:val="21"/>
        </w:rPr>
        <w:t>3.10 Índice de reajuste com data-base no orçamento</w:t>
      </w:r>
      <w:r>
        <w:rPr>
          <w:b w:val="0"/>
          <w:i w:val="0"/>
          <w:sz w:val="21"/>
        </w:rPr>
        <w:tab/>
        <w:t>19</w:t>
      </w:r>
    </w:p>
    <w:p>
      <w:pPr>
        <w:tabs>
          <w:tab w:pos="9071" w:val="right" w:leader="dot"/>
        </w:tabs>
        <w:spacing w:before="0" w:after="0" w:line="360" w:lineRule="auto"/>
        <w:ind w:firstLine="0" w:left="340"/>
        <w:jc w:val="left"/>
      </w:pPr>
      <w:r>
        <w:rPr>
          <w:b w:val="0"/>
          <w:i w:val="0"/>
          <w:sz w:val="21"/>
        </w:rPr>
        <w:t>3.11 Qualificação econômico-financeira</w:t>
      </w:r>
      <w:r>
        <w:rPr>
          <w:b w:val="0"/>
          <w:i w:val="0"/>
          <w:sz w:val="21"/>
        </w:rPr>
        <w:tab/>
        <w:t>20</w:t>
      </w:r>
    </w:p>
    <w:p>
      <w:pPr>
        <w:tabs>
          <w:tab w:pos="9071" w:val="right" w:leader="dot"/>
        </w:tabs>
        <w:spacing w:before="0" w:after="0" w:line="360" w:lineRule="auto"/>
        <w:ind w:firstLine="0" w:left="340"/>
        <w:jc w:val="left"/>
      </w:pPr>
      <w:r>
        <w:rPr>
          <w:b w:val="0"/>
          <w:i w:val="0"/>
          <w:sz w:val="21"/>
        </w:rPr>
        <w:t>3.12 Recursos administrativos</w:t>
      </w:r>
      <w:r>
        <w:rPr>
          <w:b w:val="0"/>
          <w:i w:val="0"/>
          <w:sz w:val="21"/>
        </w:rPr>
        <w:tab/>
        <w:t>21</w:t>
      </w:r>
    </w:p>
    <w:p>
      <w:pPr>
        <w:tabs>
          <w:tab w:pos="9071" w:val="right" w:leader="dot"/>
        </w:tabs>
        <w:spacing w:before="0" w:after="0" w:line="360" w:lineRule="auto"/>
        <w:ind w:firstLine="0" w:left="340"/>
        <w:jc w:val="left"/>
      </w:pPr>
      <w:r>
        <w:rPr>
          <w:b w:val="0"/>
          <w:i w:val="0"/>
          <w:sz w:val="21"/>
        </w:rPr>
        <w:t>3.13 Vigência e prorrogação de serviços contínuos</w:t>
      </w:r>
      <w:r>
        <w:rPr>
          <w:b w:val="0"/>
          <w:i w:val="0"/>
          <w:sz w:val="21"/>
        </w:rPr>
        <w:tab/>
        <w:t>22</w:t>
      </w:r>
    </w:p>
    <w:p>
      <w:pPr>
        <w:tabs>
          <w:tab w:pos="9071" w:val="right" w:leader="dot"/>
        </w:tabs>
        <w:spacing w:before="0" w:after="0" w:line="360" w:lineRule="auto"/>
        <w:ind w:firstLine="0" w:left="340"/>
        <w:jc w:val="left"/>
      </w:pPr>
      <w:r>
        <w:rPr>
          <w:b w:val="0"/>
          <w:i w:val="0"/>
          <w:sz w:val="21"/>
        </w:rPr>
        <w:t>3.14 Resíduos de modelo no edital e vedações de participação além das hipóteses legais</w:t>
      </w:r>
      <w:r>
        <w:rPr>
          <w:b w:val="0"/>
          <w:i w:val="0"/>
          <w:sz w:val="21"/>
        </w:rPr>
        <w:tab/>
        <w:t>24</w:t>
      </w:r>
    </w:p>
    <w:p>
      <w:pPr>
        <w:tabs>
          <w:tab w:pos="9071" w:val="right" w:leader="dot"/>
        </w:tabs>
        <w:spacing w:before="0" w:after="0" w:line="360" w:lineRule="auto"/>
        <w:ind w:firstLine="0" w:left="340"/>
        <w:jc w:val="left"/>
      </w:pPr>
      <w:r>
        <w:rPr>
          <w:b w:val="0"/>
          <w:i w:val="0"/>
          <w:sz w:val="21"/>
        </w:rPr>
        <w:t>3.15 Cronograma de desembolso uniforme incompatível com a execução sob demanda</w:t>
      </w:r>
      <w:r>
        <w:rPr>
          <w:b w:val="0"/>
          <w:i w:val="0"/>
          <w:sz w:val="21"/>
        </w:rPr>
        <w:tab/>
        <w:t>25</w:t>
      </w:r>
    </w:p>
    <w:p>
      <w:pPr>
        <w:tabs>
          <w:tab w:pos="9071" w:val="right" w:leader="dot"/>
        </w:tabs>
        <w:spacing w:before="0" w:after="0" w:line="360" w:lineRule="auto"/>
        <w:ind w:firstLine="0" w:left="0"/>
        <w:jc w:val="left"/>
      </w:pPr>
      <w:r>
        <w:rPr>
          <w:b/>
          <w:i w:val="0"/>
          <w:sz w:val="22"/>
        </w:rPr>
        <w:t>4 RECOMENDAÇÕES DE MELHORIA</w:t>
      </w:r>
      <w:r>
        <w:rPr>
          <w:b/>
          <w:i w:val="0"/>
          <w:sz w:val="22"/>
        </w:rPr>
        <w:tab/>
        <w:t>25</w:t>
      </w:r>
    </w:p>
    <w:p>
      <w:pPr>
        <w:tabs>
          <w:tab w:pos="9071" w:val="right" w:leader="dot"/>
        </w:tabs>
        <w:spacing w:before="0" w:after="0" w:line="360" w:lineRule="auto"/>
        <w:ind w:firstLine="0" w:left="0"/>
        <w:jc w:val="left"/>
      </w:pPr>
      <w:r>
        <w:rPr>
          <w:b/>
          <w:i w:val="0"/>
          <w:sz w:val="22"/>
        </w:rPr>
        <w:t>5 CONCLUSÃO</w:t>
      </w:r>
      <w:r>
        <w:rPr>
          <w:b/>
          <w:i w:val="0"/>
          <w:sz w:val="22"/>
        </w:rPr>
        <w:tab/>
        <w:t>26</w:t>
      </w:r>
    </w:p>
    <w:p>
      <w:pPr>
        <w:tabs>
          <w:tab w:pos="9071" w:val="right" w:leader="dot"/>
        </w:tabs>
        <w:spacing w:before="0" w:after="0" w:line="360" w:lineRule="auto"/>
        <w:ind w:firstLine="0" w:left="0"/>
        <w:jc w:val="left"/>
      </w:pPr>
      <w:r>
        <w:rPr>
          <w:b/>
          <w:i w:val="0"/>
          <w:sz w:val="22"/>
        </w:rPr>
        <w:t>REFERÊNCIAS</w:t>
      </w:r>
      <w:r>
        <w:rPr>
          <w:b/>
          <w:i w:val="0"/>
          <w:sz w:val="22"/>
        </w:rPr>
        <w:tab/>
        <w:t>30</w:t>
      </w:r>
    </w:p>
    <w:p>
      <w:pPr>
        <w:tabs>
          <w:tab w:pos="9071" w:val="right" w:leader="dot"/>
        </w:tabs>
        <w:spacing w:before="0" w:after="0" w:line="360" w:lineRule="auto"/>
        <w:ind w:firstLine="0" w:left="0"/>
        <w:jc w:val="left"/>
      </w:pPr>
      <w:r>
        <w:rPr>
          <w:b/>
          <w:i w:val="0"/>
          <w:sz w:val="22"/>
        </w:rPr>
        <w:t>APÊNDICE A – LISTA DE VERIFICAÇÃO</w:t>
      </w:r>
      <w:r>
        <w:rPr>
          <w:b/>
          <w:i w:val="0"/>
          <w:sz w:val="22"/>
        </w:rPr>
        <w:tab/>
        <w:t>31</w:t>
      </w:r>
    </w:p>
    <w:p>
      <w:pPr>
        <w:tabs>
          <w:tab w:pos="9071" w:val="right" w:leader="dot"/>
        </w:tabs>
        <w:spacing w:before="0" w:after="0" w:line="360" w:lineRule="auto"/>
        <w:ind w:firstLine="0" w:left="0"/>
        <w:jc w:val="left"/>
      </w:pPr>
      <w:r>
        <w:rPr>
          <w:b/>
          <w:i w:val="0"/>
          <w:sz w:val="22"/>
        </w:rPr>
        <w:t>APÊNDICE B – METODOLOGIA E LIMITES</w:t>
      </w:r>
      <w:r>
        <w:rPr>
          <w:b/>
          <w:i w:val="0"/>
          <w:sz w:val="22"/>
        </w:rPr>
        <w:tab/>
        <w:t>32</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0</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9</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6</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6</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Qualificação técnica proporcional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67,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Impugnação e esclarecimentos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164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Minuta de contrato como anexo e cláusulas necessárias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18, inciso VI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Coerência interna do edital e dos anexos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TR datado após a divulgação do edital no PNCP</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 § 3º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Exigência de câmara fria própria, vedada estrutura de terceiros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9, inciso I, alínea a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Julgamento por menor preço global de itens heterogêneos, sem preço unitário máximo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40, inciso V, alínea b</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Quantitativos estimados divergem da série histórica e da própria metodologia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18, § 1º, inciso IV</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Resíduos de modelo e referências indevidas a garantia na minuta de contrato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92</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Índice de reajuste com data-base no orçamento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 7º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Qualificação econômico-financeira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69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Recursos administrativos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165,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Vigência e prorrogação de serviços contínuos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106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Resíduos de modelo no edital e vedações de participação além das hipóteses legais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9, inciso I, alínea a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Cronograma de desembolso uniforme incompatível com a execução sob demanda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92</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37B4/2026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Prefeitura Municipal de Maricá – Secretaria de Assistência Social e Cidadania (SMASC)</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Contratação de empresa especializada para a prestação continuada de serviços funerários do benefício eventual Auxílio Funeral (urnas mortuárias, preparação e ornamentação do corpo, translados e demais itens), no valor estimado de R$ 1.541.432,67.</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Pregão Eletrônico nº 10/2026 – Processo Administrativo nº 23579/2025 (PNCP 29131075000193-1-000297/2026)</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PREGÃO ELETRÔNICO. SERVIÇOS FUNERÁRIOS. AUXÍLIO FUNERAL. MENOR PREÇO GLOBAL. QUALIFICAÇÃO TÉCNICA. PARCELAS DE MAIOR RELEVÂNCIA. IMPUGNAÇÃO E RECURSOS. MINUTA DE CONTRATO. COERÊNCIA INTERNA. REAJUSTE. SANÇÕES </w:t>
      </w:r>
      <w:r>
        <w:rPr>
          <w:b w:val="0"/>
          <w:i w:val="0"/>
          <w:sz w:val="20"/>
        </w:rPr>
        <w:t>O edital do Pregão Eletrônico 10/2026 de Maricá cobre, em geral, o conteúdo do art. 25: reajuste por IPCA com data-base no orçamento, prazo de propostas muito superior ao mínimo, habilitação econômica dentro dos limites e sanções dentro da faixa legal. Há falhas relevantes de coerência entre edital, TR e minuta, de definição das parcelas de maior relevância, de prazos de impugnação e recurso, e de preenchimento da minuta contratual. Há ainda exigência de estrutura própria de câmara fria potencialmente restritiva e quantitativos que divergem da memória de cálculo.</w:t>
      </w:r>
    </w:p>
    <w:p>
      <w:pPr>
        <w:spacing w:before="0" w:after="120" w:line="240" w:lineRule="auto"/>
        <w:ind w:firstLine="0"/>
        <w:jc w:val="both"/>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1F7A8C" w:space="0"/>
              <w:bottom w:val="nil"/>
              <w:right w:val="nil"/>
            </w:tcBorders>
            <w:shd w:val="clear" w:color="auto" w:fill="EEF4F6"/>
            <w:tcMar>
              <w:top w:w="170" w:type="dxa"/>
              <w:left w:w="170" w:type="dxa"/>
              <w:bottom w:w="170" w:type="dxa"/>
              <w:right w:w="170" w:type="dxa"/>
            </w:tcMar>
          </w:tcPr>
          <w:p>
            <w:pPr>
              <w:spacing w:before="0" w:after="80" w:line="264" w:lineRule="auto"/>
              <w:ind w:firstLine="0"/>
              <w:jc w:val="left"/>
            </w:pPr>
            <w:r>
              <w:rPr>
                <w:b/>
                <w:i w:val="0"/>
                <w:color w:val="1F7A8C"/>
                <w:sz w:val="18"/>
              </w:rPr>
              <w:t>NATUREZA OPINATIVA DESTE PARECER</w:t>
            </w:r>
          </w:p>
          <w:p>
            <w:pPr>
              <w:spacing w:before="0" w:after="80" w:line="276" w:lineRule="auto"/>
              <w:ind w:firstLine="0"/>
              <w:jc w:val="both"/>
            </w:pPr>
            <w:r>
              <w:rPr>
                <w:b w:val="0"/>
                <w:i w:val="0"/>
                <w:sz w:val="19"/>
              </w:rPr>
              <w:t>Este parecer técnico tem natureza exclusivamente opinativa. Ele expõe a análise de conformidade dos documentos examinados, aponta todos os aspectos identificados — dos críticos aos de baixa vulnerabilidade — e recomenda providências, mas não vincula quem o recebe.</w:t>
            </w:r>
          </w:p>
          <w:p>
            <w:pPr>
              <w:spacing w:before="0" w:after="80" w:line="276" w:lineRule="auto"/>
              <w:ind w:firstLine="0"/>
              <w:jc w:val="both"/>
            </w:pPr>
            <w:r>
              <w:rPr>
                <w:b w:val="0"/>
                <w:i w:val="0"/>
                <w:sz w:val="19"/>
              </w:rPr>
              <w:t>A decisão de adotar, total ou parcialmente, as recomendações, ou de manter o documento como está, é de competência e responsabilidade exclusivas do destinatário (o agente público, a autoridade competente ou o contratante), que deve ponderá-las com os demais elementos do processo.</w:t>
            </w:r>
          </w:p>
          <w:p>
            <w:pPr>
              <w:spacing w:before="0" w:after="80" w:line="276" w:lineRule="auto"/>
              <w:ind w:firstLine="0"/>
              <w:jc w:val="both"/>
            </w:pPr>
            <w:r>
              <w:rPr>
                <w:b w:val="0"/>
                <w:i w:val="0"/>
                <w:sz w:val="19"/>
              </w:rPr>
              <w:t>Fundamento: o Supremo Tribunal Federal distingue o parecer facultativo, o obrigatório e o vinculante; no parecer facultativo e no obrigatório não vinculante, a autoridade não fica adstrita à opinião emitida e responde pela decisão que tomar (STF, MS 24.631/DF, Plenário, rel. Min. Joaquim Barbosa, j. 9 ago. 2007). A distinção entre parecer vinculante e não vinculante também consta da Lei nº 9.784/1999 (art. 42, §§ 1º e 2º). A Lei de Introdução às Normas do Direito Brasileiro estabelece que o agente público responde pessoalmente por suas decisões ou opiniões técnicas em caso de dolo ou erro grosseiro (art. 28).</w:t>
            </w:r>
          </w:p>
          <w:p>
            <w:pPr>
              <w:spacing w:before="0" w:after="80" w:line="276" w:lineRule="auto"/>
              <w:ind w:firstLine="0"/>
              <w:jc w:val="both"/>
            </w:pPr>
            <w:r>
              <w:rPr>
                <w:b w:val="0"/>
                <w:i w:val="0"/>
                <w:sz w:val="19"/>
              </w:rPr>
              <w:t>Este parecer, contratado livremente e sem previsão legal que o torne obrigatório ou vinculante, não substitui o parecer jurídico de controle prévio de legalidade (art. 53 da Lei nº 14.133/2021) nem a manifestação dos órgãos de assessoramento e controle.</w:t>
            </w:r>
          </w:p>
        </w:tc>
      </w:tr>
    </w:tbl>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Pregão Eletrônico nº 10/2026 – Processo Administrativo nº 23579/2025 (PNCP 29131075000193-1-000297/2026), do Prefeitura Municipal de Maricá – Secretaria de Assistência Social e Cidadania (SMASC), cujo objeto é: Contratação de empresa especializada para a prestação continuada de serviços funerários do benefício eventual Auxílio Funeral (urnas mortuárias, preparação e ornamentação do corpo, translados e demais itens), no valor estimado de R$ 1.541.432,67.</w:t>
      </w:r>
    </w:p>
    <w:p>
      <w:pPr>
        <w:spacing w:before="0" w:after="120" w:line="360" w:lineRule="auto"/>
        <w:ind w:firstLine="709"/>
        <w:jc w:val="both"/>
      </w:pPr>
      <w:r>
        <w:rPr>
          <w:b w:val="0"/>
          <w:i w:val="0"/>
        </w:rPr>
        <w:t>Foram examinados os seguintes documentos: Edital e minutas (ata e contrato) (https://pncp.gov.br/app/editais/29131075000193/2026/297, 117 páginas). O exame teve por parâmetro a Lei 14.133/2021, aplicando-se o roteiro de verificação Licitacon (versão 2026-10-29), com 29 itens pertinentes ao caso.</w:t>
      </w:r>
    </w:p>
    <w:p>
      <w:pPr>
        <w:spacing w:before="0" w:after="120" w:line="360" w:lineRule="auto"/>
        <w:ind w:firstLine="709"/>
        <w:jc w:val="both"/>
      </w:pPr>
      <w:r>
        <w:rPr>
          <w:b w:val="0"/>
          <w:i w:val="0"/>
        </w:rPr>
        <w:t>Trata-se de pregão eletrônico, sem registro de preços, para serviços funerários do Auxílio Funeral, com estimativa de R$ 1.541.432,67, divulgado no PNCP em 07/07/2026 e com sessão marcada para 29/10/2026 às 10h (79º dia útil, muito acima do mínimo legal). O edital traz reajuste anual por IPCA com data-base no orçamento (08/05/2026), vedação de consórcio justificada no TR, tratamento favorecido a ME/EPP, habilitação econômico-financeira com ILG ≥ 1 e PL mínimo de 10% como alternativa, e sanções dentro dos limites do art. 156. As parcelas de maior relevância do TR (itens 5 a 8) respeitam o piso de 4% e o teto de 50% dos quantitativos, mas o edital as define de modo diferente e mais genérico. Os principais pontos de atenção são: (i) incoerências entre edital, TR e minuta (prazo e correção do pagamento, sanção por recusa em assinar, parcelas de maior relevância, exigência de estrutura técnica só no TR); (ii) prazos de resposta à impugnação e de decisão de recurso em desacordo com a lei; (iii) minuta de contrato não preenchida, com resíduos de modelo; (iv) exigência de câmara fria própria, vedada a estrutura de terceiros; (v) julgamento por menor preço global sem preço unitário máximo, com itens heterogêneos; (vi) quantitativos que divergem da memória de cálculo; (vii) TR datado de 30/09/2026, posterior à divulgação no PNCP. O parecer jurídico não consta do documento enviado.</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Qualificação técnica proporcional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item 13 (E.1) [página 26]; itens E.5.1 a E.5.3 [página 27]; TR 9.6.4 a 9.6.6 [páginas 73 a 75]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(9.6.5) aplica corretamente os parâmetros do art. 67. Escolhe como parcelas de maior relevância os itens 5, 6, 7 e 8, todos acima de 4% do total estimado (R$ 61.657,31). Fixa 50% dos quantitativos, arredondados para baixo (120, 42, 12 e 174 unidades). O edital, porém, trata a matéria de modo diferente: o item E.1 exige quantitativo mínimo de 50% sem indicar a que parcelas se refere, e o item E.5.2 define as parcelas como "serviços funerários que envolvem, de forma integrada" remoção, preparação e logística, sem listar itens nem quantidades. Os quantitativos por item só constam do TR. Pelo item 22.4, prevalece o edital em caso de divergência. Além disso, E.1 exige "prazos compatíveis" nos atestados, e o TR (9.6.1) pede "complexidade tecnológica e operacional equivalente ou superior". A comprovação de unidade técnica e câmara fria (TR 9.6.6) integra a qualificação técnica segundo o TR, mas não consta da lista de habilitação do item 13(E) do edital.</w:t>
      </w:r>
    </w:p>
    <w:p>
      <w:pPr>
        <w:spacing w:before="0" w:after="120" w:line="360" w:lineRule="auto"/>
        <w:ind w:firstLine="709"/>
        <w:jc w:val="both"/>
      </w:pPr>
      <w:r>
        <w:rPr>
          <w:b w:val="0"/>
          <w:i w:val="0"/>
        </w:rPr>
        <w:t>O documento dispõe: “prestado o serviço, no quantitativo mínimo de 50% (cinquenta por cento), com características,” (Edital, item 13 (E.1) [página 26]; itens E.5.1 a E.5.3 [página 27]; TR 9.6.4 a 9.6.6 [páginas 73 a 75]).</w:t>
      </w:r>
    </w:p>
    <w:p>
      <w:pPr>
        <w:spacing w:before="0" w:after="80" w:line="360" w:lineRule="auto"/>
        <w:ind w:firstLine="709"/>
        <w:jc w:val="both"/>
      </w:pPr>
      <w:r>
        <w:rPr>
          <w:b/>
          <w:i w:val="0"/>
          <w:color w:val="12324A"/>
        </w:rPr>
        <w:t xml:space="preserve">Dispositivo aplicável. </w:t>
      </w:r>
      <w:r>
        <w:rPr>
          <w:b w:val="0"/>
          <w:i w:val="0"/>
        </w:rPr>
        <w:t>A matéria é disciplinada pelo art. 67, § 1º e pelo art. 67, § 2º, da Lei 14.133/2021, que assim dispõem:</w:t>
      </w:r>
    </w:p>
    <w:p>
      <w:pPr>
        <w:spacing w:before="80" w:after="200" w:line="240" w:lineRule="auto"/>
        <w:ind w:firstLine="0" w:left="2268"/>
        <w:jc w:val="both"/>
      </w:pPr>
      <w:r>
        <w:rPr>
          <w:b w:val="0"/>
          <w:i w:val="0"/>
          <w:sz w:val="20"/>
        </w:rPr>
        <w:t>A exigência de atestados será restrita às parcelas de maior relevância ou valor significativo do objeto da licitação, assim consideradas as que tenham valor individual igual ou superior a 4% (quatro por cento) do valor total estimado da contratação.</w:t>
      </w:r>
      <w:r>
        <w:rPr>
          <w:b w:val="0"/>
          <w:i w:val="0"/>
          <w:sz w:val="20"/>
        </w:rPr>
        <w:t xml:space="preserve"> (BRASIL, 2021, art. 67, § 1º)</w:t>
      </w:r>
    </w:p>
    <w:p>
      <w:pPr>
        <w:spacing w:before="80" w:after="200" w:line="240" w:lineRule="auto"/>
        <w:ind w:firstLine="0" w:left="2268"/>
        <w:jc w:val="both"/>
      </w:pPr>
      <w:r>
        <w:rPr>
          <w:b w:val="0"/>
          <w:i w:val="0"/>
          <w:sz w:val="20"/>
        </w:rPr>
        <w:t>Observado o disposto no caput e no § 1º deste artigo, será admitida a exigência de atestados com quantidades mínimas de até 50% (cinquenta por cento) das parcelas de que trata o referido parágrafo, vedadas limitações de tempo e de locais específicos relativas aos atestados.</w:t>
      </w:r>
      <w:r>
        <w:rPr>
          <w:b w:val="0"/>
          <w:i w:val="0"/>
          <w:sz w:val="20"/>
        </w:rPr>
        <w:t xml:space="preserve"> (BRASIL, 2021, art. 67, § 2º)</w:t>
      </w:r>
    </w:p>
    <w:p>
      <w:pPr>
        <w:spacing w:before="0" w:after="120" w:line="360" w:lineRule="auto"/>
        <w:ind w:firstLine="709"/>
        <w:jc w:val="both"/>
      </w:pPr>
      <w:r>
        <w:rPr>
          <w:b/>
          <w:i w:val="0"/>
          <w:color w:val="12324A"/>
        </w:rPr>
        <w:t xml:space="preserve">Análise. </w:t>
      </w:r>
      <w:r>
        <w:rPr>
          <w:b w:val="0"/>
          <w:i w:val="0"/>
        </w:rPr>
        <w:t>O art. 67, § 1º restringe os atestados às parcelas de maior relevância (≥ 4%), e o § 2º admite quantitativos de até 50% dessas parcelas, vedadas limitações de tempo e de locais. Um edital que fala em 50% "do serviço" em geral, ou em "prazos compatíveis", sem vincular o percentual às parcelas, pode ser lido como exigência sobre itens de menor valor (urnas, coroas, mantos) ou com limitação temporal. Além disso, a exigência de estrutura só no TR fica frágil diante da regra de prevalência do edital.</w:t>
      </w:r>
    </w:p>
    <w:p>
      <w:pPr>
        <w:spacing w:before="0" w:after="120" w:line="360" w:lineRule="auto"/>
        <w:ind w:firstLine="709"/>
        <w:jc w:val="both"/>
      </w:pPr>
      <w:r>
        <w:rPr>
          <w:b/>
          <w:i w:val="0"/>
          <w:color w:val="C9781E"/>
        </w:rPr>
        <w:t xml:space="preserve">Risco de manutenção. </w:t>
      </w:r>
      <w:r>
        <w:rPr>
          <w:b w:val="0"/>
          <w:i w:val="0"/>
        </w:rPr>
        <w:t>Impugnações por excesso ou imprecisão da exigência. Inabilitações discutíveis por ambiguidade entre o edital e o TR. Eventual alegação de limitação temporal nos atestados.</w:t>
      </w:r>
    </w:p>
    <w:p>
      <w:pPr>
        <w:spacing w:before="0" w:after="120" w:line="360" w:lineRule="auto"/>
        <w:ind w:firstLine="709"/>
        <w:jc w:val="both"/>
      </w:pPr>
      <w:r>
        <w:rPr>
          <w:b/>
          <w:i w:val="0"/>
          <w:color w:val="12324A"/>
        </w:rPr>
        <w:t xml:space="preserve">Providência recomendada. </w:t>
      </w:r>
      <w:r>
        <w:rPr>
          <w:b w:val="0"/>
          <w:i w:val="0"/>
        </w:rPr>
        <w:t>Reproduzir no edital a lista de parcelas de maior relevância e os quantitativos mínimos do TR 9.6.5.3. Remover a referência a "prazos compatíveis" ou esclarecer que não há exigência de tempo mínimo. Delimitar de forma objetiva o que é "complexidade equivalente". Incluir no item 13(E) a exigência de comprovação das instalações, se mantida (ver apontamento sobre a câmara fria).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Para fins de qualificação técnico-operacional, serão exigidos atestados que comprovem a execução anterior de, no mínimo: Item 5 (translado municipal até 120 km) – 120 unidades; Item 6 (translado intermunicipal até 120 km) – 42 unidades; Item 7 (translado intermunicipal até 500 km) – 12 unidades; Item 8 (serviços fúnebres: ornamentação, higienização e preparo) – 174 unidades, admitido o somatório de atestados e vedada qualquer exigência de tempo mínimo ou de local específico de execução.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É irregular a exigência, para fins de qualificação técnico-operacional, de comprovação de aptidão para execução de serviços similares ou de complexidade equivalente à do objeto licitado (art. 67, inciso II, da Lei 14.133/2021) sem delimitação, de modo claro e verificável, das características mínimas e suficientes para o atendimento da exigência, por facultar avaliações discricionárias incompatíveis com os princípios da motivação e do julgamento objetivo (art. 5º da mencionada lei).</w:t>
      </w:r>
      <w:r>
        <w:rPr>
          <w:b w:val="0"/>
          <w:i w:val="0"/>
          <w:sz w:val="20"/>
        </w:rPr>
        <w:t xml:space="preserve"> (TCU, Acórdão 1742/2026-Plenário)</w:t>
      </w:r>
      <w:r>
        <w:rPr>
          <w:b w:val="0"/>
          <w:i w:val="0"/>
          <w:sz w:val="20"/>
        </w:rPr>
        <w:t xml:space="preserve"> </w:t>
      </w:r>
      <w:hyperlink r:id="rId12">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3.2 Impugnação e esclarecimentos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itens 1.8 a 1.8.3 [página 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Os pedidos de esclarecimento e as impugnações observam o prazo de 3 dias úteis antes da abertura (1.7 e 1.8), e a resposta a esclarecimentos respeita o limite do último dia útil anterior à abertura (1.7.1). Para impugnações, porém, o item 1.8.1 fixa 3 dias úteis a contar do recebimento, sem o limite do último dia útil anterior à abertura e sem prever divulgação da resposta em sítio oficial. O item 1.8.2 atribui efeito suspensivo à impugnação até a decisão final, regra que a lei não prevê e que gera insegurança sobre a data da sessão. O pedido é feito apenas por e-mail.</w:t>
      </w:r>
    </w:p>
    <w:p>
      <w:pPr>
        <w:spacing w:before="0" w:after="120" w:line="360" w:lineRule="auto"/>
        <w:ind w:firstLine="709"/>
        <w:jc w:val="both"/>
      </w:pPr>
      <w:r>
        <w:rPr>
          <w:b w:val="0"/>
          <w:i w:val="0"/>
        </w:rPr>
        <w:t>O documento dispõe: “decidir sobre a impugnação no prazo de 3 (três) dias úteis, contado da data de recebimento da” (Edital, itens 1.8 a 1.8.3 [página 3]).</w:t>
      </w:r>
    </w:p>
    <w:p>
      <w:pPr>
        <w:spacing w:before="0" w:after="80" w:line="360" w:lineRule="auto"/>
        <w:ind w:firstLine="709"/>
        <w:jc w:val="both"/>
      </w:pPr>
      <w:r>
        <w:rPr>
          <w:b/>
          <w:i w:val="0"/>
          <w:color w:val="12324A"/>
        </w:rPr>
        <w:t xml:space="preserve">Dispositivo aplicável. </w:t>
      </w:r>
      <w:r>
        <w:rPr>
          <w:b w:val="0"/>
          <w:i w:val="0"/>
        </w:rPr>
        <w:t>A matéria é disciplinada pelo art. 164 e pelo art. 164, Parágrafo único, da Lei 14.133/2021, que assim dispõem:</w:t>
      </w:r>
    </w:p>
    <w:p>
      <w:pPr>
        <w:spacing w:before="80" w:after="200" w:line="240" w:lineRule="auto"/>
        <w:ind w:firstLine="0" w:left="2268"/>
        <w:jc w:val="both"/>
      </w:pPr>
      <w:r>
        <w:rPr>
          <w:b w:val="0"/>
          <w:i w:val="0"/>
          <w:sz w:val="20"/>
        </w:rPr>
        <w:t>Qualquer pessoa é parte legítima para impugnar edital de licitação por irregularidade na aplicação desta Lei ou para solicitar esclarecimento sobre os seus termos, devendo protocolar o pedido até 3 (três) dias úteis antes da data de abertura do certame.</w:t>
      </w:r>
      <w:r>
        <w:rPr>
          <w:b w:val="0"/>
          <w:i w:val="0"/>
          <w:sz w:val="20"/>
        </w:rPr>
        <w:t xml:space="preserve"> (BRASIL, 2021, art. 164)</w:t>
      </w:r>
    </w:p>
    <w:p>
      <w:pPr>
        <w:spacing w:before="80" w:after="200" w:line="240" w:lineRule="auto"/>
        <w:ind w:firstLine="0" w:left="2268"/>
        <w:jc w:val="both"/>
      </w:pPr>
      <w:r>
        <w:rPr>
          <w:b w:val="0"/>
          <w:i w:val="0"/>
          <w:sz w:val="20"/>
        </w:rPr>
        <w:t>A resposta à impugnação ou ao pedido de esclarecimento será divulgada em sítio eletrônico oficial no prazo de até 3 (três) dias úteis, limitado ao último dia útil anterior à data da abertura do certame.</w:t>
      </w:r>
      <w:r>
        <w:rPr>
          <w:b w:val="0"/>
          <w:i w:val="0"/>
          <w:sz w:val="20"/>
        </w:rPr>
        <w:t xml:space="preserve"> (BRASIL, 2021, art. 164, Parágrafo único)</w:t>
      </w:r>
    </w:p>
    <w:p>
      <w:pPr>
        <w:spacing w:before="0" w:after="120" w:line="360" w:lineRule="auto"/>
        <w:ind w:firstLine="709"/>
        <w:jc w:val="both"/>
      </w:pPr>
      <w:r>
        <w:rPr>
          <w:b/>
          <w:i w:val="0"/>
          <w:color w:val="12324A"/>
        </w:rPr>
        <w:t xml:space="preserve">Análise. </w:t>
      </w:r>
      <w:r>
        <w:rPr>
          <w:b w:val="0"/>
          <w:i w:val="0"/>
        </w:rPr>
        <w:t>O parágrafo único do art. 164 exige que a resposta seja divulgada em sítio eletrônico oficial em até 3 dias úteis, limitado ao último dia útil anterior à abertura. Prazos ou formas divergentes cerceiam o direito de impugnar e a ciência dos demais licitantes.</w:t>
      </w:r>
    </w:p>
    <w:p>
      <w:pPr>
        <w:spacing w:before="0" w:after="120" w:line="360" w:lineRule="auto"/>
        <w:ind w:firstLine="709"/>
        <w:jc w:val="both"/>
      </w:pPr>
      <w:r>
        <w:rPr>
          <w:b/>
          <w:i w:val="0"/>
          <w:color w:val="C9781E"/>
        </w:rPr>
        <w:t xml:space="preserve">Risco de manutenção. </w:t>
      </w:r>
      <w:r>
        <w:rPr>
          <w:b w:val="0"/>
          <w:i w:val="0"/>
        </w:rPr>
        <w:t>Resposta tardia, que inviabiliza o ajuste das propostas. Alegação de nulidade por falta de divulgação. Dúvida sobre a data da sessão em razão do efeito suspensivo.</w:t>
      </w:r>
    </w:p>
    <w:p>
      <w:pPr>
        <w:spacing w:before="0" w:after="120" w:line="360" w:lineRule="auto"/>
        <w:ind w:firstLine="709"/>
        <w:jc w:val="both"/>
      </w:pPr>
      <w:r>
        <w:rPr>
          <w:b/>
          <w:i w:val="0"/>
          <w:color w:val="12324A"/>
        </w:rPr>
        <w:t xml:space="preserve">Providência recomendada. </w:t>
      </w:r>
      <w:r>
        <w:rPr>
          <w:b w:val="0"/>
          <w:i w:val="0"/>
        </w:rPr>
        <w:t>Igualar o tratamento da impugnação ao dos esclarecimentos, com o limite do último dia útil anterior à abertura e a divulgação no sistema e no sítio oficial. Esclarecer o alcance do efeito suspensivo (ou excluí-lo). Admitir também o envio pelo sistema eletrônico.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1.8.1 – O pregoeiro decidirá sobre a impugnação em até 3 (três) dias úteis, limitado ao último dia útil anterior à data de abertura do certame, e divulgará a resposta no sistema eletrônico e no sítio oficial do órgão.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3.3 Minuta de contrato como anexo e cláusulas necessárias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Anexo XIII, Cláusulas Terceira, Quinta, Nona e Vigésima [páginas 101 a 116]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minuta é anexo do edital (Anexo XIII, item 17.2) e cobre legislação, objeto, pagamento, reajuste, prazo, obrigações, fiscalização, recebimento, sanções, recursos, extinção, dotação e foro. Porém, é um modelo genérico, não preenchido: valor, vigência, meses e índice do reajuste, dotação e anexos permanecem em branco, com referências a "Projeto Básico" e a "[serviços/fornecimento contínuo]". Não há cláusula expressa de regime de execução (o edital cita "empreitada por Preço Unitário" em 1.1, termo inadequado para serviços sob demanda). Não há cláusula de alocação de riscos, embora o edital use uma "matriz de risco" apenas para graduar multas. A Cláusula Terceira prevê despesa mensal fixa, incompatível com a execução sob demanda. A numeração das cláusulas é falha (salta da 17ª para a 19ª, "VISÉGIMA", inciso XVII seguido de XXII).</w:t>
      </w:r>
    </w:p>
    <w:p>
      <w:pPr>
        <w:spacing w:before="0" w:after="120" w:line="360" w:lineRule="auto"/>
        <w:ind w:firstLine="709"/>
        <w:jc w:val="both"/>
      </w:pPr>
      <w:r>
        <w:rPr>
          <w:b w:val="0"/>
          <w:i w:val="0"/>
        </w:rPr>
        <w:t>O documento dispõe: “CLÁUSULA TERCEIRA – VALOR” (Anexo XIII, Cláusulas Terceira, Quinta, Nona e Vigésima [páginas 101 a 116]).</w:t>
      </w:r>
    </w:p>
    <w:p>
      <w:pPr>
        <w:spacing w:before="0" w:after="80" w:line="360" w:lineRule="auto"/>
        <w:ind w:firstLine="709"/>
        <w:jc w:val="both"/>
      </w:pPr>
      <w:r>
        <w:rPr>
          <w:b/>
          <w:i w:val="0"/>
          <w:color w:val="12324A"/>
        </w:rPr>
        <w:t xml:space="preserve">Dispositivo aplicável. </w:t>
      </w:r>
      <w:r>
        <w:rPr>
          <w:b w:val="0"/>
          <w:i w:val="0"/>
        </w:rPr>
        <w:t>A matéria é disciplinada pelo art. 18, inciso VI e pelo art. 92, da Lei 14.133/2021, que assim dispõem:</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elaboração de minuta de contrato, quando necessária, que constará obrigatoriamente como anexo do edital de licitação;</w:t>
      </w:r>
      <w:r>
        <w:rPr>
          <w:b w:val="0"/>
          <w:i w:val="0"/>
          <w:sz w:val="20"/>
        </w:rPr>
        <w:t xml:space="preserve"> (BRASIL, 2021, art. 18, inciso VI)</w:t>
      </w:r>
    </w:p>
    <w:p>
      <w:pPr>
        <w:spacing w:before="80" w:after="200" w:line="240" w:lineRule="auto"/>
        <w:ind w:firstLine="0" w:left="2268"/>
        <w:jc w:val="both"/>
      </w:pPr>
      <w:r>
        <w:rPr>
          <w:b w:val="0"/>
          <w:i w:val="0"/>
          <w:sz w:val="20"/>
        </w:rPr>
        <w:t>São necessárias em todo contrato cláusulas que estabeleçam: […]</w:t>
      </w:r>
      <w:r>
        <w:rPr>
          <w:b w:val="0"/>
          <w:i w:val="0"/>
          <w:sz w:val="20"/>
        </w:rPr>
        <w:t xml:space="preserve"> (BRASIL, 2021, art. 92)</w:t>
      </w:r>
    </w:p>
    <w:p>
      <w:pPr>
        <w:spacing w:before="0" w:after="120" w:line="360" w:lineRule="auto"/>
        <w:ind w:firstLine="709"/>
        <w:jc w:val="both"/>
      </w:pPr>
      <w:r>
        <w:rPr>
          <w:b/>
          <w:i w:val="0"/>
          <w:color w:val="12324A"/>
        </w:rPr>
        <w:t xml:space="preserve">Análise. </w:t>
      </w:r>
      <w:r>
        <w:rPr>
          <w:b w:val="0"/>
          <w:i w:val="0"/>
        </w:rPr>
        <w:t>O art. 18, VI exige minuta de contrato anexa ao edital, e o art. 92 enumera as cláusulas necessárias (objeto, regime de execução, preço e pagamento, reajuste, prazos, crédito orçamentário, garantias, extinção, entre outras). Uma minuta incompleta e com resíduos de outros objetos dificulta a execução e a aplicação de sanções e reajustes.</w:t>
      </w:r>
    </w:p>
    <w:p>
      <w:pPr>
        <w:spacing w:before="0" w:after="120" w:line="360" w:lineRule="auto"/>
        <w:ind w:firstLine="709"/>
        <w:jc w:val="both"/>
      </w:pPr>
      <w:r>
        <w:rPr>
          <w:b/>
          <w:i w:val="0"/>
          <w:color w:val="C9781E"/>
        </w:rPr>
        <w:t xml:space="preserve">Risco de manutenção. </w:t>
      </w:r>
      <w:r>
        <w:rPr>
          <w:b w:val="0"/>
          <w:i w:val="0"/>
        </w:rPr>
        <w:t>Lacunas e contradições na execução, discussões sobre pagamento e vigência, e questionamento da minuta pelos licitantes.</w:t>
      </w:r>
    </w:p>
    <w:p>
      <w:pPr>
        <w:spacing w:before="0" w:after="120" w:line="360" w:lineRule="auto"/>
        <w:ind w:firstLine="709"/>
        <w:jc w:val="both"/>
      </w:pPr>
      <w:r>
        <w:rPr>
          <w:b/>
          <w:i w:val="0"/>
          <w:color w:val="12324A"/>
        </w:rPr>
        <w:t xml:space="preserve">Providência recomendada. </w:t>
      </w:r>
      <w:r>
        <w:rPr>
          <w:b w:val="0"/>
          <w:i w:val="0"/>
        </w:rPr>
        <w:t>Preencher tudo o que já é conhecido (objeto conforme o TR, regime e forma de execução, valor estimado e pagamento por serviço executado, vigência de 12 meses, reajuste, dotação). Depurar o texto de modelo, corrigir a numeração e os erros ("cwnto", "VISÉGIMA") e avaliar a inclusão de matriz de alocação de riscos.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CLÁUSULA TERCEIRA – VALOR: O valor global estimado do contrato é de R$ 1.541.432,67, sendo o pagamento devido somente pelos serviços efetivamente demandados, executados e aceitos, conforme os preços unitários da proposta vencedora.</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3.4 Coerência interna do edital e dos anexos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item 18.1 [página 32]; TR 8.2.2 e 8.3.1 [páginas 67 e 69]; edital 20.1 [página 34]; TR 14.1 [página 79]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Há incoerências entre as peças: (i) pagamento: o edital (18.1) prevê 30 dias do protocolo do documento de cobrança, enquanto o TR prevê 30 dias para liquidação (8.2.2) mais 30 dias para pagamento após a liquidação (8.3.1); (ii) correção por atraso: o edital usa a Selic limitada a 12% a.a. (18.5), e o TR usa o IPCA (8.3.2); (iii) sanção por recusa em assinar: edital 20.1 remete ao subitem "d" (impedimento), TR 14.1 ao subitem "a" (advertência); (iv) parcelas de maior relevância e exigência de estrutura técnica diferem entre edital e TR (ver ed-06); (v) dotação: edital 5.1 (códigos 3.3.90.39 e 3.3.90.32) e TR 13.2 (elementos 33903203, 33903953 e 33903967) divergem; (vi) o edital fala em "empreitada por Preço Unitário" com menor preço global; (vii) o Anexo II indica "Processo: 23579/2026" (os demais, 2025); o Anexo XI cita "Pregão Eletrônico n.º _____/2023" e o Anexo D do TR cita "_____/2025"; (viii) o item 22.6 informa 115 folhas, mas as folhas vão de 972 a 1088; (ix) numeração do item 12 salta de 12.10 para 12.12, e o 12.12.2 remete ao item 13.2 para procedimento de habilitação que ali não está.</w:t>
      </w:r>
    </w:p>
    <w:p>
      <w:pPr>
        <w:spacing w:before="0" w:after="120" w:line="360" w:lineRule="auto"/>
        <w:ind w:firstLine="709"/>
        <w:jc w:val="both"/>
      </w:pPr>
      <w:r>
        <w:rPr>
          <w:b w:val="0"/>
          <w:i w:val="0"/>
        </w:rPr>
        <w:t>O documento dispõe: “O prazo para pagamento será de 30 (trinta) dias, contados da data do protocolo” (Edital, item 18.1 [página 32]; TR 8.2.2 e 8.3.1 [páginas 67 e 69]; edital 20.1 [página 34]; TR 14.1 [página 79]).</w:t>
      </w:r>
    </w:p>
    <w:p>
      <w:pPr>
        <w:spacing w:before="0" w:after="80" w:line="360" w:lineRule="auto"/>
        <w:ind w:firstLine="709"/>
        <w:jc w:val="both"/>
      </w:pPr>
      <w:r>
        <w:rPr>
          <w:b/>
          <w:i w:val="0"/>
          <w:color w:val="12324A"/>
        </w:rPr>
        <w:t xml:space="preserve">Dispositivo aplicável. </w:t>
      </w:r>
      <w:r>
        <w:rPr>
          <w:b w:val="0"/>
          <w:i w:val="0"/>
        </w:rPr>
        <w:t>A matéria é disciplinada pelo art. 25 e pelo art. 18, inciso IX, da Lei 14.133/2021, que assim dispõem:</w:t>
      </w:r>
    </w:p>
    <w:p>
      <w:pPr>
        <w:spacing w:before="80" w:after="200" w:line="240" w:lineRule="auto"/>
        <w:ind w:firstLine="0" w:left="2268"/>
        <w:jc w:val="both"/>
      </w:pPr>
      <w:r>
        <w:rPr>
          <w:b w:val="0"/>
          <w:i w:val="0"/>
          <w:sz w:val="20"/>
        </w:rPr>
        <w:t>O edital deverá conter o objeto da licitação e as regras relativas à convocação, ao julgamento, à habilitação, aos recursos e às penalidades da licitação, à fiscalização e à gestão do contrato, à entrega do objeto e às condições de pagamento.</w:t>
      </w:r>
      <w:r>
        <w:rPr>
          <w:b w:val="0"/>
          <w:i w:val="0"/>
          <w:sz w:val="20"/>
        </w:rPr>
        <w:t xml:space="preserve"> (BRASIL, 2021, art. 25)</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Pr>
          <w:b w:val="0"/>
          <w:i w:val="0"/>
          <w:sz w:val="20"/>
        </w:rPr>
        <w:t xml:space="preserve"> (BRASIL, 2021, art. 18, inciso IX)</w:t>
      </w:r>
    </w:p>
    <w:p>
      <w:pPr>
        <w:spacing w:before="0" w:after="120" w:line="360" w:lineRule="auto"/>
        <w:ind w:firstLine="709"/>
        <w:jc w:val="both"/>
      </w:pPr>
      <w:r>
        <w:rPr>
          <w:b/>
          <w:i w:val="0"/>
          <w:color w:val="12324A"/>
        </w:rPr>
        <w:t xml:space="preserve">Análise. </w:t>
      </w:r>
      <w:r>
        <w:rPr>
          <w:b w:val="0"/>
          <w:i w:val="0"/>
        </w:rPr>
        <w:t>O art. 25 exige que o edital contenha de forma clara as regras de pagamento e penalidades, e o art. 18, IX exige motivação circunstanciada das condições do edital. Regras contraditórias geram dúvida sobre como competir, executar e pagar. O item 22.4 resolve a prevalência do edital, mas não elimina a insegurança nem os pedidos de esclarecimento.</w:t>
      </w:r>
    </w:p>
    <w:p>
      <w:pPr>
        <w:spacing w:before="0" w:after="120" w:line="360" w:lineRule="auto"/>
        <w:ind w:firstLine="709"/>
        <w:jc w:val="both"/>
      </w:pPr>
      <w:r>
        <w:rPr>
          <w:b/>
          <w:i w:val="0"/>
          <w:color w:val="C9781E"/>
        </w:rPr>
        <w:t xml:space="preserve">Risco de manutenção. </w:t>
      </w:r>
      <w:r>
        <w:rPr>
          <w:b w:val="0"/>
          <w:i w:val="0"/>
        </w:rPr>
        <w:t>Impugnações, pedidos de esclarecimento e disputas na execução sobre prazo e correção do pagamento e sobre a sanção aplicável.</w:t>
      </w:r>
    </w:p>
    <w:p>
      <w:pPr>
        <w:spacing w:before="0" w:after="120" w:line="360" w:lineRule="auto"/>
        <w:ind w:firstLine="709"/>
        <w:jc w:val="both"/>
      </w:pPr>
      <w:r>
        <w:rPr>
          <w:b/>
          <w:i w:val="0"/>
          <w:color w:val="12324A"/>
        </w:rPr>
        <w:t xml:space="preserve">Providência recomendada. </w:t>
      </w:r>
      <w:r>
        <w:rPr>
          <w:b w:val="0"/>
          <w:i w:val="0"/>
        </w:rPr>
        <w:t>Fazer uma revisão conjunta do edital, TR, minuta e anexos, com tabela única de prazo de pagamento, índice de correção, sanções, dotação e identificação do processo. Republicar o conjunto, se houver alteração relevante, reabrindo o prazo quando afetar as propostas (art. 55, § 1º).</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3.5 TR datado após a divulgação do edital no PNCP</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TR, encerramento [página 84]; edital, assinatura [página 41]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foi divulgado no PNCP em 07/07/2026, mas o Termo de Referência (Anexo III) está datado de 30/09/2026. A memória de cálculo e o cronograma de desembolso são de 01/07/2026, e o orçamento estimado é de 08/05/2026. A data do próprio edital está em branco ("____ de ___________ de _______"). Isso indica que o TR pode ter sido alterado ou substituído depois da publicação, sem registro de retificação.</w:t>
      </w:r>
    </w:p>
    <w:p>
      <w:pPr>
        <w:spacing w:before="0" w:after="120" w:line="360" w:lineRule="auto"/>
        <w:ind w:firstLine="709"/>
        <w:jc w:val="both"/>
      </w:pPr>
      <w:r>
        <w:rPr>
          <w:b w:val="0"/>
          <w:i w:val="0"/>
        </w:rPr>
        <w:t>O documento dispõe: “Maricá, 30 de setembro de 2026.” (TR, encerramento [página 84]; edital, assinatura [página 41]).</w:t>
      </w:r>
    </w:p>
    <w:p>
      <w:pPr>
        <w:spacing w:before="0" w:after="80" w:line="360" w:lineRule="auto"/>
        <w:ind w:firstLine="709"/>
        <w:jc w:val="both"/>
      </w:pPr>
      <w:r>
        <w:rPr>
          <w:b/>
          <w:i w:val="0"/>
          <w:color w:val="12324A"/>
        </w:rPr>
        <w:t xml:space="preserve">Dispositivo aplicável. </w:t>
      </w:r>
      <w:r>
        <w:rPr>
          <w:b w:val="0"/>
          <w:i w:val="0"/>
        </w:rPr>
        <w:t>A matéria é disciplinada pelo art. 25, § 3º e pelo art. 55, § 1º, da Lei 14.133/2021, que assim dispõem:</w:t>
      </w:r>
    </w:p>
    <w:p>
      <w:pPr>
        <w:spacing w:before="80" w:after="200" w:line="240" w:lineRule="auto"/>
        <w:ind w:firstLine="0" w:left="2268"/>
        <w:jc w:val="both"/>
      </w:pPr>
      <w:r>
        <w:rPr>
          <w:b w:val="0"/>
          <w:i w:val="0"/>
          <w:sz w:val="20"/>
        </w:rPr>
        <w:t>Todos os elementos do edital, incluídos minuta de contrato, termos de referência, anteprojeto, projetos e outros anexos, deverão ser divulgados em sítio eletrônico oficial na mesma data de divulgação do edital, sem necessidade de registro ou de identificação para acesso.</w:t>
      </w:r>
      <w:r>
        <w:rPr>
          <w:b w:val="0"/>
          <w:i w:val="0"/>
          <w:sz w:val="20"/>
        </w:rPr>
        <w:t xml:space="preserve"> (BRASIL, 2021, art. 25, § 3º)</w:t>
      </w:r>
    </w:p>
    <w:p>
      <w:pPr>
        <w:spacing w:before="80" w:after="200" w:line="240" w:lineRule="auto"/>
        <w:ind w:firstLine="0" w:left="2268"/>
        <w:jc w:val="both"/>
      </w:pPr>
      <w:r>
        <w:rPr>
          <w:b w:val="0"/>
          <w:i w:val="0"/>
          <w:sz w:val="20"/>
        </w:rPr>
        <w:t>Eventuais modificações no edital implicarão nova divulgação na mesma forma de sua divulgação inicial, além do cumprimento dos mesmos prazos dos atos e procedimentos originais, exceto quando a alteração não comprometer a formulação das propostas.</w:t>
      </w:r>
      <w:r>
        <w:rPr>
          <w:b w:val="0"/>
          <w:i w:val="0"/>
          <w:sz w:val="20"/>
        </w:rPr>
        <w:t xml:space="preserve"> (BRASIL, 2021, art. 55, § 1º)</w:t>
      </w:r>
    </w:p>
    <w:p>
      <w:pPr>
        <w:spacing w:before="0" w:after="120" w:line="360" w:lineRule="auto"/>
        <w:ind w:firstLine="709"/>
        <w:jc w:val="both"/>
      </w:pPr>
      <w:r>
        <w:rPr>
          <w:b/>
          <w:i w:val="0"/>
          <w:color w:val="12324A"/>
        </w:rPr>
        <w:t xml:space="preserve">Análise. </w:t>
      </w:r>
      <w:r>
        <w:rPr>
          <w:b w:val="0"/>
          <w:i w:val="0"/>
        </w:rPr>
        <w:t>Todos os elementos do edital devem ser divulgados na mesma data, e a alteração que afete a formulação das propostas exige a reabertura do prazo. Versão do TR posterior à divulgação, sem retificação publicada, compromete a transparência e a segurança dos licitantes.</w:t>
      </w:r>
    </w:p>
    <w:p>
      <w:pPr>
        <w:spacing w:before="0" w:after="120" w:line="360" w:lineRule="auto"/>
        <w:ind w:firstLine="709"/>
        <w:jc w:val="both"/>
      </w:pPr>
      <w:r>
        <w:rPr>
          <w:b/>
          <w:i w:val="0"/>
          <w:color w:val="C9781E"/>
        </w:rPr>
        <w:t xml:space="preserve">Risco de manutenção. </w:t>
      </w:r>
      <w:r>
        <w:rPr>
          <w:b w:val="0"/>
          <w:i w:val="0"/>
        </w:rPr>
        <w:t>Impugnação ou representação por modificação do instrumento convocatório sem republicação. Dúvida sobre qual versão vincula o certame.</w:t>
      </w:r>
    </w:p>
    <w:p>
      <w:pPr>
        <w:spacing w:before="0" w:after="120" w:line="360" w:lineRule="auto"/>
        <w:ind w:firstLine="709"/>
        <w:jc w:val="both"/>
      </w:pPr>
      <w:r>
        <w:rPr>
          <w:b/>
          <w:i w:val="0"/>
          <w:color w:val="12324A"/>
        </w:rPr>
        <w:t xml:space="preserve">Providência recomendada. </w:t>
      </w:r>
      <w:r>
        <w:rPr>
          <w:b w:val="0"/>
          <w:i w:val="0"/>
        </w:rPr>
        <w:t>Verificar no PNCP as versões publicadas. Se o TR foi alterado após 07/07/2026, publicar a retificação do edital e do TR. Avaliar a reabertura de prazo se a mudança afetar as propostas. Datar e assinar o edital.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3.6 Exigência de câmara fria própria, vedada estrutura de terceiros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TR 6.1.2, l.1 [página 58]; TR 9.6.6 e 9.6.6.1 [página 75]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exige que a unidade técnica mantenha câmara de refrigeração sob posse direta, gestão e controle da contratada, "vedada a utilização ... de estrutura de conservação operada por terceiros". Também exige que a disponibilidade efetiva da estrutura seja comprovada na habilitação, sem admitir declaração de implantação futura (9.6.6.1). O processo não apresenta justificativa técnica para vedar contratos de uso, locação ou parceria com terceiros que assegurem a disponibilidade.</w:t>
      </w:r>
    </w:p>
    <w:p>
      <w:pPr>
        <w:spacing w:before="0" w:after="120" w:line="360" w:lineRule="auto"/>
        <w:ind w:firstLine="709"/>
        <w:jc w:val="both"/>
      </w:pPr>
      <w:r>
        <w:rPr>
          <w:b w:val="0"/>
          <w:i w:val="0"/>
        </w:rPr>
        <w:t>O documento dispõe: “em funcionamento, vedada a utilização, para atendimento dessa obrigação, de estrutura” (TR 6.1.2, l.1 [página 58]; TR 9.6.6 e 9.6.6.1 [página 75]).</w:t>
      </w:r>
    </w:p>
    <w:p>
      <w:pPr>
        <w:spacing w:before="0" w:after="80" w:line="360" w:lineRule="auto"/>
        <w:ind w:firstLine="709"/>
        <w:jc w:val="both"/>
      </w:pPr>
      <w:r>
        <w:rPr>
          <w:b/>
          <w:i w:val="0"/>
          <w:color w:val="12324A"/>
        </w:rPr>
        <w:t xml:space="preserve">Dispositivo aplicável. </w:t>
      </w:r>
      <w:r>
        <w:rPr>
          <w:b w:val="0"/>
          <w:i w:val="0"/>
        </w:rPr>
        <w:t>A matéria é disciplinada pelo art. 9, inciso I, alínea a e pelo art. 67, inciso III, da Lei 14.133/2021, que assim dispõem:</w:t>
      </w:r>
    </w:p>
    <w:p>
      <w:pPr>
        <w:spacing w:before="80" w:after="200" w:line="240" w:lineRule="auto"/>
        <w:ind w:firstLine="0" w:left="2268"/>
        <w:jc w:val="both"/>
      </w:pPr>
      <w:r>
        <w:rPr>
          <w:b w:val="0"/>
          <w:i w:val="0"/>
          <w:sz w:val="20"/>
        </w:rPr>
        <w:t>admitir, prever, incluir ou tolerar, nos atos que praticar, situações que: […] comprometam, restrinjam ou frustrem o caráter competitivo do processo licitatório, inclusive nos casos de participação de sociedades cooperativas;</w:t>
      </w:r>
      <w:r>
        <w:rPr>
          <w:b w:val="0"/>
          <w:i w:val="0"/>
          <w:sz w:val="20"/>
        </w:rPr>
        <w:t xml:space="preserve"> (BRASIL, 2021, art. 9, inciso I, alínea a)</w:t>
      </w:r>
    </w:p>
    <w:p>
      <w:pPr>
        <w:spacing w:before="80" w:after="200" w:line="240" w:lineRule="auto"/>
        <w:ind w:firstLine="0" w:left="2268"/>
        <w:jc w:val="both"/>
      </w:pPr>
      <w:r>
        <w:rPr>
          <w:b w:val="0"/>
          <w:i w:val="0"/>
          <w:sz w:val="20"/>
        </w:rPr>
        <w:t>A documentação relativa à qualificação técnico-profissional e técnico-operacional será restrita a: […] indicação do pessoal técnico, das instalações e do aparelhamento adequados e disponíveis para a realização do objeto da licitação, bem como da qualificação de cada membro da equipe técnica que se responsabilizará pelos trabalhos;</w:t>
      </w:r>
      <w:r>
        <w:rPr>
          <w:b w:val="0"/>
          <w:i w:val="0"/>
          <w:sz w:val="20"/>
        </w:rPr>
        <w:t xml:space="preserve"> (BRASIL, 2021, art. 67, inciso III)</w:t>
      </w:r>
    </w:p>
    <w:p>
      <w:pPr>
        <w:spacing w:before="0" w:after="120" w:line="360" w:lineRule="auto"/>
        <w:ind w:firstLine="709"/>
        <w:jc w:val="both"/>
      </w:pPr>
      <w:r>
        <w:rPr>
          <w:b/>
          <w:i w:val="0"/>
          <w:color w:val="12324A"/>
        </w:rPr>
        <w:t xml:space="preserve">Análise. </w:t>
      </w:r>
      <w:r>
        <w:rPr>
          <w:b w:val="0"/>
          <w:i w:val="0"/>
        </w:rPr>
        <w:t>A lei admite exigir indicação de instalações e aparelhamento adequados e disponíveis, mas a vedação de qualquer estrutura de terceiros, sem justificativa, restringe a competitividade. Pode afastar interessados que comprovem a disponibilidade por meio de contrato, e o requisito não aparece na lista de habilitação do edital (item 13.E).</w:t>
      </w:r>
    </w:p>
    <w:p>
      <w:pPr>
        <w:spacing w:before="0" w:after="120" w:line="360" w:lineRule="auto"/>
        <w:ind w:firstLine="709"/>
        <w:jc w:val="both"/>
      </w:pPr>
      <w:r>
        <w:rPr>
          <w:b/>
          <w:i w:val="0"/>
          <w:color w:val="C9781E"/>
        </w:rPr>
        <w:t xml:space="preserve">Risco de manutenção. </w:t>
      </w:r>
      <w:r>
        <w:rPr>
          <w:b w:val="0"/>
          <w:i w:val="0"/>
        </w:rPr>
        <w:t>Impugnação por restrição indevida à competição e redução do universo de licitantes em objeto de baixo número de fornecedores.</w:t>
      </w:r>
    </w:p>
    <w:p>
      <w:pPr>
        <w:spacing w:before="0" w:after="120" w:line="360" w:lineRule="auto"/>
        <w:ind w:firstLine="709"/>
        <w:jc w:val="both"/>
      </w:pPr>
      <w:r>
        <w:rPr>
          <w:b/>
          <w:i w:val="0"/>
          <w:color w:val="12324A"/>
        </w:rPr>
        <w:t xml:space="preserve">Providência recomendada. </w:t>
      </w:r>
      <w:r>
        <w:rPr>
          <w:b w:val="0"/>
          <w:i w:val="0"/>
        </w:rPr>
        <w:t>Justificar tecnicamente a exigência (inclusive sanitária) ou admitir a comprovação da disponibilidade por contrato, locação ou instrumento equivalente, com controle operacional assegurado. Explicitar o requisito no item 13(E) do edital, se mantido.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3.7 Julgamento por menor preço global de itens heterogêneos, sem preço unitário máximo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TR 9.1.2 [página 70]; edital 12.1 e 12.4 [páginas 14 e 15]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certame é julgado por menor preço global, reunindo 11 itens de natureza diversa (urnas, translados, serviços fúnebres, coroas, maquiagem e mantos). O TR (9.1.2 e 9.1.5) justifica pela natureza integrada do serviço. Contudo, o edital (12.1 e 12.4, c) só fixa como limite de aceitabilidade o orçamento estimado global, sem preço unitário máximo, apesar de a proposta e o contrato operarem com preços unitários. Itens como coroa, maquiagem e manto representam parcela relevante do total e não constavam do contrato anterior.</w:t>
      </w:r>
    </w:p>
    <w:p>
      <w:pPr>
        <w:spacing w:before="0" w:after="120" w:line="360" w:lineRule="auto"/>
        <w:ind w:firstLine="709"/>
        <w:jc w:val="both"/>
      </w:pPr>
      <w:r>
        <w:rPr>
          <w:b w:val="0"/>
          <w:i w:val="0"/>
        </w:rPr>
        <w:t>O documento dispõe: “O critério de julgamento adotado será o de menor preço global, considerando o conjunto” (TR 9.1.2 [página 70]; edital 12.1 e 12.4 [páginas 14 e 15]).</w:t>
      </w:r>
    </w:p>
    <w:p>
      <w:pPr>
        <w:spacing w:before="0" w:after="80" w:line="360" w:lineRule="auto"/>
        <w:ind w:firstLine="709"/>
        <w:jc w:val="both"/>
      </w:pPr>
      <w:r>
        <w:rPr>
          <w:b/>
          <w:i w:val="0"/>
          <w:color w:val="12324A"/>
        </w:rPr>
        <w:t xml:space="preserve">Dispositivo aplicável. </w:t>
      </w:r>
      <w:r>
        <w:rPr>
          <w:b w:val="0"/>
          <w:i w:val="0"/>
        </w:rPr>
        <w:t>A matéria é disciplinada pelo art. 40, inciso V, alínea b, da Lei 14.133/2021, que assim dispõe:</w:t>
      </w:r>
    </w:p>
    <w:p>
      <w:pPr>
        <w:spacing w:before="80" w:after="200" w:line="240" w:lineRule="auto"/>
        <w:ind w:firstLine="0" w:left="2268"/>
        <w:jc w:val="both"/>
      </w:pPr>
      <w:r>
        <w:rPr>
          <w:b w:val="0"/>
          <w:i w:val="0"/>
          <w:sz w:val="20"/>
        </w:rPr>
        <w:t>atendimento aos princípios: […] do parcelamento, quando for tecnicamente viável e economicamente vantajoso;</w:t>
      </w:r>
      <w:r>
        <w:rPr>
          <w:b w:val="0"/>
          <w:i w:val="0"/>
          <w:sz w:val="20"/>
        </w:rPr>
        <w:t xml:space="preserve"> (BRASIL, 2021, art. 40, inciso V, alínea b)</w:t>
      </w:r>
    </w:p>
    <w:p>
      <w:pPr>
        <w:spacing w:before="0" w:after="120" w:line="360" w:lineRule="auto"/>
        <w:ind w:firstLine="709"/>
        <w:jc w:val="both"/>
      </w:pPr>
      <w:r>
        <w:rPr>
          <w:b/>
          <w:i w:val="0"/>
          <w:color w:val="12324A"/>
        </w:rPr>
        <w:t xml:space="preserve">Análise. </w:t>
      </w:r>
      <w:r>
        <w:rPr>
          <w:b w:val="0"/>
          <w:i w:val="0"/>
        </w:rPr>
        <w:t>O agrupamento de itens divisíveis exige demonstração de que a adjudicação por item é inviável ou desvantajosa (princípio do parcelamento e Súmula TCU 247). Sem preço unitário máximo, é possível aceitar proposta com itens individualmente acima do mercado, compensados por itens subavaliados (jogo de planilha).</w:t>
      </w:r>
    </w:p>
    <w:p>
      <w:pPr>
        <w:spacing w:before="0" w:after="120" w:line="360" w:lineRule="auto"/>
        <w:ind w:firstLine="709"/>
        <w:jc w:val="both"/>
      </w:pPr>
      <w:r>
        <w:rPr>
          <w:b/>
          <w:i w:val="0"/>
          <w:color w:val="C9781E"/>
        </w:rPr>
        <w:t xml:space="preserve">Risco de manutenção. </w:t>
      </w:r>
      <w:r>
        <w:rPr>
          <w:b w:val="0"/>
          <w:i w:val="0"/>
        </w:rPr>
        <w:t>Restrição à participação de quem fornece apenas parte dos itens. Sobrepreço em itens isolados e pagamentos acima do mercado, já que a execução é sob demanda por item.</w:t>
      </w:r>
    </w:p>
    <w:p>
      <w:pPr>
        <w:spacing w:before="0" w:after="120" w:line="360" w:lineRule="auto"/>
        <w:ind w:firstLine="709"/>
        <w:jc w:val="both"/>
      </w:pPr>
      <w:r>
        <w:rPr>
          <w:b/>
          <w:i w:val="0"/>
          <w:color w:val="12324A"/>
        </w:rPr>
        <w:t xml:space="preserve">Providência recomendada. </w:t>
      </w:r>
      <w:r>
        <w:rPr>
          <w:b w:val="0"/>
          <w:i w:val="0"/>
        </w:rPr>
        <w:t>Reforçar no ETP a demonstração da inviabilidade do parcelamento e a vantagem do agrupamento. Fixar no edital o preço unitário máximo de cada item (Anexo I) como critério de aceitabilidade, ou avaliar o julgamento por item ou em lotes menores.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3.8 Quantitativos estimados divergem da série histórica e da própria metodologia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Anexo (A) – Memória de Cálculo [páginas 86 e 87]; TR 6.1.2, d e e [página 58]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memória de cálculo declara média histórica de cerca de 315 atendimentos, com acréscimo de 10%, resultando em 349. A média de 315 acrescida de 10% resulta em cerca de 347, e a série do item 8 é decrescente (334, 313 e 299). Vários itens estão acima dessa regra: Adulto Especial (média 31, estimado 41), Intermunicipal 120 km (média 67, estimado 85) e Intermunicipal 500 km (média 18, estimado 25). Os itens 9, 10 e 11 (coroa, maquiagem e manto) foram estimados em 349 unidades, igual a 100% dos atendimentos, embora o TR indique maquiagem "quando aplicável" e manto "quando necessário". Esses três itens somam cerca de R$ 462.746,08, quase 30% do valor total estimado. Os itens 6 e 7 integram as parcelas de maior relevância e baseiam o quantitativo de qualificação.</w:t>
      </w:r>
    </w:p>
    <w:p>
      <w:pPr>
        <w:spacing w:before="0" w:after="120" w:line="360" w:lineRule="auto"/>
        <w:ind w:firstLine="709"/>
        <w:jc w:val="both"/>
      </w:pPr>
      <w:r>
        <w:rPr>
          <w:b w:val="0"/>
          <w:i w:val="0"/>
        </w:rPr>
        <w:t>O documento dispõe: “resultando em quantitativos compatíveis com o padrão histórico e as tendências” (Anexo (A) – Memória de Cálculo [páginas 86 e 87]; TR 6.1.2, d e e [página 58]).</w:t>
      </w:r>
    </w:p>
    <w:p>
      <w:pPr>
        <w:spacing w:before="0" w:after="80" w:line="360" w:lineRule="auto"/>
        <w:ind w:firstLine="709"/>
        <w:jc w:val="both"/>
      </w:pPr>
      <w:r>
        <w:rPr>
          <w:b/>
          <w:i w:val="0"/>
          <w:color w:val="12324A"/>
        </w:rPr>
        <w:t xml:space="preserve">Dispositivo aplicável. </w:t>
      </w:r>
      <w:r>
        <w:rPr>
          <w:b w:val="0"/>
          <w:i w:val="0"/>
        </w:rPr>
        <w:t>A matéria é disciplinada pelo art. 18, § 1º, inciso IV, da Lei 14.133/2021, que assim dispõe:</w:t>
      </w:r>
    </w:p>
    <w:p>
      <w:pPr>
        <w:spacing w:before="80" w:after="200" w:line="240" w:lineRule="auto"/>
        <w:ind w:firstLine="0" w:left="2268"/>
        <w:jc w:val="both"/>
      </w:pPr>
      <w:r>
        <w:rPr>
          <w:b w:val="0"/>
          <w:i w:val="0"/>
          <w:sz w:val="20"/>
        </w:rPr>
        <w:t>O estudo técnico preliminar a que se refere o inciso I do caput deste artigo deverá evidenciar o problema a ser resolvido e a sua melhor solução, de modo a permitir a avaliação da viabilidade técnica e econômica da contratação, e conterá os seguintes elementos: […] estimativas das quantidades para a contratação, acompanhadas das memórias de cálculo e dos documentos que lhes dão suporte, que considerem interdependências com outras contratações, de modo a possibilitar economia de escala;</w:t>
      </w:r>
      <w:r>
        <w:rPr>
          <w:b w:val="0"/>
          <w:i w:val="0"/>
          <w:sz w:val="20"/>
        </w:rPr>
        <w:t xml:space="preserve"> (BRASIL, 2021, art. 18, § 1º, inciso IV)</w:t>
      </w:r>
    </w:p>
    <w:p>
      <w:pPr>
        <w:spacing w:before="0" w:after="120" w:line="360" w:lineRule="auto"/>
        <w:ind w:firstLine="709"/>
        <w:jc w:val="both"/>
      </w:pPr>
      <w:r>
        <w:rPr>
          <w:b/>
          <w:i w:val="0"/>
          <w:color w:val="12324A"/>
        </w:rPr>
        <w:t xml:space="preserve">Análise. </w:t>
      </w:r>
      <w:r>
        <w:rPr>
          <w:b w:val="0"/>
          <w:i w:val="0"/>
        </w:rPr>
        <w:t>O ETP deve conter estimativas de quantidades acompanhadas de memórias de cálculo e documentos de suporte. Quantitativos que não decorrem da metodologia declarada fragilizam o orçamento, podem superestimar a despesa e os quantitativos mínimos de atestado, e dificultam a comparação das propostas.</w:t>
      </w:r>
    </w:p>
    <w:p>
      <w:pPr>
        <w:spacing w:before="0" w:after="120" w:line="360" w:lineRule="auto"/>
        <w:ind w:firstLine="709"/>
        <w:jc w:val="both"/>
      </w:pPr>
      <w:r>
        <w:rPr>
          <w:b/>
          <w:i w:val="0"/>
          <w:color w:val="C9781E"/>
        </w:rPr>
        <w:t xml:space="preserve">Risco de manutenção. </w:t>
      </w:r>
      <w:r>
        <w:rPr>
          <w:b w:val="0"/>
          <w:i w:val="0"/>
        </w:rPr>
        <w:t>Superestimativa de despesa e de itens acessórios, questionamento do orçamento e de exigências técnicas vinculadas aos quantitativos.</w:t>
      </w:r>
    </w:p>
    <w:p>
      <w:pPr>
        <w:spacing w:before="0" w:after="120" w:line="360" w:lineRule="auto"/>
        <w:ind w:firstLine="709"/>
        <w:jc w:val="both"/>
      </w:pPr>
      <w:r>
        <w:rPr>
          <w:b/>
          <w:i w:val="0"/>
          <w:color w:val="12324A"/>
        </w:rPr>
        <w:t xml:space="preserve">Providência recomendada. </w:t>
      </w:r>
      <w:r>
        <w:rPr>
          <w:b w:val="0"/>
          <w:i w:val="0"/>
        </w:rPr>
        <w:t>Refazer ou explicar a memória de cálculo item a item (metodologia, tendência decrescente, uso real de maquiagem e manto). Ajustar os quantitativos ou justificá-los. Recalcular, se necessário, os mínimos de atestado do TR 9.6.5.3.</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3.9 Resíduos de modelo e referências indevidas a garantia na minuta de contrato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Anexo XIII, Cláusula Décima, XIV [página 108]; Cláusula Décima Sétima [página 115]; Cláusula Vigésima [página 116]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minuta mantém cláusulas de outros objetos ou inaplicáveis: repactuação e dedicação exclusiva de mão de obra (Cláusula Quinta, §§ 4º e 5º; Cláusula Décima, X a XII), referência ao "RGCAF" para serviço por escopo, e obrigações sobre garantias (inciso XIV; Cláusula Décima Sétima, §§ 4º e 5º; Cláusula Décima Quinta, § 10), embora o edital (16.1) e o TR (5.4.1) dispensem garantia. A Cláusula Décima Sétima, § 3º remete à "Cláusula Décima Sexta, caput, alínea c", que não corresponde à multa. A Cláusula Sexta traz o erro "cwnto e vinte". O inciso XVII é seguido do XXII, e a cláusula 18ª não existe.</w:t>
      </w:r>
    </w:p>
    <w:p>
      <w:pPr>
        <w:spacing w:before="0" w:after="120" w:line="360" w:lineRule="auto"/>
        <w:ind w:firstLine="709"/>
        <w:jc w:val="both"/>
      </w:pPr>
      <w:r>
        <w:rPr>
          <w:b w:val="0"/>
          <w:i w:val="0"/>
        </w:rPr>
        <w:t>O documento dispõe: “XIV – manter hígidas as garantias contratuais até o recebimento definitivo do objeto do” (Anexo XIII, Cláusula Décima, XIV [página 108]; Cláusula Décima Sétima [página 115]; Cláusula Vigésima [página 116]).</w:t>
      </w:r>
    </w:p>
    <w:p>
      <w:pPr>
        <w:spacing w:before="0" w:after="80" w:line="360" w:lineRule="auto"/>
        <w:ind w:firstLine="709"/>
        <w:jc w:val="both"/>
      </w:pPr>
      <w:r>
        <w:rPr>
          <w:b/>
          <w:i w:val="0"/>
          <w:color w:val="12324A"/>
        </w:rPr>
        <w:t xml:space="preserve">Dispositivo aplicável. </w:t>
      </w:r>
      <w:r>
        <w:rPr>
          <w:b w:val="0"/>
          <w:i w:val="0"/>
        </w:rPr>
        <w:t>A matéria é disciplinada pelo art. 92, da Lei 14.133/2021, que assim dispõe:</w:t>
      </w:r>
    </w:p>
    <w:p>
      <w:pPr>
        <w:spacing w:before="80" w:after="200" w:line="240" w:lineRule="auto"/>
        <w:ind w:firstLine="0" w:left="2268"/>
        <w:jc w:val="both"/>
      </w:pPr>
      <w:r>
        <w:rPr>
          <w:b w:val="0"/>
          <w:i w:val="0"/>
          <w:sz w:val="20"/>
        </w:rPr>
        <w:t>São necessárias em todo contrato cláusulas que estabeleçam: […]</w:t>
      </w:r>
      <w:r>
        <w:rPr>
          <w:b w:val="0"/>
          <w:i w:val="0"/>
          <w:sz w:val="20"/>
        </w:rPr>
        <w:t xml:space="preserve"> (BRASIL, 2021, art. 92)</w:t>
      </w:r>
    </w:p>
    <w:p>
      <w:pPr>
        <w:spacing w:before="0" w:after="120" w:line="360" w:lineRule="auto"/>
        <w:ind w:firstLine="709"/>
        <w:jc w:val="both"/>
      </w:pPr>
      <w:r>
        <w:rPr>
          <w:b/>
          <w:i w:val="0"/>
          <w:color w:val="12324A"/>
        </w:rPr>
        <w:t xml:space="preserve">Análise. </w:t>
      </w:r>
      <w:r>
        <w:rPr>
          <w:b w:val="0"/>
          <w:i w:val="0"/>
        </w:rPr>
        <w:t>Cláusulas contratuais devem refletir o objeto e o edital. Referências a garantia inexistente, a mão de obra exclusiva e remissões erradas criam contradições e dificultam a execução e a aplicação de sanções.</w:t>
      </w:r>
    </w:p>
    <w:p>
      <w:pPr>
        <w:spacing w:before="0" w:after="120" w:line="360" w:lineRule="auto"/>
        <w:ind w:firstLine="709"/>
        <w:jc w:val="both"/>
      </w:pPr>
      <w:r>
        <w:rPr>
          <w:b/>
          <w:i w:val="0"/>
          <w:color w:val="C9781E"/>
        </w:rPr>
        <w:t xml:space="preserve">Risco de manutenção. </w:t>
      </w:r>
      <w:r>
        <w:rPr>
          <w:b w:val="0"/>
          <w:i w:val="0"/>
        </w:rPr>
        <w:t>Discussões sobre exigência de garantia, repactuação e multa aplicável, com nulidade de cláusulas.</w:t>
      </w:r>
    </w:p>
    <w:p>
      <w:pPr>
        <w:spacing w:before="0" w:after="120" w:line="360" w:lineRule="auto"/>
        <w:ind w:firstLine="709"/>
        <w:jc w:val="both"/>
      </w:pPr>
      <w:r>
        <w:rPr>
          <w:b/>
          <w:i w:val="0"/>
          <w:color w:val="12324A"/>
        </w:rPr>
        <w:t xml:space="preserve">Providência recomendada. </w:t>
      </w:r>
      <w:r>
        <w:rPr>
          <w:b w:val="0"/>
          <w:i w:val="0"/>
        </w:rPr>
        <w:t>Revisar a minuta e excluir ou ajustar as cláusulas inaplicáveis, corrigir as remissões, a numeração e os erros de digitação.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3.10 Índice de reajuste com data-base no orçamento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Anexo XIII, Cláusula Quinta [página 102]; edital, item 19.1 [página 34]</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está conforme: o item 19 prevê reajuste por IPCA após 12 meses contados da data do orçamento estimado (Anexo I: 08/05/2026), e o TR (item 2.6) repete a data-base. A minuta de contrato (Anexo XIII), porém, não foi preenchida: a Cláusula Quinta deixa em branco o número de meses e o índice. Traz ainda parágrafos de repactuação para dedicação exclusiva de mão de obra, que não se aplicam a este objeto.</w:t>
      </w:r>
    </w:p>
    <w:p>
      <w:pPr>
        <w:spacing w:before="0" w:after="120" w:line="360" w:lineRule="auto"/>
        <w:ind w:firstLine="709"/>
        <w:jc w:val="both"/>
      </w:pPr>
      <w:r>
        <w:rPr>
          <w:b w:val="0"/>
          <w:i w:val="0"/>
        </w:rPr>
        <w:t>O documento dispõe: “CLÁUSULA QUINTA – REAJUSTE” (Anexo XIII, Cláusula Quinta [página 102]; edital, item 19.1 [página 34]).</w:t>
      </w:r>
    </w:p>
    <w:p>
      <w:pPr>
        <w:spacing w:before="0" w:after="80" w:line="360" w:lineRule="auto"/>
        <w:ind w:firstLine="709"/>
        <w:jc w:val="both"/>
      </w:pPr>
      <w:r>
        <w:rPr>
          <w:b/>
          <w:i w:val="0"/>
          <w:color w:val="12324A"/>
        </w:rPr>
        <w:t xml:space="preserve">Dispositivo aplicável. </w:t>
      </w:r>
      <w:r>
        <w:rPr>
          <w:b w:val="0"/>
          <w:i w:val="0"/>
        </w:rPr>
        <w:t>A matéria é disciplinada pelo art. 25, § 7º e pelo art. 92, § 3º, da Lei 14.133/2021, que assim dispõem:</w:t>
      </w:r>
    </w:p>
    <w:p>
      <w:pPr>
        <w:spacing w:before="80" w:after="200" w:line="240" w:lineRule="auto"/>
        <w:ind w:firstLine="0" w:left="2268"/>
        <w:jc w:val="both"/>
      </w:pPr>
      <w:r>
        <w:rPr>
          <w:b w:val="0"/>
          <w:i w:val="0"/>
          <w:sz w:val="20"/>
        </w:rPr>
        <w:t>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w:t>
      </w:r>
      <w:r>
        <w:rPr>
          <w:b w:val="0"/>
          <w:i w:val="0"/>
          <w:sz w:val="20"/>
        </w:rPr>
        <w:t xml:space="preserve"> (BRASIL, 2021, art. 25, § 7º)</w:t>
      </w:r>
    </w:p>
    <w:p>
      <w:pPr>
        <w:spacing w:before="80" w:after="200" w:line="240" w:lineRule="auto"/>
        <w:ind w:firstLine="0" w:left="2268"/>
        <w:jc w:val="both"/>
      </w:pPr>
      <w:r>
        <w:rPr>
          <w:b w:val="0"/>
          <w:i w:val="0"/>
          <w:sz w:val="20"/>
        </w:rPr>
        <w:t>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w:t>
      </w:r>
      <w:r>
        <w:rPr>
          <w:b w:val="0"/>
          <w:i w:val="0"/>
          <w:sz w:val="20"/>
        </w:rPr>
        <w:t xml:space="preserve"> (BRASIL, 2021, art. 92, § 3º)</w:t>
      </w:r>
    </w:p>
    <w:p>
      <w:pPr>
        <w:spacing w:before="0" w:after="120" w:line="360" w:lineRule="auto"/>
        <w:ind w:firstLine="709"/>
        <w:jc w:val="both"/>
      </w:pPr>
      <w:r>
        <w:rPr>
          <w:b/>
          <w:i w:val="0"/>
          <w:color w:val="12324A"/>
        </w:rPr>
        <w:t xml:space="preserve">Análise. </w:t>
      </w:r>
      <w:r>
        <w:rPr>
          <w:b w:val="0"/>
          <w:i w:val="0"/>
        </w:rPr>
        <w:t>O art. 92, § 3º exige que o contrato contenha cláusula com o índice de reajustamento e a data-base vinculada à data do orçamento estimado. Uma minuta com lacunas nessa cláusula deixa de cumprir essa exigência no instrumento que será assinado.</w:t>
      </w:r>
    </w:p>
    <w:p>
      <w:pPr>
        <w:spacing w:before="0" w:after="120" w:line="360" w:lineRule="auto"/>
        <w:ind w:firstLine="709"/>
        <w:jc w:val="both"/>
      </w:pPr>
      <w:r>
        <w:rPr>
          <w:b/>
          <w:i w:val="0"/>
          <w:color w:val="3D8FA6"/>
        </w:rPr>
        <w:t xml:space="preserve">Risco de manutenção. </w:t>
      </w:r>
      <w:r>
        <w:rPr>
          <w:b w:val="0"/>
          <w:i w:val="0"/>
        </w:rPr>
        <w:t>Contrato assinado com cláusula incompleta ou com critério de repactuação incompatível, o que gera discussão sobre o índice e a data-base aplicáveis.</w:t>
      </w:r>
    </w:p>
    <w:p>
      <w:pPr>
        <w:spacing w:before="0" w:after="120" w:line="360" w:lineRule="auto"/>
        <w:ind w:firstLine="709"/>
        <w:jc w:val="both"/>
      </w:pPr>
      <w:r>
        <w:rPr>
          <w:b/>
          <w:i w:val="0"/>
          <w:color w:val="12324A"/>
        </w:rPr>
        <w:t xml:space="preserve">Providência recomendada. </w:t>
      </w:r>
      <w:r>
        <w:rPr>
          <w:b w:val="0"/>
          <w:i w:val="0"/>
        </w:rPr>
        <w:t>Preencher a Cláusula Quinta com 12 meses, IPCA e data-base de 08/05/2026 (mês/ano do orçamento estimado), e excluir os Parágrafos Quarto e Quinto, que tratam de repactuação.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Os preços serão reajustados pelo IPCA, com data-base na data do orçamento estimado (maio/2026), observado o interregno mínimo de 12 (doze) meses, na forma do art. 25, § 7º, e do art. 92, § 3º, da Lei nº 14.133/2021.</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3.11 Qualificação econômico-financeira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item 13 (B.1.a) [página 22]; TR 9.5 [página 72]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exige ILG ≥ 1 (índice usual) e, para quem ficar abaixo, patrimônio líquido mínimo de 10% do valor estimado, o que respeita o limite do art. 69, § 4º. Não há exigência de faturamento mínimo nem de índices de rentabilidade. Contudo, não há no documento a justificativa dos índices (o TR apenas cita "em atendimento ao artigo 69"). O TR (9.5.3) ainda prevê declaração de contador sobre o índice, exigência que não aparece no item B do edital.</w:t>
      </w:r>
    </w:p>
    <w:p>
      <w:pPr>
        <w:spacing w:before="0" w:after="120" w:line="360" w:lineRule="auto"/>
        <w:ind w:firstLine="709"/>
        <w:jc w:val="both"/>
      </w:pPr>
      <w:r>
        <w:rPr>
          <w:b w:val="0"/>
          <w:i w:val="0"/>
        </w:rPr>
        <w:t>O documento dispõe: “Índice de Liquidez Geral (ILG) igual ou maior que 1 (um).” (Edital, item 13 (B.1.a) [página 22]; TR 9.5 [página 72]).</w:t>
      </w:r>
    </w:p>
    <w:p>
      <w:pPr>
        <w:spacing w:before="0" w:after="80" w:line="360" w:lineRule="auto"/>
        <w:ind w:firstLine="709"/>
        <w:jc w:val="both"/>
      </w:pPr>
      <w:r>
        <w:rPr>
          <w:b/>
          <w:i w:val="0"/>
          <w:color w:val="12324A"/>
        </w:rPr>
        <w:t xml:space="preserve">Dispositivo aplicável. </w:t>
      </w:r>
      <w:r>
        <w:rPr>
          <w:b w:val="0"/>
          <w:i w:val="0"/>
        </w:rPr>
        <w:t>A matéria é disciplinada pelo art. 69, pelo art. 69, § 2º, pelo art. 69, § 4º e pelo art. 69, § 5º, da Lei 14.133/2021, que assim dispõem:</w:t>
      </w:r>
    </w:p>
    <w:p>
      <w:pPr>
        <w:spacing w:before="80" w:after="200" w:line="240" w:lineRule="auto"/>
        <w:ind w:firstLine="0" w:left="2268"/>
        <w:jc w:val="both"/>
      </w:pPr>
      <w:r>
        <w:rPr>
          <w:b w:val="0"/>
          <w:i w:val="0"/>
          <w:sz w:val="20"/>
        </w:rPr>
        <w:t>A habilitação econômico-financeira visa a demonstrar a aptidão econômica do licitante para cumprir as obrigações decorrentes do futuro contrato, devendo ser comprovada de forma objetiva, por coeficientes e índices econômicos previstos no edital, devidamente justificados no processo licitatório, e será restrita à apresentação da seguinte documentação: […]</w:t>
      </w:r>
      <w:r>
        <w:rPr>
          <w:b w:val="0"/>
          <w:i w:val="0"/>
          <w:sz w:val="20"/>
        </w:rPr>
        <w:t xml:space="preserve"> (BRASIL, 2021, art. 69)</w:t>
      </w:r>
    </w:p>
    <w:p>
      <w:pPr>
        <w:spacing w:before="80" w:after="200" w:line="240" w:lineRule="auto"/>
        <w:ind w:firstLine="0" w:left="2268"/>
        <w:jc w:val="both"/>
      </w:pPr>
      <w:r>
        <w:rPr>
          <w:b w:val="0"/>
          <w:i w:val="0"/>
          <w:sz w:val="20"/>
        </w:rPr>
        <w:t>Para o atendimento do disposto no caput deste artigo, é vedada a exigência de valores mínimos de faturamento anterior e de índices de rentabilidade ou lucratividade.</w:t>
      </w:r>
      <w:r>
        <w:rPr>
          <w:b w:val="0"/>
          <w:i w:val="0"/>
          <w:sz w:val="20"/>
        </w:rPr>
        <w:t xml:space="preserve"> (BRASIL, 2021, art. 69, § 2º)</w:t>
      </w:r>
    </w:p>
    <w:p>
      <w:pPr>
        <w:spacing w:before="80" w:after="200" w:line="240" w:lineRule="auto"/>
        <w:ind w:firstLine="0" w:left="2268"/>
        <w:jc w:val="both"/>
      </w:pPr>
      <w:r>
        <w:rPr>
          <w:b w:val="0"/>
          <w:i w:val="0"/>
          <w:sz w:val="20"/>
        </w:rPr>
        <w:t>A Administração, nas compras para entrega futura e na execução de obras e serviços, poderá estabelecer no edital a exigência de capital mínimo ou de patrimônio líquido mínimo equivalente a até 10% (dez por cento) do valor estimado da contratação.</w:t>
      </w:r>
      <w:r>
        <w:rPr>
          <w:b w:val="0"/>
          <w:i w:val="0"/>
          <w:sz w:val="20"/>
        </w:rPr>
        <w:t xml:space="preserve"> (BRASIL, 2021, art. 69, § 4º)</w:t>
      </w:r>
    </w:p>
    <w:p>
      <w:pPr>
        <w:spacing w:before="80" w:after="200" w:line="240" w:lineRule="auto"/>
        <w:ind w:firstLine="0" w:left="2268"/>
        <w:jc w:val="both"/>
      </w:pPr>
      <w:r>
        <w:rPr>
          <w:b w:val="0"/>
          <w:i w:val="0"/>
          <w:sz w:val="20"/>
        </w:rPr>
        <w:t>É vedada a exigência de índices e valores não usualmente adotados para a avaliação de situação econômico-financeira suficiente para o cumprimento das obrigações decorrentes da licitação.</w:t>
      </w:r>
      <w:r>
        <w:rPr>
          <w:b w:val="0"/>
          <w:i w:val="0"/>
          <w:sz w:val="20"/>
        </w:rPr>
        <w:t xml:space="preserve"> (BRASIL, 2021, art. 69, § 5º)</w:t>
      </w:r>
    </w:p>
    <w:p>
      <w:pPr>
        <w:spacing w:before="0" w:after="120" w:line="360" w:lineRule="auto"/>
        <w:ind w:firstLine="709"/>
        <w:jc w:val="both"/>
      </w:pPr>
      <w:r>
        <w:rPr>
          <w:b/>
          <w:i w:val="0"/>
          <w:color w:val="12324A"/>
        </w:rPr>
        <w:t xml:space="preserve">Análise. </w:t>
      </w:r>
      <w:r>
        <w:rPr>
          <w:b w:val="0"/>
          <w:i w:val="0"/>
        </w:rPr>
        <w:t>O art. 69 exige que os índices sejam previstos no edital e devidamente justificados no processo. A Súmula TCU 289 reforça que a exigência deve estar justificada e atender às características do objeto.</w:t>
      </w:r>
    </w:p>
    <w:p>
      <w:pPr>
        <w:spacing w:before="0" w:after="120" w:line="360" w:lineRule="auto"/>
        <w:ind w:firstLine="709"/>
        <w:jc w:val="both"/>
      </w:pPr>
      <w:r>
        <w:rPr>
          <w:b/>
          <w:i w:val="0"/>
          <w:color w:val="3D8FA6"/>
        </w:rPr>
        <w:t xml:space="preserve">Risco de manutenção. </w:t>
      </w:r>
      <w:r>
        <w:rPr>
          <w:b w:val="0"/>
          <w:i w:val="0"/>
        </w:rPr>
        <w:t>Questionamento sobre a motivação dos índices. Dúvida sobre a exigência da declaração do contador.</w:t>
      </w:r>
    </w:p>
    <w:p>
      <w:pPr>
        <w:spacing w:before="0" w:after="120" w:line="360" w:lineRule="auto"/>
        <w:ind w:firstLine="709"/>
        <w:jc w:val="both"/>
      </w:pPr>
      <w:r>
        <w:rPr>
          <w:b/>
          <w:i w:val="0"/>
          <w:color w:val="12324A"/>
        </w:rPr>
        <w:t xml:space="preserve">Providência recomendada. </w:t>
      </w:r>
      <w:r>
        <w:rPr>
          <w:b w:val="0"/>
          <w:i w:val="0"/>
        </w:rPr>
        <w:t>Registrar no ETP/TR a justificativa técnica do ILG ≥ 1 e do PL de 10%, com referência ao mercado funerário. Harmonizar o TR 9.5.3 com o edital, mantendo ou excluindo a declaração do contador.</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Os índices e o patrimônio líquido mínimo exigidos foram definidos com base nas práticas usuais de mercado para serviços de natureza continuada e justificados no Estudo Técnico Preliminar, nos termos do art. 69 da Lei nº 14.133/2021.</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exigência de índices contábeis de capacidade financeira, a exemplo dos de liquidez, deve estar justificada no processo da licitação, conter parâmetros atualizados de mercado e atender às características do objeto licitado, sendo vedado o uso de índice cuja fórmula inclua rentabilidade ou lucratividade. (Súmula vigente, aprovada pelo Acórdão 354/2016-Plenário; data indicada = ano de aprovação.)</w:t>
      </w:r>
      <w:r>
        <w:rPr>
          <w:b w:val="0"/>
          <w:i w:val="0"/>
          <w:sz w:val="20"/>
        </w:rPr>
        <w:t xml:space="preserve"> (TCU, Súmula TCU 289)</w:t>
      </w:r>
      <w:r>
        <w:rPr>
          <w:b w:val="0"/>
          <w:i w:val="0"/>
          <w:sz w:val="20"/>
        </w:rPr>
        <w:t xml:space="preserve"> </w:t>
      </w:r>
      <w:hyperlink r:id="rId13">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3.12 Recursos administrativos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item 14.6 [página 29]; item 14.5 [página 29]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prevê intenção imediata de recorrer (14.1 e 14.2), razões em 3 dias úteis e contrarrazões em igual prazo (14.3), e efeito suspensivo (14.7). Contudo, o item 14.6 determina que a autoridade superior decida "no mesmo prazo" de 3 dias úteis, o que destoa do prazo de decisão fixado em lei para o recurso do art. 165, I (10 dias úteis, art. 165, § 2º). O item 14.5 prevê análise do recurso pela síntese das razões da sessão quando não forem apresentadas razões escritas, o que é impreciso.</w:t>
      </w:r>
    </w:p>
    <w:p>
      <w:pPr>
        <w:spacing w:before="0" w:after="120" w:line="360" w:lineRule="auto"/>
        <w:ind w:firstLine="709"/>
        <w:jc w:val="both"/>
      </w:pPr>
      <w:r>
        <w:rPr>
          <w:b w:val="0"/>
          <w:i w:val="0"/>
        </w:rPr>
        <w:t>O documento dispõe: “autoridade superior, que proferirá a decisão no mesmo prazo, a contar do recebimento.” (Edital, item 14.6 [página 29]; item 14.5 [página 29]).</w:t>
      </w:r>
    </w:p>
    <w:p>
      <w:pPr>
        <w:spacing w:before="0" w:after="80" w:line="360" w:lineRule="auto"/>
        <w:ind w:firstLine="709"/>
        <w:jc w:val="both"/>
      </w:pPr>
      <w:r>
        <w:rPr>
          <w:b/>
          <w:i w:val="0"/>
          <w:color w:val="12324A"/>
        </w:rPr>
        <w:t xml:space="preserve">Dispositivo aplicável. </w:t>
      </w:r>
      <w:r>
        <w:rPr>
          <w:b w:val="0"/>
          <w:i w:val="0"/>
        </w:rPr>
        <w:t>A matéria é disciplinada pelo art. 165, inciso I e pelo art. 165, § 1º, da Lei 14.133/2021, que assim dispõem:</w:t>
      </w:r>
    </w:p>
    <w:p>
      <w:pPr>
        <w:spacing w:before="80" w:after="200" w:line="240" w:lineRule="auto"/>
        <w:ind w:firstLine="0" w:left="2268"/>
        <w:jc w:val="both"/>
      </w:pPr>
      <w:r>
        <w:rPr>
          <w:b w:val="0"/>
          <w:i w:val="0"/>
          <w:sz w:val="20"/>
        </w:rPr>
        <w:t>Dos atos da Administração decorrentes da aplicação desta Lei cabem: […] recurso, no prazo de 3 (três) dias úteis, contado da data de intimação ou de lavratura da ata, em face de: […]</w:t>
      </w:r>
      <w:r>
        <w:rPr>
          <w:b w:val="0"/>
          <w:i w:val="0"/>
          <w:sz w:val="20"/>
        </w:rPr>
        <w:t xml:space="preserve"> (BRASIL, 2021, art. 165, inciso I)</w:t>
      </w:r>
    </w:p>
    <w:p>
      <w:pPr>
        <w:spacing w:before="80" w:after="200" w:line="240" w:lineRule="auto"/>
        <w:ind w:firstLine="0" w:left="2268"/>
        <w:jc w:val="both"/>
      </w:pPr>
      <w:r>
        <w:rPr>
          <w:b w:val="0"/>
          <w:i w:val="0"/>
          <w:sz w:val="20"/>
        </w:rPr>
        <w:t>Quanto ao recurso apresentado em virtude do disposto nas alíneas “b” e “c” do inciso I do caput deste artigo, serão observadas as seguintes disposições: […]</w:t>
      </w:r>
      <w:r>
        <w:rPr>
          <w:b w:val="0"/>
          <w:i w:val="0"/>
          <w:sz w:val="20"/>
        </w:rPr>
        <w:t xml:space="preserve"> (BRASIL, 2021, art. 165, § 1º)</w:t>
      </w:r>
    </w:p>
    <w:p>
      <w:pPr>
        <w:spacing w:before="0" w:after="120" w:line="360" w:lineRule="auto"/>
        <w:ind w:firstLine="709"/>
        <w:jc w:val="both"/>
      </w:pPr>
      <w:r>
        <w:rPr>
          <w:b/>
          <w:i w:val="0"/>
          <w:color w:val="12324A"/>
        </w:rPr>
        <w:t xml:space="preserve">Análise. </w:t>
      </w:r>
      <w:r>
        <w:rPr>
          <w:b w:val="0"/>
          <w:i w:val="0"/>
        </w:rPr>
        <w:t>O art. 165, I fixa o prazo de 3 dias úteis para o recurso. O rito do art. 165 deve ser reproduzido no edital, e prazos mais curtos que os legais para o julgamento podem levar a decisões sem a devida instrução ou a descumprimento do próprio edital.</w:t>
      </w:r>
    </w:p>
    <w:p>
      <w:pPr>
        <w:spacing w:before="0" w:after="120" w:line="360" w:lineRule="auto"/>
        <w:ind w:firstLine="709"/>
        <w:jc w:val="both"/>
      </w:pPr>
      <w:r>
        <w:rPr>
          <w:b/>
          <w:i w:val="0"/>
          <w:color w:val="3D8FA6"/>
        </w:rPr>
        <w:t xml:space="preserve">Risco de manutenção. </w:t>
      </w:r>
      <w:r>
        <w:rPr>
          <w:b w:val="0"/>
          <w:i w:val="0"/>
        </w:rPr>
        <w:t>Julgamento precipitado ou prazo inexequível para a autoridade superior. Dúvida sobre o tratamento do recurso sem razões escritas.</w:t>
      </w:r>
    </w:p>
    <w:p>
      <w:pPr>
        <w:spacing w:before="0" w:after="120" w:line="360" w:lineRule="auto"/>
        <w:ind w:firstLine="709"/>
        <w:jc w:val="both"/>
      </w:pPr>
      <w:r>
        <w:rPr>
          <w:b/>
          <w:i w:val="0"/>
          <w:color w:val="12324A"/>
        </w:rPr>
        <w:t xml:space="preserve">Providência recomendada. </w:t>
      </w:r>
      <w:r>
        <w:rPr>
          <w:b w:val="0"/>
          <w:i w:val="0"/>
        </w:rPr>
        <w:t>Ajustar o item 14.6 ao prazo legal de decisão da autoridade superior (10 dias úteis). Esclarecer no item 14.5 que a ausência de razões escritas implica o não conhecimento do recurso, ou justificar a regra adotada.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14.6 – Os recursos serão dirigidos ao Pregoeiro, que poderá reconsiderar sua decisão no prazo de 3 (três) dias úteis ou, nesse prazo, encaminhá-los à autoridade superior, que decidirá em até 10 (dez) dias úteis, contados do recebimento dos autos.</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3.13 Vigência e prorrogação de serviços contínuos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itens 7.1 e 7.2.1 [página 5]; TR itens B e 2.2 [páginas 47 e 49]; minuta, Cláusula Nona [página 105]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prorrogação é prevista no edital (7.2.1) e no TR (B e 2.2), com justificativa de continuidade do Auxílio Funeral. Há, porém, imprecisões: (i) o edital não condiciona expressamente a prorrogação à vantajosidade, e o TR (item B) o faz; (ii) o TR (item B) limita a 60 meses, enquanto o TR (2.2) e o edital remetem genericamente aos arts. 105 a 107; (iii) a vigência é descrita de formas diferentes (edital 7.1: da assinatura até 12 meses contados da OIS; TR: 12 meses a partir da OIS; minuta: da assinatura ou do memorando de início).</w:t>
      </w:r>
    </w:p>
    <w:p>
      <w:pPr>
        <w:spacing w:before="0" w:after="120" w:line="360" w:lineRule="auto"/>
        <w:ind w:firstLine="709"/>
        <w:jc w:val="both"/>
      </w:pPr>
      <w:r>
        <w:rPr>
          <w:b w:val="0"/>
          <w:i w:val="0"/>
        </w:rPr>
        <w:t>O documento dispõe: “7.1 – O Contrato vigorará a partir da assinatura até 12 (doze) meses, contados a partir da Ordem” (Edital, itens 7.1 e 7.2.1 [página 5]; TR itens B e 2.2 [páginas 47 e 49]; minuta, Cláusula Nona [página 105]).</w:t>
      </w:r>
    </w:p>
    <w:p>
      <w:pPr>
        <w:spacing w:before="0" w:after="80" w:line="360" w:lineRule="auto"/>
        <w:ind w:firstLine="709"/>
        <w:jc w:val="both"/>
      </w:pPr>
      <w:r>
        <w:rPr>
          <w:b/>
          <w:i w:val="0"/>
          <w:color w:val="12324A"/>
        </w:rPr>
        <w:t xml:space="preserve">Dispositivo aplicável. </w:t>
      </w:r>
      <w:r>
        <w:rPr>
          <w:b w:val="0"/>
          <w:i w:val="0"/>
        </w:rPr>
        <w:t>A matéria é disciplinada pelo art. 106 e pelo art. 107, da Lei 14.133/2021, que assim dispõem:</w:t>
      </w:r>
    </w:p>
    <w:p>
      <w:pPr>
        <w:spacing w:before="80" w:after="200" w:line="240" w:lineRule="auto"/>
        <w:ind w:firstLine="0" w:left="2268"/>
        <w:jc w:val="both"/>
      </w:pPr>
      <w:r>
        <w:rPr>
          <w:b w:val="0"/>
          <w:i w:val="0"/>
          <w:sz w:val="20"/>
        </w:rPr>
        <w:t>A Administração poderá celebrar contratos com prazo de até 5 (cinco) anos nas hipóteses de serviços e fornecimentos contínuos, observadas as seguintes diretrizes: […]</w:t>
      </w:r>
      <w:r>
        <w:rPr>
          <w:b w:val="0"/>
          <w:i w:val="0"/>
          <w:sz w:val="20"/>
        </w:rPr>
        <w:t xml:space="preserve"> (BRASIL, 2021, art. 106)</w:t>
      </w:r>
    </w:p>
    <w:p>
      <w:pPr>
        <w:spacing w:before="80" w:after="200" w:line="240" w:lineRule="auto"/>
        <w:ind w:firstLine="0" w:left="2268"/>
        <w:jc w:val="both"/>
      </w:pPr>
      <w:r>
        <w:rPr>
          <w:b w:val="0"/>
          <w:i w:val="0"/>
          <w:sz w:val="20"/>
        </w:rPr>
        <w:t>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w:t>
      </w:r>
      <w:r>
        <w:rPr>
          <w:b w:val="0"/>
          <w:i w:val="0"/>
          <w:sz w:val="20"/>
        </w:rPr>
        <w:t xml:space="preserve"> (BRASIL, 2021, art. 107)</w:t>
      </w:r>
    </w:p>
    <w:p>
      <w:pPr>
        <w:spacing w:before="0" w:after="120" w:line="360" w:lineRule="auto"/>
        <w:ind w:firstLine="709"/>
        <w:jc w:val="both"/>
      </w:pPr>
      <w:r>
        <w:rPr>
          <w:b/>
          <w:i w:val="0"/>
          <w:color w:val="12324A"/>
        </w:rPr>
        <w:t xml:space="preserve">Análise. </w:t>
      </w:r>
      <w:r>
        <w:rPr>
          <w:b w:val="0"/>
          <w:i w:val="0"/>
        </w:rPr>
        <w:t>O art. 107 exige previsão em edital e ateste de que condições e preços permanecem vantajosos. O art. 106 trata do prazo de até 5 anos. Termo inicial e limite incertos fragilizam a prorrogação futura.</w:t>
      </w:r>
    </w:p>
    <w:p>
      <w:pPr>
        <w:spacing w:before="0" w:after="120" w:line="360" w:lineRule="auto"/>
        <w:ind w:firstLine="709"/>
        <w:jc w:val="both"/>
      </w:pPr>
      <w:r>
        <w:rPr>
          <w:b/>
          <w:i w:val="0"/>
          <w:color w:val="3D8FA6"/>
        </w:rPr>
        <w:t xml:space="preserve">Risco de manutenção. </w:t>
      </w:r>
      <w:r>
        <w:rPr>
          <w:b w:val="0"/>
          <w:i w:val="0"/>
        </w:rPr>
        <w:t>Dúvida sobre o marco inicial da vigência e sobre o limite de prorrogação. Prorrogação juridicamente frágil se a vantajosidade não for atestada.</w:t>
      </w:r>
    </w:p>
    <w:p>
      <w:pPr>
        <w:spacing w:before="0" w:after="120" w:line="360" w:lineRule="auto"/>
        <w:ind w:firstLine="709"/>
        <w:jc w:val="both"/>
      </w:pPr>
      <w:r>
        <w:rPr>
          <w:b/>
          <w:i w:val="0"/>
          <w:color w:val="12324A"/>
        </w:rPr>
        <w:t xml:space="preserve">Providência recomendada. </w:t>
      </w:r>
      <w:r>
        <w:rPr>
          <w:b w:val="0"/>
          <w:i w:val="0"/>
        </w:rPr>
        <w:t>Uniformizar o termo inicial da vigência e o limite de prorrogação em edital, TR e minuta, e prever no edital a condição de vantajosidade.</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7.1 – O contrato terá vigência de 12 (doze) meses, contados da data de sua assinatura. 7.2.1 – O contrato poderá ser prorrogado por períodos sucessivos, até o limite de 60 (sessenta) meses, desde que a autoridade competente ateste que as condições e os preços permanecem vantajosos para a Administração, nos termos dos arts. 106 e 107 da Lei nº 14.133/2021.</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3.14 Resíduos de modelo no edital e vedações de participação além das hipóteses legais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Edital, itens 8.10 a 8.12 [páginas 7 e 8]; 10.4 [página 11]; 17.3.2 [página 31]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mantém dispositivos de outros objetos: dedução de contribuição previdenciária do valor da proposta (10.4 e 10.4.1), obrigação de programa de integridade em contratações de grande vulto (17.3.2), regras de cooperativa de trabalho (17.9), referências a "entrega do bem". O item 8.10 exige prévia aprovação da Secretaria para operações societárias da licitante ou contratada, sob pena de rescisão. O item 8.11 veda participação de empresas com sócios, dirigentes ou "componentes do quadro técnico" servidores municipais nos últimos 180 dias e com ex-ocupantes de 1º e 2º escalões nos últimos 12 meses. O item 8.12 veda quem tenha profissional que atuou como colaborador do TR.</w:t>
      </w:r>
    </w:p>
    <w:p>
      <w:pPr>
        <w:spacing w:before="0" w:after="120" w:line="360" w:lineRule="auto"/>
        <w:ind w:firstLine="709"/>
        <w:jc w:val="both"/>
      </w:pPr>
      <w:r>
        <w:rPr>
          <w:b w:val="0"/>
          <w:i w:val="0"/>
        </w:rPr>
        <w:t>O documento dispõe: “8.10 – As operações societárias promovidas pela empresa licitante ou contratada deverão ser” (Edital, itens 8.10 a 8.12 [páginas 7 e 8]; 10.4 [página 11]; 17.3.2 [página 31]).</w:t>
      </w:r>
    </w:p>
    <w:p>
      <w:pPr>
        <w:spacing w:before="0" w:after="80" w:line="360" w:lineRule="auto"/>
        <w:ind w:firstLine="709"/>
        <w:jc w:val="both"/>
      </w:pPr>
      <w:r>
        <w:rPr>
          <w:b/>
          <w:i w:val="0"/>
          <w:color w:val="12324A"/>
        </w:rPr>
        <w:t xml:space="preserve">Dispositivo aplicável. </w:t>
      </w:r>
      <w:r>
        <w:rPr>
          <w:b w:val="0"/>
          <w:i w:val="0"/>
        </w:rPr>
        <w:t>A matéria é disciplinada pelo art. 9, inciso I, alínea a e pelo art. 14, da Lei 14.133/2021, que assim dispõem:</w:t>
      </w:r>
    </w:p>
    <w:p>
      <w:pPr>
        <w:spacing w:before="80" w:after="200" w:line="240" w:lineRule="auto"/>
        <w:ind w:firstLine="0" w:left="2268"/>
        <w:jc w:val="both"/>
      </w:pPr>
      <w:r>
        <w:rPr>
          <w:b w:val="0"/>
          <w:i w:val="0"/>
          <w:sz w:val="20"/>
        </w:rPr>
        <w:t>admitir, prever, incluir ou tolerar, nos atos que praticar, situações que: […] comprometam, restrinjam ou frustrem o caráter competitivo do processo licitatório, inclusive nos casos de participação de sociedades cooperativas;</w:t>
      </w:r>
      <w:r>
        <w:rPr>
          <w:b w:val="0"/>
          <w:i w:val="0"/>
          <w:sz w:val="20"/>
        </w:rPr>
        <w:t xml:space="preserve"> (BRASIL, 2021, art. 9, inciso I, alínea a)</w:t>
      </w:r>
    </w:p>
    <w:p>
      <w:pPr>
        <w:spacing w:before="80" w:after="200" w:line="240" w:lineRule="auto"/>
        <w:ind w:firstLine="0" w:left="2268"/>
        <w:jc w:val="both"/>
      </w:pPr>
      <w:r>
        <w:rPr>
          <w:b w:val="0"/>
          <w:i w:val="0"/>
          <w:sz w:val="20"/>
        </w:rPr>
        <w:t>Não poderão disputar licitação ou participar da execução de contrato, direta ou indiretamente: […]</w:t>
      </w:r>
      <w:r>
        <w:rPr>
          <w:b w:val="0"/>
          <w:i w:val="0"/>
          <w:sz w:val="20"/>
        </w:rPr>
        <w:t xml:space="preserve"> (BRASIL, 2021, art. 14)</w:t>
      </w:r>
    </w:p>
    <w:p>
      <w:pPr>
        <w:spacing w:before="0" w:after="120" w:line="360" w:lineRule="auto"/>
        <w:ind w:firstLine="709"/>
        <w:jc w:val="both"/>
      </w:pPr>
      <w:r>
        <w:rPr>
          <w:b/>
          <w:i w:val="0"/>
          <w:color w:val="12324A"/>
        </w:rPr>
        <w:t xml:space="preserve">Análise. </w:t>
      </w:r>
      <w:r>
        <w:rPr>
          <w:b w:val="0"/>
          <w:i w:val="0"/>
        </w:rPr>
        <w:t>Os impedimentos de participação devem decorrer da lei (art. 14). Condições adicionais, sem previsão legal ou justificativa, podem restringir a competição. Resíduos de modelo geram confusão sobre as obrigações do licitante.</w:t>
      </w:r>
    </w:p>
    <w:p>
      <w:pPr>
        <w:spacing w:before="0" w:after="120" w:line="360" w:lineRule="auto"/>
        <w:ind w:firstLine="709"/>
        <w:jc w:val="both"/>
      </w:pPr>
      <w:r>
        <w:rPr>
          <w:b/>
          <w:i w:val="0"/>
          <w:color w:val="3D8FA6"/>
        </w:rPr>
        <w:t xml:space="preserve">Risco de manutenção. </w:t>
      </w:r>
      <w:r>
        <w:rPr>
          <w:b w:val="0"/>
          <w:i w:val="0"/>
        </w:rPr>
        <w:t>Impugnações por restrição indevida e questionamentos sobre exigências sem aplicação ao objeto.</w:t>
      </w:r>
    </w:p>
    <w:p>
      <w:pPr>
        <w:spacing w:before="0" w:after="120" w:line="360" w:lineRule="auto"/>
        <w:ind w:firstLine="709"/>
        <w:jc w:val="both"/>
      </w:pPr>
      <w:r>
        <w:rPr>
          <w:b/>
          <w:i w:val="0"/>
          <w:color w:val="12324A"/>
        </w:rPr>
        <w:t xml:space="preserve">Providência recomendada. </w:t>
      </w:r>
      <w:r>
        <w:rPr>
          <w:b w:val="0"/>
          <w:i w:val="0"/>
        </w:rPr>
        <w:t>Justificar ou excluir as vedações dos itens 8.10 a 8.12 que não decorram da lei, e retirar os dispositivos inaplicáveis ao objeto.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3.15 Cronograma de desembolso uniforme incompatível com a execução sob demanda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TR, Anexo (B) [página 88]; minuta, Cláusula Terceira [página 101]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Anexo (B) distribui o valor estimado em 12 parcelas mensais iguais de R$ 128.452,47 (8,3%), e a minuta (Cláusula Terceira) prevê "despesa mensal". O TR, porém, estabelece execução sob demanda, sem cronograma fixo (6.2.1), com pagamento apenas pelos serviços executados e aceitos (edital 18.2.1).</w:t>
      </w:r>
    </w:p>
    <w:p>
      <w:pPr>
        <w:spacing w:before="0" w:after="120" w:line="360" w:lineRule="auto"/>
        <w:ind w:firstLine="709"/>
        <w:jc w:val="both"/>
      </w:pPr>
      <w:r>
        <w:rPr>
          <w:b w:val="0"/>
          <w:i w:val="0"/>
        </w:rPr>
        <w:t>O documento dispõe: “ANEXO (B) – CRONOGRAMA DE DESEMBOLSO” (TR, Anexo (B) [página 88]; minuta, Cláusula Terceira [página 101]).</w:t>
      </w:r>
    </w:p>
    <w:p>
      <w:pPr>
        <w:spacing w:before="0" w:after="80" w:line="360" w:lineRule="auto"/>
        <w:ind w:firstLine="709"/>
        <w:jc w:val="both"/>
      </w:pPr>
      <w:r>
        <w:rPr>
          <w:b/>
          <w:i w:val="0"/>
          <w:color w:val="12324A"/>
        </w:rPr>
        <w:t xml:space="preserve">Dispositivo aplicável. </w:t>
      </w:r>
      <w:r>
        <w:rPr>
          <w:b w:val="0"/>
          <w:i w:val="0"/>
        </w:rPr>
        <w:t>A matéria é disciplinada pelo art. 92, da Lei 14.133/2021, que assim dispõe:</w:t>
      </w:r>
    </w:p>
    <w:p>
      <w:pPr>
        <w:spacing w:before="80" w:after="200" w:line="240" w:lineRule="auto"/>
        <w:ind w:firstLine="0" w:left="2268"/>
        <w:jc w:val="both"/>
      </w:pPr>
      <w:r>
        <w:rPr>
          <w:b w:val="0"/>
          <w:i w:val="0"/>
          <w:sz w:val="20"/>
        </w:rPr>
        <w:t>São necessárias em todo contrato cláusulas que estabeleçam: […]</w:t>
      </w:r>
      <w:r>
        <w:rPr>
          <w:b w:val="0"/>
          <w:i w:val="0"/>
          <w:sz w:val="20"/>
        </w:rPr>
        <w:t xml:space="preserve"> (BRASIL, 2021, art. 92)</w:t>
      </w:r>
    </w:p>
    <w:p>
      <w:pPr>
        <w:spacing w:before="0" w:after="120" w:line="360" w:lineRule="auto"/>
        <w:ind w:firstLine="709"/>
        <w:jc w:val="both"/>
      </w:pPr>
      <w:r>
        <w:rPr>
          <w:b/>
          <w:i w:val="0"/>
          <w:color w:val="12324A"/>
        </w:rPr>
        <w:t xml:space="preserve">Análise. </w:t>
      </w:r>
      <w:r>
        <w:rPr>
          <w:b w:val="0"/>
          <w:i w:val="0"/>
        </w:rPr>
        <w:t>O instrumento deve refletir a forma real de execução e de pagamento. Cronograma e valor mensal fixos sugerem remuneração mensal independente da demanda.</w:t>
      </w:r>
    </w:p>
    <w:p>
      <w:pPr>
        <w:spacing w:before="0" w:after="120" w:line="360" w:lineRule="auto"/>
        <w:ind w:firstLine="709"/>
        <w:jc w:val="both"/>
      </w:pPr>
      <w:r>
        <w:rPr>
          <w:b/>
          <w:i w:val="0"/>
          <w:color w:val="3D8FA6"/>
        </w:rPr>
        <w:t xml:space="preserve">Risco de manutenção. </w:t>
      </w:r>
      <w:r>
        <w:rPr>
          <w:b w:val="0"/>
          <w:i w:val="0"/>
        </w:rPr>
        <w:t>Interpretação de que há remuneração mensal garantida ou discussões sobre empenho e pagamento.</w:t>
      </w:r>
    </w:p>
    <w:p>
      <w:pPr>
        <w:spacing w:before="0" w:after="120" w:line="360" w:lineRule="auto"/>
        <w:ind w:firstLine="709"/>
        <w:jc w:val="both"/>
      </w:pPr>
      <w:r>
        <w:rPr>
          <w:b/>
          <w:i w:val="0"/>
          <w:color w:val="12324A"/>
        </w:rPr>
        <w:t xml:space="preserve">Providência recomendada. </w:t>
      </w:r>
      <w:r>
        <w:rPr>
          <w:b w:val="0"/>
          <w:i w:val="0"/>
        </w:rPr>
        <w:t>Indicar no Anexo (B) que o cronograma é estimativo e sujeito à demanda, e ajustar a Cláusula Terceira para pagamento por serviço executado.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1"/>
        <w:keepNext/>
        <w:spacing w:before="360" w:after="160" w:line="360" w:lineRule="auto"/>
        <w:ind w:firstLine="0"/>
        <w:jc w:val="left"/>
      </w:pPr>
      <w:r>
        <w:rPr>
          <w:rFonts w:ascii="Arial" w:hAnsi="Arial"/>
          <w:b/>
          <w:i w:val="0"/>
          <w:color w:val="12324A"/>
          <w:sz w:val="24"/>
        </w:rPr>
        <w:t>4 RECOMENDAÇÕES DE MELHORIA</w:t>
      </w:r>
    </w:p>
    <w:p>
      <w:pPr>
        <w:spacing w:before="0" w:after="120" w:line="360" w:lineRule="auto"/>
        <w:ind w:firstLine="709"/>
        <w:jc w:val="both"/>
      </w:pPr>
      <w:r>
        <w:rPr>
          <w:b w:val="0"/>
          <w:i w:val="0"/>
        </w:rPr>
        <w:t>Os pontos a seguir não configuram irregularidade, mas podem ser aperfeiçoados para dar mais segurança ao processo:</w:t>
      </w:r>
    </w:p>
    <w:p>
      <w:pPr>
        <w:spacing w:before="0" w:after="120" w:line="360" w:lineRule="auto"/>
        <w:ind w:left="425" w:hanging="425"/>
        <w:jc w:val="both"/>
      </w:pPr>
      <w:r>
        <w:rPr>
          <w:b/>
          <w:i w:val="0"/>
          <w:color w:val="1F7A8C"/>
        </w:rPr>
        <w:t xml:space="preserve">a) </w:t>
      </w:r>
      <w:r>
        <w:rPr>
          <w:b/>
          <w:i w:val="0"/>
        </w:rPr>
        <w:t xml:space="preserve">Conteúdo mínimo do edital: </w:t>
      </w:r>
      <w:r>
        <w:rPr>
          <w:b w:val="0"/>
          <w:i w:val="0"/>
        </w:rPr>
        <w:t>A fiscalização e a gestão estão detalhadas apenas no TR (cap. 7). Vale remeter expressamente ao TR no corpo do edital e corrigir as falhas de coerência apontadas nos itens ed-15 e ed-18. (art. 25, da Lei 14.133/2021).</w:t>
      </w:r>
    </w:p>
    <w:p>
      <w:pPr>
        <w:spacing w:before="0" w:after="120" w:line="360" w:lineRule="auto"/>
        <w:ind w:left="425" w:hanging="425"/>
        <w:jc w:val="both"/>
      </w:pPr>
      <w:r>
        <w:rPr>
          <w:b/>
          <w:i w:val="0"/>
          <w:color w:val="1F7A8C"/>
        </w:rPr>
        <w:t xml:space="preserve">b) </w:t>
      </w:r>
      <w:r>
        <w:rPr>
          <w:b/>
          <w:i w:val="0"/>
        </w:rPr>
        <w:t xml:space="preserve">Critério de reajuste em serviços contínuos: </w:t>
      </w:r>
      <w:r>
        <w:rPr>
          <w:b w:val="0"/>
          <w:i w:val="0"/>
        </w:rPr>
        <w:t>Retirar da minuta os Parágrafos Quarto e Quinto da Cláusula Quinta e os incisos X a XII da Cláusula Décima, que tratam de dedicação exclusiva de mão de obra e não se aplicam a este objeto. (art. 25, § 8º, inciso I, da Lei 14.133/2021; art. 25, § 8º, inciso II, da Lei 14.133/2021; art. 92, § 4º, inciso II, da Lei 14.133/2021; art. 135, da Lei 14.133/2021).</w:t>
      </w:r>
    </w:p>
    <w:p>
      <w:pPr>
        <w:spacing w:before="0" w:after="120" w:line="360" w:lineRule="auto"/>
        <w:ind w:left="425" w:hanging="425"/>
        <w:jc w:val="both"/>
      </w:pPr>
      <w:r>
        <w:rPr>
          <w:b/>
          <w:i w:val="0"/>
          <w:color w:val="1F7A8C"/>
        </w:rPr>
        <w:t xml:space="preserve">c) </w:t>
      </w:r>
      <w:r>
        <w:rPr>
          <w:b/>
          <w:i w:val="0"/>
        </w:rPr>
        <w:t xml:space="preserve">Prazo mínimo para apresentação de propostas: </w:t>
      </w:r>
      <w:r>
        <w:rPr>
          <w:b w:val="0"/>
          <w:i w:val="0"/>
        </w:rPr>
        <w:t>O item 22.2 fala em prazos em "dias consecutivos", o que pode gerar dúvida quanto aos prazos fixados em dias úteis (impugnação, recurso, habilitação). Convém esclarecer isso. Como o orçamento é de 08/05/2026 e a sessão ocorre quase seis meses depois, vale confirmar que os preços de referência continuam atuais. (art. 55, da Lei 14.133/2021; art. 183, da Lei 14.133/2021; art. 183, § 1º, inciso I, da Lei 14.133/2021).</w:t>
      </w:r>
    </w:p>
    <w:p>
      <w:pPr>
        <w:spacing w:before="0" w:after="120" w:line="360" w:lineRule="auto"/>
        <w:ind w:left="425" w:hanging="425"/>
        <w:jc w:val="both"/>
      </w:pPr>
      <w:r>
        <w:rPr>
          <w:b/>
          <w:i w:val="0"/>
          <w:color w:val="1F7A8C"/>
        </w:rPr>
        <w:t xml:space="preserve">d) </w:t>
      </w:r>
      <w:r>
        <w:rPr>
          <w:b/>
          <w:i w:val="0"/>
        </w:rPr>
        <w:t xml:space="preserve">Participação em consórcio: </w:t>
      </w:r>
      <w:r>
        <w:rPr>
          <w:b w:val="0"/>
          <w:i w:val="0"/>
        </w:rPr>
        <w:t>O item 8.16.1 do edital ainda menciona empresa estrangeira "líder de consórcio", o que destoa da vedação. Convém ajustar. Mantenha a justificativa também no ETP. (art. 15, da Lei 14.133/2021).</w:t>
      </w:r>
    </w:p>
    <w:p>
      <w:pPr>
        <w:spacing w:before="0" w:after="120" w:line="360" w:lineRule="auto"/>
        <w:ind w:left="425" w:hanging="425"/>
        <w:jc w:val="both"/>
      </w:pPr>
      <w:r>
        <w:rPr>
          <w:b/>
          <w:i w:val="0"/>
          <w:color w:val="1F7A8C"/>
        </w:rPr>
        <w:t xml:space="preserve">e) </w:t>
      </w:r>
      <w:r>
        <w:rPr>
          <w:b/>
          <w:i w:val="0"/>
        </w:rPr>
        <w:t xml:space="preserve">Tratamento diferenciado a ME e EPP: </w:t>
      </w:r>
      <w:r>
        <w:rPr>
          <w:b w:val="0"/>
          <w:i w:val="0"/>
        </w:rPr>
        <w:t>O objeto reúne itens de natureza diversa (bens e serviços) com preços unitários. Convém reforçar no ETP a justificativa para não adotar cota ou exclusividade para ME/EPP. O Anexo XI traz ano de licitação incorreto ("2023") e deve ser corrigido. (art. 4, da Lei 14.133/2021; art. 4, § 1º, da Lei 14.133/2021).</w:t>
      </w:r>
    </w:p>
    <w:p>
      <w:pPr>
        <w:spacing w:before="0" w:after="120" w:line="360" w:lineRule="auto"/>
        <w:ind w:left="425" w:hanging="425"/>
        <w:jc w:val="both"/>
      </w:pPr>
      <w:r>
        <w:rPr>
          <w:b/>
          <w:i w:val="0"/>
          <w:color w:val="1F7A8C"/>
        </w:rPr>
        <w:t xml:space="preserve">f) </w:t>
      </w:r>
      <w:r>
        <w:rPr>
          <w:b/>
          <w:i w:val="0"/>
        </w:rPr>
        <w:t xml:space="preserve">Sanções e multas: </w:t>
      </w:r>
      <w:r>
        <w:rPr>
          <w:b w:val="0"/>
          <w:i w:val="0"/>
        </w:rPr>
        <w:t>O item 20.1 do edital remete a recusa em assinar o contrato à sanção do subitem 20.2 "d" (impedimento), mas o TR (14.1) remete ao subitem "a" (advertência). Uniformizar (ver ed-18). (art. 156, da Lei 14.133/2021; art. 156, § 3º, da Lei 14.133/2021).</w:t>
      </w:r>
    </w:p>
    <w:p>
      <w:pPr>
        <w:pStyle w:val="Heading1"/>
        <w:keepNext/>
        <w:spacing w:before="360" w:after="160" w:line="360" w:lineRule="auto"/>
        <w:ind w:firstLine="0"/>
        <w:jc w:val="left"/>
      </w:pPr>
      <w:r>
        <w:rPr>
          <w:rFonts w:ascii="Arial" w:hAnsi="Arial"/>
          <w:b/>
          <w:i w:val="0"/>
          <w:color w:val="12324A"/>
          <w:sz w:val="24"/>
        </w:rPr>
        <w:t>5 CONCLUSÃO</w:t>
      </w:r>
    </w:p>
    <w:p>
      <w:pPr>
        <w:spacing w:before="0" w:after="120" w:line="360" w:lineRule="auto"/>
        <w:ind w:firstLine="709"/>
        <w:jc w:val="both"/>
      </w:pPr>
      <w:r>
        <w:rPr>
          <w:b w:val="0"/>
          <w:i w:val="0"/>
        </w:rPr>
        <w:t>O edital não apresenta vício que o torne, por si só, insanável, e atende a vários requisitos centrais da Lei 14.133/2021. Recomenda-se, porém, que as correções apontadas sejam feitas antes da homologação, ou antes da própria sessão, se possível. A data da análise (29/10/2026) coincide com a abertura. Se houver alteração que afete a formulação das propostas, deve-se retificar o edital e reabrir o prazo (art. 55, § 1º). As prioridades são: (a) harmonizar edital, TR e minuta (pagamento, sanções, parcelas de maior relevância e estrutura técnica); (b) corrigir os prazos de impugnação e recurso; (c) rever a exigência de câmara fria própria; (d) justificar ou ajustar o julgamento por menor preço global e os quantitativos; (e) preencher e depurar a minuta de contrato; (f) juntar ao processo o parecer jurídico (art. 53), o ETP e as justificativas de habilitação, não enviados para esta análise. Esta manifestação é opinativa. A decisão de corrigir ou manter cada ponto cabe à autoridade competente.</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C9781E"/>
        </w:rPr>
        <w:t xml:space="preserve">1. </w:t>
      </w:r>
      <w:r>
        <w:rPr>
          <w:b/>
          <w:i w:val="0"/>
        </w:rPr>
        <w:t xml:space="preserve">Qualificação técnica proporcional </w:t>
      </w:r>
      <w:r>
        <w:rPr>
          <w:b w:val="0"/>
          <w:i w:val="0"/>
          <w:color w:val="C9781E"/>
        </w:rPr>
        <w:t xml:space="preserve">(gravidade média, item 3.1): </w:t>
      </w:r>
      <w:r>
        <w:rPr>
          <w:b w:val="0"/>
          <w:i w:val="0"/>
        </w:rPr>
        <w:t>Reproduzir no edital a lista de parcelas de maior relevância e os quantitativos mínimos do TR 9.6.5.3. Remover a referência a "prazos compatíveis" ou esclarecer que não há exigência de tempo mínimo. Delimitar de forma objetiva o que é "complexidade equivalente". Incluir no item 13(E) a exigência de comprovação das instalações, se mantida (ver apontamento sobre a câmara fria).</w:t>
      </w:r>
    </w:p>
    <w:p>
      <w:pPr>
        <w:spacing w:before="0" w:after="80" w:line="360" w:lineRule="auto"/>
        <w:ind w:left="425" w:hanging="425"/>
        <w:jc w:val="both"/>
      </w:pPr>
      <w:r>
        <w:rPr>
          <w:b/>
          <w:i w:val="0"/>
          <w:color w:val="C9781E"/>
        </w:rPr>
        <w:t xml:space="preserve">2. </w:t>
      </w:r>
      <w:r>
        <w:rPr>
          <w:b/>
          <w:i w:val="0"/>
        </w:rPr>
        <w:t xml:space="preserve">Impugnação e esclarecimentos </w:t>
      </w:r>
      <w:r>
        <w:rPr>
          <w:b w:val="0"/>
          <w:i w:val="0"/>
          <w:color w:val="C9781E"/>
        </w:rPr>
        <w:t xml:space="preserve">(gravidade média, item 3.2): </w:t>
      </w:r>
      <w:r>
        <w:rPr>
          <w:b w:val="0"/>
          <w:i w:val="0"/>
        </w:rPr>
        <w:t>Igualar o tratamento da impugnação ao dos esclarecimentos, com o limite do último dia útil anterior à abertura e a divulgação no sistema e no sítio oficial. Esclarecer o alcance do efeito suspensivo (ou excluí-lo). Admitir também o envio pelo sistema eletrônico.</w:t>
      </w:r>
    </w:p>
    <w:p>
      <w:pPr>
        <w:spacing w:before="0" w:after="80" w:line="360" w:lineRule="auto"/>
        <w:ind w:left="425" w:hanging="425"/>
        <w:jc w:val="both"/>
      </w:pPr>
      <w:r>
        <w:rPr>
          <w:b/>
          <w:i w:val="0"/>
          <w:color w:val="C9781E"/>
        </w:rPr>
        <w:t xml:space="preserve">3. </w:t>
      </w:r>
      <w:r>
        <w:rPr>
          <w:b/>
          <w:i w:val="0"/>
        </w:rPr>
        <w:t xml:space="preserve">Minuta de contrato como anexo e cláusulas necessárias </w:t>
      </w:r>
      <w:r>
        <w:rPr>
          <w:b w:val="0"/>
          <w:i w:val="0"/>
          <w:color w:val="C9781E"/>
        </w:rPr>
        <w:t xml:space="preserve">(gravidade média, item 3.3): </w:t>
      </w:r>
      <w:r>
        <w:rPr>
          <w:b w:val="0"/>
          <w:i w:val="0"/>
        </w:rPr>
        <w:t>Preencher tudo o que já é conhecido (objeto conforme o TR, regime e forma de execução, valor estimado e pagamento por serviço executado, vigência de 12 meses, reajuste, dotação). Depurar o texto de modelo, corrigir a numeração e os erros ("cwnto", "VISÉGIMA") e avaliar a inclusão de matriz de alocação de riscos.</w:t>
      </w:r>
    </w:p>
    <w:p>
      <w:pPr>
        <w:spacing w:before="0" w:after="80" w:line="360" w:lineRule="auto"/>
        <w:ind w:left="425" w:hanging="425"/>
        <w:jc w:val="both"/>
      </w:pPr>
      <w:r>
        <w:rPr>
          <w:b/>
          <w:i w:val="0"/>
          <w:color w:val="C9781E"/>
        </w:rPr>
        <w:t xml:space="preserve">4. </w:t>
      </w:r>
      <w:r>
        <w:rPr>
          <w:b/>
          <w:i w:val="0"/>
        </w:rPr>
        <w:t xml:space="preserve">Coerência interna do edital e dos anexos </w:t>
      </w:r>
      <w:r>
        <w:rPr>
          <w:b w:val="0"/>
          <w:i w:val="0"/>
          <w:color w:val="C9781E"/>
        </w:rPr>
        <w:t xml:space="preserve">(gravidade média, item 3.4): </w:t>
      </w:r>
      <w:r>
        <w:rPr>
          <w:b w:val="0"/>
          <w:i w:val="0"/>
        </w:rPr>
        <w:t>Fazer uma revisão conjunta do edital, TR, minuta e anexos, com tabela única de prazo de pagamento, índice de correção, sanções, dotação e identificação do processo. Republicar o conjunto, se houver alteração relevante, reabrindo o prazo quando afetar as propostas (art. 55, § 1º).</w:t>
      </w:r>
    </w:p>
    <w:p>
      <w:pPr>
        <w:spacing w:before="0" w:after="80" w:line="360" w:lineRule="auto"/>
        <w:ind w:left="425" w:hanging="425"/>
        <w:jc w:val="both"/>
      </w:pPr>
      <w:r>
        <w:rPr>
          <w:b/>
          <w:i w:val="0"/>
          <w:color w:val="C9781E"/>
        </w:rPr>
        <w:t xml:space="preserve">5. </w:t>
      </w:r>
      <w:r>
        <w:rPr>
          <w:b/>
          <w:i w:val="0"/>
        </w:rPr>
        <w:t xml:space="preserve">TR datado após a divulgação do edital no PNCP </w:t>
      </w:r>
      <w:r>
        <w:rPr>
          <w:b w:val="0"/>
          <w:i w:val="0"/>
          <w:color w:val="C9781E"/>
        </w:rPr>
        <w:t xml:space="preserve">(gravidade média, item 3.5): </w:t>
      </w:r>
      <w:r>
        <w:rPr>
          <w:b w:val="0"/>
          <w:i w:val="0"/>
        </w:rPr>
        <w:t>Verificar no PNCP as versões publicadas. Se o TR foi alterado após 07/07/2026, publicar a retificação do edital e do TR. Avaliar a reabertura de prazo se a mudança afetar as propostas. Datar e assinar o edital.</w:t>
      </w:r>
    </w:p>
    <w:p>
      <w:pPr>
        <w:spacing w:before="0" w:after="80" w:line="360" w:lineRule="auto"/>
        <w:ind w:left="425" w:hanging="425"/>
        <w:jc w:val="both"/>
      </w:pPr>
      <w:r>
        <w:rPr>
          <w:b/>
          <w:i w:val="0"/>
          <w:color w:val="C9781E"/>
        </w:rPr>
        <w:t xml:space="preserve">6. </w:t>
      </w:r>
      <w:r>
        <w:rPr>
          <w:b/>
          <w:i w:val="0"/>
        </w:rPr>
        <w:t xml:space="preserve">Exigência de câmara fria própria, vedada estrutura de terceiros </w:t>
      </w:r>
      <w:r>
        <w:rPr>
          <w:b w:val="0"/>
          <w:i w:val="0"/>
          <w:color w:val="C9781E"/>
        </w:rPr>
        <w:t xml:space="preserve">(gravidade média, item 3.6): </w:t>
      </w:r>
      <w:r>
        <w:rPr>
          <w:b w:val="0"/>
          <w:i w:val="0"/>
        </w:rPr>
        <w:t>Justificar tecnicamente a exigência (inclusive sanitária) ou admitir a comprovação da disponibilidade por contrato, locação ou instrumento equivalente, com controle operacional assegurado. Explicitar o requisito no item 13(E) do edital, se mantido.</w:t>
      </w:r>
    </w:p>
    <w:p>
      <w:pPr>
        <w:spacing w:before="0" w:after="80" w:line="360" w:lineRule="auto"/>
        <w:ind w:left="425" w:hanging="425"/>
        <w:jc w:val="both"/>
      </w:pPr>
      <w:r>
        <w:rPr>
          <w:b/>
          <w:i w:val="0"/>
          <w:color w:val="C9781E"/>
        </w:rPr>
        <w:t xml:space="preserve">7. </w:t>
      </w:r>
      <w:r>
        <w:rPr>
          <w:b/>
          <w:i w:val="0"/>
        </w:rPr>
        <w:t xml:space="preserve">Julgamento por menor preço global de itens heterogêneos, sem preço unitário máximo </w:t>
      </w:r>
      <w:r>
        <w:rPr>
          <w:b w:val="0"/>
          <w:i w:val="0"/>
          <w:color w:val="C9781E"/>
        </w:rPr>
        <w:t xml:space="preserve">(gravidade média, item 3.7): </w:t>
      </w:r>
      <w:r>
        <w:rPr>
          <w:b w:val="0"/>
          <w:i w:val="0"/>
        </w:rPr>
        <w:t>Reforçar no ETP a demonstração da inviabilidade do parcelamento e a vantagem do agrupamento. Fixar no edital o preço unitário máximo de cada item (Anexo I) como critério de aceitabilidade, ou avaliar o julgamento por item ou em lotes menores.</w:t>
      </w:r>
    </w:p>
    <w:p>
      <w:pPr>
        <w:spacing w:before="0" w:after="80" w:line="360" w:lineRule="auto"/>
        <w:ind w:left="425" w:hanging="425"/>
        <w:jc w:val="both"/>
      </w:pPr>
      <w:r>
        <w:rPr>
          <w:b/>
          <w:i w:val="0"/>
          <w:color w:val="C9781E"/>
        </w:rPr>
        <w:t xml:space="preserve">8. </w:t>
      </w:r>
      <w:r>
        <w:rPr>
          <w:b/>
          <w:i w:val="0"/>
        </w:rPr>
        <w:t xml:space="preserve">Quantitativos estimados divergem da série histórica e da própria metodologia </w:t>
      </w:r>
      <w:r>
        <w:rPr>
          <w:b w:val="0"/>
          <w:i w:val="0"/>
          <w:color w:val="C9781E"/>
        </w:rPr>
        <w:t xml:space="preserve">(gravidade média, item 3.8): </w:t>
      </w:r>
      <w:r>
        <w:rPr>
          <w:b w:val="0"/>
          <w:i w:val="0"/>
        </w:rPr>
        <w:t>Refazer ou explicar a memória de cálculo item a item (metodologia, tendência decrescente, uso real de maquiagem e manto). Ajustar os quantitativos ou justificá-los. Recalcular, se necessário, os mínimos de atestado do TR 9.6.5.3.</w:t>
      </w:r>
    </w:p>
    <w:p>
      <w:pPr>
        <w:spacing w:before="0" w:after="80" w:line="360" w:lineRule="auto"/>
        <w:ind w:left="425" w:hanging="425"/>
        <w:jc w:val="both"/>
      </w:pPr>
      <w:r>
        <w:rPr>
          <w:b/>
          <w:i w:val="0"/>
          <w:color w:val="C9781E"/>
        </w:rPr>
        <w:t xml:space="preserve">9. </w:t>
      </w:r>
      <w:r>
        <w:rPr>
          <w:b/>
          <w:i w:val="0"/>
        </w:rPr>
        <w:t xml:space="preserve">Resíduos de modelo e referências indevidas a garantia na minuta de contrato </w:t>
      </w:r>
      <w:r>
        <w:rPr>
          <w:b w:val="0"/>
          <w:i w:val="0"/>
          <w:color w:val="C9781E"/>
        </w:rPr>
        <w:t xml:space="preserve">(gravidade média, item 3.9): </w:t>
      </w:r>
      <w:r>
        <w:rPr>
          <w:b w:val="0"/>
          <w:i w:val="0"/>
        </w:rPr>
        <w:t>Revisar a minuta e excluir ou ajustar as cláusulas inaplicáveis, corrigir as remissões, a numeração e os erros de digitação.</w:t>
      </w:r>
    </w:p>
    <w:p>
      <w:pPr>
        <w:spacing w:before="0" w:after="80" w:line="360" w:lineRule="auto"/>
        <w:ind w:left="425" w:hanging="425"/>
        <w:jc w:val="both"/>
      </w:pPr>
      <w:r>
        <w:rPr>
          <w:b/>
          <w:i w:val="0"/>
          <w:color w:val="3D8FA6"/>
        </w:rPr>
        <w:t xml:space="preserve">10. </w:t>
      </w:r>
      <w:r>
        <w:rPr>
          <w:b/>
          <w:i w:val="0"/>
        </w:rPr>
        <w:t xml:space="preserve">Índice de reajuste com data-base no orçamento </w:t>
      </w:r>
      <w:r>
        <w:rPr>
          <w:b w:val="0"/>
          <w:i w:val="0"/>
          <w:color w:val="3D8FA6"/>
        </w:rPr>
        <w:t xml:space="preserve">(gravidade baixa, item 3.10): </w:t>
      </w:r>
      <w:r>
        <w:rPr>
          <w:b w:val="0"/>
          <w:i w:val="0"/>
        </w:rPr>
        <w:t>Preencher a Cláusula Quinta com 12 meses, IPCA e data-base de 08/05/2026 (mês/ano do orçamento estimado), e excluir os Parágrafos Quarto e Quinto, que tratam de repactuação.</w:t>
      </w:r>
    </w:p>
    <w:p>
      <w:pPr>
        <w:spacing w:before="0" w:after="80" w:line="360" w:lineRule="auto"/>
        <w:ind w:left="425" w:hanging="425"/>
        <w:jc w:val="both"/>
      </w:pPr>
      <w:r>
        <w:rPr>
          <w:b/>
          <w:i w:val="0"/>
          <w:color w:val="3D8FA6"/>
        </w:rPr>
        <w:t xml:space="preserve">11. </w:t>
      </w:r>
      <w:r>
        <w:rPr>
          <w:b/>
          <w:i w:val="0"/>
        </w:rPr>
        <w:t xml:space="preserve">Qualificação econômico-financeira </w:t>
      </w:r>
      <w:r>
        <w:rPr>
          <w:b w:val="0"/>
          <w:i w:val="0"/>
          <w:color w:val="3D8FA6"/>
        </w:rPr>
        <w:t xml:space="preserve">(gravidade baixa, item 3.11): </w:t>
      </w:r>
      <w:r>
        <w:rPr>
          <w:b w:val="0"/>
          <w:i w:val="0"/>
        </w:rPr>
        <w:t>Registrar no ETP/TR a justificativa técnica do ILG ≥ 1 e do PL de 10%, com referência ao mercado funerário. Harmonizar o TR 9.5.3 com o edital, mantendo ou excluindo a declaração do contador.</w:t>
      </w:r>
    </w:p>
    <w:p>
      <w:pPr>
        <w:spacing w:before="0" w:after="80" w:line="360" w:lineRule="auto"/>
        <w:ind w:left="425" w:hanging="425"/>
        <w:jc w:val="both"/>
      </w:pPr>
      <w:r>
        <w:rPr>
          <w:b/>
          <w:i w:val="0"/>
          <w:color w:val="3D8FA6"/>
        </w:rPr>
        <w:t xml:space="preserve">12. </w:t>
      </w:r>
      <w:r>
        <w:rPr>
          <w:b/>
          <w:i w:val="0"/>
        </w:rPr>
        <w:t xml:space="preserve">Recursos administrativos </w:t>
      </w:r>
      <w:r>
        <w:rPr>
          <w:b w:val="0"/>
          <w:i w:val="0"/>
          <w:color w:val="3D8FA6"/>
        </w:rPr>
        <w:t xml:space="preserve">(gravidade baixa, item 3.12): </w:t>
      </w:r>
      <w:r>
        <w:rPr>
          <w:b w:val="0"/>
          <w:i w:val="0"/>
        </w:rPr>
        <w:t>Ajustar o item 14.6 ao prazo legal de decisão da autoridade superior (10 dias úteis). Esclarecer no item 14.5 que a ausência de razões escritas implica o não conhecimento do recurso, ou justificar a regra adotada.</w:t>
      </w:r>
    </w:p>
    <w:p>
      <w:pPr>
        <w:spacing w:before="0" w:after="80" w:line="360" w:lineRule="auto"/>
        <w:ind w:left="425" w:hanging="425"/>
        <w:jc w:val="both"/>
      </w:pPr>
      <w:r>
        <w:rPr>
          <w:b/>
          <w:i w:val="0"/>
          <w:color w:val="3D8FA6"/>
        </w:rPr>
        <w:t xml:space="preserve">13. </w:t>
      </w:r>
      <w:r>
        <w:rPr>
          <w:b/>
          <w:i w:val="0"/>
        </w:rPr>
        <w:t xml:space="preserve">Vigência e prorrogação de serviços contínuos </w:t>
      </w:r>
      <w:r>
        <w:rPr>
          <w:b w:val="0"/>
          <w:i w:val="0"/>
          <w:color w:val="3D8FA6"/>
        </w:rPr>
        <w:t xml:space="preserve">(gravidade baixa, item 3.13): </w:t>
      </w:r>
      <w:r>
        <w:rPr>
          <w:b w:val="0"/>
          <w:i w:val="0"/>
        </w:rPr>
        <w:t>Uniformizar o termo inicial da vigência e o limite de prorrogação em edital, TR e minuta, e prever no edital a condição de vantajosidade.</w:t>
      </w:r>
    </w:p>
    <w:p>
      <w:pPr>
        <w:spacing w:before="0" w:after="80" w:line="360" w:lineRule="auto"/>
        <w:ind w:left="425" w:hanging="425"/>
        <w:jc w:val="both"/>
      </w:pPr>
      <w:r>
        <w:rPr>
          <w:b/>
          <w:i w:val="0"/>
          <w:color w:val="3D8FA6"/>
        </w:rPr>
        <w:t xml:space="preserve">14. </w:t>
      </w:r>
      <w:r>
        <w:rPr>
          <w:b/>
          <w:i w:val="0"/>
        </w:rPr>
        <w:t xml:space="preserve">Resíduos de modelo no edital e vedações de participação além das hipóteses legais </w:t>
      </w:r>
      <w:r>
        <w:rPr>
          <w:b w:val="0"/>
          <w:i w:val="0"/>
          <w:color w:val="3D8FA6"/>
        </w:rPr>
        <w:t xml:space="preserve">(gravidade baixa, item 3.14): </w:t>
      </w:r>
      <w:r>
        <w:rPr>
          <w:b w:val="0"/>
          <w:i w:val="0"/>
        </w:rPr>
        <w:t>Justificar ou excluir as vedações dos itens 8.10 a 8.12 que não decorram da lei, e retirar os dispositivos inaplicáveis ao objeto.</w:t>
      </w:r>
    </w:p>
    <w:p>
      <w:pPr>
        <w:spacing w:before="0" w:after="80" w:line="360" w:lineRule="auto"/>
        <w:ind w:left="425" w:hanging="425"/>
        <w:jc w:val="both"/>
      </w:pPr>
      <w:r>
        <w:rPr>
          <w:b/>
          <w:i w:val="0"/>
          <w:color w:val="3D8FA6"/>
        </w:rPr>
        <w:t xml:space="preserve">15. </w:t>
      </w:r>
      <w:r>
        <w:rPr>
          <w:b/>
          <w:i w:val="0"/>
        </w:rPr>
        <w:t xml:space="preserve">Cronograma de desembolso uniforme incompatível com a execução sob demanda </w:t>
      </w:r>
      <w:r>
        <w:rPr>
          <w:b w:val="0"/>
          <w:i w:val="0"/>
          <w:color w:val="3D8FA6"/>
        </w:rPr>
        <w:t xml:space="preserve">(gravidade baixa, item 3.15): </w:t>
      </w:r>
      <w:r>
        <w:rPr>
          <w:b w:val="0"/>
          <w:i w:val="0"/>
        </w:rPr>
        <w:t>Indicar no Anexo (B) que o cronograma é estimativo e sujeito à demanda, e ajustar a Cláusula Terceira para pagamento por serviço executado.</w:t>
      </w:r>
    </w:p>
    <w:p>
      <w:pPr>
        <w:spacing w:before="120" w:after="120" w:line="360" w:lineRule="auto"/>
        <w:ind w:firstLine="709"/>
        <w:jc w:val="both"/>
      </w:pPr>
      <w:r>
        <w:rPr>
          <w:b w:val="0"/>
          <w:i w:val="0"/>
        </w:rPr>
        <w:t>Todos os aspectos identificados foram informados, inclusive os de baixa vulnerabilidade, para que o destinatário disponha de visão completa do processo. Trata-se de parecer técnico de natureza opinativa: as recomendações não o vinculam, e a decisão de promover os ajustes ou manter os documentos como estão compete exclusivamente a quem recebe este parecer, sob sua responsabilidade (STF, MS 24.631/DF; art. 28 do Decreto-Lei nº 4.657/1942). Este parecer não substitui o parecer jurídico de controle prévio de legalidade (art. 53 da Lei nº 14.133/2021).</w:t>
      </w:r>
    </w:p>
    <w:p>
      <w:pPr>
        <w:spacing w:before="0" w:after="360" w:line="360" w:lineRule="auto"/>
        <w:ind w:firstLine="709"/>
        <w:jc w:val="both"/>
      </w:pPr>
      <w:r>
        <w:rPr>
          <w:b w:val="0"/>
          <w:i w:val="0"/>
        </w:rPr>
        <w:t>É o parecer técnico, de caráter opinativo, salvo melhor juízo.</w:t>
      </w:r>
    </w:p>
    <w:p>
      <w:pPr>
        <w:spacing w:before="0" w:after="720" w:line="360" w:lineRule="auto"/>
        <w:ind w:firstLine="0"/>
        <w:jc w:val="right"/>
      </w:pPr>
      <w:r>
        <w:rPr>
          <w:b w:val="0"/>
          <w:i w:val="0"/>
        </w:rPr>
        <w:t>Maricá (RJ), 29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Decreto-Lei nº 4.657, de 4 de setembro de 1942. Lei de Introdução às Normas do Direito Brasileiro. Redação dada pela Lei nº 13.655, de 25 de abril de 2018. Disponível em: https://www.planalto.gov.br/ccivil_03/decreto-lei/del4657compilado.htm. Acesso em: 29 out. 2026.</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29 out. 2026.</w:t>
      </w:r>
    </w:p>
    <w:p>
      <w:pPr>
        <w:spacing w:before="0" w:after="240" w:line="240" w:lineRule="auto"/>
        <w:ind w:firstLine="0"/>
        <w:jc w:val="left"/>
      </w:pPr>
      <w:r>
        <w:rPr>
          <w:b w:val="0"/>
          <w:i w:val="0"/>
          <w:sz w:val="22"/>
        </w:rPr>
        <w:t>BRASIL. Lei nº 9.784, de 29 de janeiro de 1999. Regula o processo administrativo no âmbito da Administração Pública Federal. Disponível em: https://www.planalto.gov.br/ccivil_03/leis/l9784.htm. Acesso em: 29 out. 2026.</w:t>
      </w:r>
    </w:p>
    <w:p>
      <w:pPr>
        <w:spacing w:before="0" w:after="240" w:line="240" w:lineRule="auto"/>
        <w:ind w:firstLine="0"/>
        <w:jc w:val="left"/>
      </w:pPr>
      <w:r>
        <w:rPr>
          <w:b w:val="0"/>
          <w:i w:val="0"/>
          <w:sz w:val="22"/>
        </w:rPr>
        <w:t>BRASIL. Supremo Tribunal Federal (Plenário). Mandado de Segurança nº 24.631/DF. Relator: Min. Joaquim Barbosa. Julgado em 9 ago. 2007. Diário da Justiça, Brasília, DF, 1 fev. 2008.</w:t>
      </w:r>
    </w:p>
    <w:p>
      <w:pPr>
        <w:spacing w:before="0" w:after="240" w:line="240" w:lineRule="auto"/>
        <w:ind w:firstLine="0"/>
        <w:jc w:val="left"/>
      </w:pPr>
      <w:r>
        <w:rPr>
          <w:b w:val="0"/>
          <w:i w:val="0"/>
          <w:sz w:val="22"/>
        </w:rPr>
        <w:t>BRASIL. Tribunal de Contas da União (Plenário). Acórdão 1742/2026-Plenário. Relator: Ministro(a) Benjamin Zymler. Julgado em 1 jul. 2026. TCU – Jurisprudência Selecionada (BJ nº 592 de 20/07/2026). Disponível em: https://pesquisa.apps.tcu.gov.br/documento/jurisprudencia-selecionada/*/KEY%253AJURISPRUDENCIA-SELECIONADA-205696/score%2520desc/0. Acesso em: 29 out. 2026.</w:t>
      </w:r>
    </w:p>
    <w:p>
      <w:pPr>
        <w:spacing w:before="0" w:after="240" w:line="240" w:lineRule="auto"/>
        <w:ind w:firstLine="0"/>
        <w:jc w:val="left"/>
      </w:pPr>
      <w:r>
        <w:rPr>
          <w:b w:val="0"/>
          <w:i w:val="0"/>
          <w:sz w:val="22"/>
        </w:rPr>
        <w:t>BRASIL. Tribunal de Contas da União (Plenário). Súmula TCU 289. Relator: Ministro(a) José Mucio Monteiro. Julgado em 1 jan. 2016. TCU – Súmulas. Disponível em: https://pesquisa.apps.tcu.gov.br/documento/sumula/*/KEY%253ASUMULA-EJURIS-1689/score%2520desc/0. Acesso em: 29 out. 2026.</w:t>
      </w:r>
    </w:p>
    <w:p>
      <w:pPr>
        <w:spacing w:before="0" w:after="240" w:line="240" w:lineRule="auto"/>
        <w:ind w:firstLine="0"/>
        <w:jc w:val="left"/>
      </w:pPr>
      <w:r>
        <w:rPr>
          <w:b w:val="0"/>
          <w:i w:val="0"/>
          <w:sz w:val="22"/>
        </w:rPr>
        <w:t>PREFEITURA MUNICIPAL DE MARICÁ – SECRETARIA DE ASSISTÊNCIA SOCIAL E CIDADANIA (SMASC). Edital e minutas (ata e contrato) — Pregão Eletrônico nº 10/2026 – Processo Administrativo nº 23579/2025 (PNCP 29131075000193-1-000297/2026). Disponível em: https://pncp.gov.br/app/editais/29131075000193/2026/297. Acesso em: 29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Índice de reajuste com data-base no orçamento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7º; art. 92,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Qualificação técnica proporcional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67, § 1º; art. 67, § 2º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Qualificação econômico-financeira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69; art. 69, § 2º; art. 69, § 4º; art. 69, § 5º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Impugnação e esclarecimentos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164; art. 164, Parágrafo único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Recursos administrativos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165, inciso I; art. 165,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Minuta de contrato como anexo e cláusulas necessárias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inciso VI; art. 92</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Vigência e prorrogação de serviços contínuos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106; art. 107</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Coerência interna do edital e dos anexos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art. 18, inciso IX</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TR datado após a divulgação do edital no PNCP</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3º; art. 55,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Exigência de câmara fria própria, vedada estrutura de terceiros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9, inciso I, alínea a; art. 67, inciso III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Julgamento por menor preço global de itens heterogêneos, sem preço unitário máximo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40, inciso V, alínea b</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Quantitativos estimados divergem da série histórica e da própria metodologia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 1º,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Resíduos de modelo e referências indevidas a garantia na minuta de contrato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92</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Resíduos de modelo no edital e vedações de participação além das hipóteses legais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9, inciso I, alínea a; art. 14</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Cronograma de desembolso uniforme incompatível com a execução sob demanda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92</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Conteúdo mínimo do edital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Critério de reajuste em serviços contínuos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8º, inciso I; art. 25, § 8º, inciso II; art. 92, § 4º, inciso II; art. 135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Prazo mínimo para apresentação de propostas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55; art. 183; art. 183, § 1º, inciso 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Participação em consórcio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Tratamento diferenciado a ME e EPP</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4; art. 4,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Sanções e multas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156; art. 156,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Divulgação de todos os anexos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3º; art. 54</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Parecer jurídico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53</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Garantia de proposta e garantia contratual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58, § 1º; art. 98</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Orçamento sigiloso motivado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24; art. 18, inciso XI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julgamento por lote (grupo de itens)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 1º; art. 82, § 2º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quem pode aderir à ata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86, § 3º; art. 86, § 3º, inciso II; art. 86, § 8º; art. 86, § 4º; art. 86, § 5º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quantidades e vigência da ata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inciso I; art. 84; art. 18, § 1º,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regras obrigatórias do edital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inciso II; art. 82, inciso IV; art. 82, inciso VI; art. 82, inciso VII; art. 82, inciso VIII; art. 82, inciso IX</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parecer é opinativo: aponta todos os aspectos identificados, inclusive os de baixa vulnerabilidade, e a decisão sobre cada recomendação cabe ao destinatário.</w:t>
      </w:r>
    </w:p>
    <w:p>
      <w:pPr>
        <w:spacing w:before="0" w:after="120" w:line="360" w:lineRule="auto"/>
        <w:ind w:left="425" w:hanging="425"/>
        <w:jc w:val="both"/>
      </w:pPr>
      <w:r>
        <w:rPr>
          <w:b/>
          <w:i w:val="0"/>
          <w:color w:val="1F7A8C"/>
        </w:rPr>
        <w:t xml:space="preserve">g) </w:t>
      </w:r>
      <w:r>
        <w:rPr>
          <w:b w:val="0"/>
          <w:i w:val="0"/>
        </w:rPr>
        <w:t>Apontamentos adicionais são questões relevantes encontradas no documento que não constam do roteiro padrão; seus fundamentos legais também são conferidos na base oficial.</w:t>
      </w:r>
    </w:p>
    <w:p>
      <w:pPr>
        <w:spacing w:before="0" w:after="120" w:line="360" w:lineRule="auto"/>
        <w:ind w:left="425" w:hanging="425"/>
        <w:jc w:val="both"/>
      </w:pPr>
      <w:r>
        <w:rPr>
          <w:b/>
          <w:i w:val="0"/>
          <w:color w:val="1F7A8C"/>
        </w:rPr>
        <w:t xml:space="preserve">h) </w:t>
      </w:r>
      <w:r>
        <w:rPr>
          <w:b w:val="0"/>
          <w:i w:val="0"/>
        </w:rPr>
        <w:t>O código de verificação 37B49EC275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Parecer técnico opinativo · a decisão final cabe exclusivamente ao destinatário · não substitui o parecer jurídico do art. 53 da Lei 14.133/2021 · código 37B49EC275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37B4/2026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esquisa.apps.tcu.gov.br/documento/jurisprudencia-selecionada/*/KEY%253AJURISPRUDENCIA-SELECIONADA-205696/score%2520desc/0" TargetMode="External"/><Relationship Id="rId13" Type="http://schemas.openxmlformats.org/officeDocument/2006/relationships/hyperlink" Target="https://pesquisa.apps.tcu.gov.br/documento/sumula/*/KEY%253ASUMULA-EJURIS-1689/score%2520des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