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5110/2026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termo de referência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Fornecimento de insumos (sabonete líquido de glicerina, loção protetora infantil, shampoo neutro e vitamina D3 em gotas) para atender determinação judicial no processo nº 5003178-54.2024.4.02.5102, por 3 meses</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Municipal de Saúde</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Processo nº 10247/2026 (PNCP 29131075000193-1-000277/2026)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Dispensa de licitação sem disputa (art. 75, VIII, da Lei 14.133/2021, c/c rito especial do art. 34 do Decreto Municipal nº 078/2025), critério de menor preço por item. Valor homologado: R$ 2.647,47.</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5</w:t>
      </w:r>
    </w:p>
    <w:p>
      <w:pPr>
        <w:tabs>
          <w:tab w:pos="9071" w:val="right" w:leader="dot"/>
        </w:tabs>
        <w:spacing w:before="0" w:after="0" w:line="360" w:lineRule="auto"/>
        <w:ind w:firstLine="0" w:left="0"/>
        <w:jc w:val="left"/>
      </w:pPr>
      <w:r>
        <w:rPr>
          <w:b/>
          <w:i w:val="0"/>
          <w:sz w:val="22"/>
        </w:rPr>
        <w:t>3 FUNDAMENTAÇÃO</w:t>
      </w:r>
      <w:r>
        <w:rPr>
          <w:b/>
          <w:i w:val="0"/>
          <w:sz w:val="22"/>
        </w:rPr>
        <w:tab/>
        <w:t>6</w:t>
      </w:r>
    </w:p>
    <w:p>
      <w:pPr>
        <w:tabs>
          <w:tab w:pos="9071" w:val="right" w:leader="dot"/>
        </w:tabs>
        <w:spacing w:before="0" w:after="0" w:line="360" w:lineRule="auto"/>
        <w:ind w:firstLine="0" w:left="340"/>
        <w:jc w:val="left"/>
      </w:pPr>
      <w:r>
        <w:rPr>
          <w:b w:val="0"/>
          <w:i w:val="0"/>
          <w:sz w:val="21"/>
        </w:rPr>
        <w:t>3.1 Estimativa de valor com parâmetros</w:t>
      </w:r>
      <w:r>
        <w:rPr>
          <w:b w:val="0"/>
          <w:i w:val="0"/>
          <w:sz w:val="21"/>
        </w:rPr>
        <w:tab/>
        <w:t>7</w:t>
      </w:r>
    </w:p>
    <w:p>
      <w:pPr>
        <w:tabs>
          <w:tab w:pos="9071" w:val="right" w:leader="dot"/>
        </w:tabs>
        <w:spacing w:before="0" w:after="0" w:line="360" w:lineRule="auto"/>
        <w:ind w:firstLine="0" w:left="340"/>
        <w:jc w:val="left"/>
      </w:pPr>
      <w:r>
        <w:rPr>
          <w:b w:val="0"/>
          <w:i w:val="0"/>
          <w:sz w:val="21"/>
        </w:rPr>
        <w:t>3.2 Fundamento legal da dispensa contraditório e sem demonstração dos requisitos</w:t>
      </w:r>
      <w:r>
        <w:rPr>
          <w:b w:val="0"/>
          <w:i w:val="0"/>
          <w:sz w:val="21"/>
        </w:rPr>
        <w:tab/>
        <w:t>8</w:t>
      </w:r>
    </w:p>
    <w:p>
      <w:pPr>
        <w:tabs>
          <w:tab w:pos="9071" w:val="right" w:leader="dot"/>
        </w:tabs>
        <w:spacing w:before="0" w:after="0" w:line="360" w:lineRule="auto"/>
        <w:ind w:firstLine="0" w:left="340"/>
        <w:jc w:val="left"/>
      </w:pPr>
      <w:r>
        <w:rPr>
          <w:b w:val="0"/>
          <w:i w:val="0"/>
          <w:sz w:val="21"/>
        </w:rPr>
        <w:t>3.3 Fundamentação com referência ao ETP</w:t>
      </w:r>
      <w:r>
        <w:rPr>
          <w:b w:val="0"/>
          <w:i w:val="0"/>
          <w:sz w:val="21"/>
        </w:rPr>
        <w:tab/>
        <w:t>9</w:t>
      </w:r>
    </w:p>
    <w:p>
      <w:pPr>
        <w:tabs>
          <w:tab w:pos="9071" w:val="right" w:leader="dot"/>
        </w:tabs>
        <w:spacing w:before="0" w:after="0" w:line="360" w:lineRule="auto"/>
        <w:ind w:firstLine="0" w:left="340"/>
        <w:jc w:val="left"/>
      </w:pPr>
      <w:r>
        <w:rPr>
          <w:b w:val="0"/>
          <w:i w:val="0"/>
          <w:sz w:val="21"/>
        </w:rPr>
        <w:t>3.4 Critérios de medição e pagamento</w:t>
      </w:r>
      <w:r>
        <w:rPr>
          <w:b w:val="0"/>
          <w:i w:val="0"/>
          <w:sz w:val="21"/>
        </w:rPr>
        <w:tab/>
        <w:t>10</w:t>
      </w:r>
    </w:p>
    <w:p>
      <w:pPr>
        <w:tabs>
          <w:tab w:pos="9071" w:val="right" w:leader="dot"/>
        </w:tabs>
        <w:spacing w:before="0" w:after="0" w:line="360" w:lineRule="auto"/>
        <w:ind w:firstLine="0" w:left="340"/>
        <w:jc w:val="left"/>
      </w:pPr>
      <w:r>
        <w:rPr>
          <w:b w:val="0"/>
          <w:i w:val="0"/>
          <w:sz w:val="21"/>
        </w:rPr>
        <w:t>3.5 Forma e critérios de seleção do fornecedor</w:t>
      </w:r>
      <w:r>
        <w:rPr>
          <w:b w:val="0"/>
          <w:i w:val="0"/>
          <w:sz w:val="21"/>
        </w:rPr>
        <w:tab/>
        <w:t>11</w:t>
      </w:r>
    </w:p>
    <w:p>
      <w:pPr>
        <w:tabs>
          <w:tab w:pos="9071" w:val="right" w:leader="dot"/>
        </w:tabs>
        <w:spacing w:before="0" w:after="0" w:line="360" w:lineRule="auto"/>
        <w:ind w:firstLine="0" w:left="340"/>
        <w:jc w:val="left"/>
      </w:pPr>
      <w:r>
        <w:rPr>
          <w:b w:val="0"/>
          <w:i w:val="0"/>
          <w:sz w:val="21"/>
        </w:rPr>
        <w:t>3.6 Compras: especificação, entrega e garantia</w:t>
      </w:r>
      <w:r>
        <w:rPr>
          <w:b w:val="0"/>
          <w:i w:val="0"/>
          <w:sz w:val="21"/>
        </w:rPr>
        <w:tab/>
        <w:t>13</w:t>
      </w:r>
    </w:p>
    <w:p>
      <w:pPr>
        <w:tabs>
          <w:tab w:pos="9071" w:val="right" w:leader="dot"/>
        </w:tabs>
        <w:spacing w:before="0" w:after="0" w:line="360" w:lineRule="auto"/>
        <w:ind w:firstLine="0" w:left="340"/>
        <w:jc w:val="left"/>
      </w:pPr>
      <w:r>
        <w:rPr>
          <w:b w:val="0"/>
          <w:i w:val="0"/>
          <w:sz w:val="21"/>
        </w:rPr>
        <w:t>3.7 Indicação de marca ou vedação de marca</w:t>
      </w:r>
      <w:r>
        <w:rPr>
          <w:b w:val="0"/>
          <w:i w:val="0"/>
          <w:sz w:val="21"/>
        </w:rPr>
        <w:tab/>
        <w:t>14</w:t>
      </w:r>
    </w:p>
    <w:p>
      <w:pPr>
        <w:tabs>
          <w:tab w:pos="9071" w:val="right" w:leader="dot"/>
        </w:tabs>
        <w:spacing w:before="0" w:after="0" w:line="360" w:lineRule="auto"/>
        <w:ind w:firstLine="0" w:left="340"/>
        <w:jc w:val="left"/>
      </w:pPr>
      <w:r>
        <w:rPr>
          <w:b w:val="0"/>
          <w:i w:val="0"/>
          <w:sz w:val="21"/>
        </w:rPr>
        <w:t>3.8 TR sem aprovação formal</w:t>
      </w:r>
      <w:r>
        <w:rPr>
          <w:b w:val="0"/>
          <w:i w:val="0"/>
          <w:sz w:val="21"/>
        </w:rPr>
        <w:tab/>
        <w:t>15</w:t>
      </w:r>
    </w:p>
    <w:p>
      <w:pPr>
        <w:tabs>
          <w:tab w:pos="9071" w:val="right" w:leader="dot"/>
        </w:tabs>
        <w:spacing w:before="0" w:after="0" w:line="360" w:lineRule="auto"/>
        <w:ind w:firstLine="0" w:left="340"/>
        <w:jc w:val="left"/>
      </w:pPr>
      <w:r>
        <w:rPr>
          <w:b w:val="0"/>
          <w:i w:val="0"/>
          <w:sz w:val="21"/>
        </w:rPr>
        <w:t>3.9 Definição do objeto</w:t>
      </w:r>
      <w:r>
        <w:rPr>
          <w:b w:val="0"/>
          <w:i w:val="0"/>
          <w:sz w:val="21"/>
        </w:rPr>
        <w:tab/>
        <w:t>16</w:t>
      </w:r>
    </w:p>
    <w:p>
      <w:pPr>
        <w:tabs>
          <w:tab w:pos="9071" w:val="right" w:leader="dot"/>
        </w:tabs>
        <w:spacing w:before="0" w:after="0" w:line="360" w:lineRule="auto"/>
        <w:ind w:firstLine="0" w:left="340"/>
        <w:jc w:val="left"/>
      </w:pPr>
      <w:r>
        <w:rPr>
          <w:b w:val="0"/>
          <w:i w:val="0"/>
          <w:sz w:val="21"/>
        </w:rPr>
        <w:t>3.10 Requisitos da contratação</w:t>
      </w:r>
      <w:r>
        <w:rPr>
          <w:b w:val="0"/>
          <w:i w:val="0"/>
          <w:sz w:val="21"/>
        </w:rPr>
        <w:tab/>
        <w:t>17</w:t>
      </w:r>
    </w:p>
    <w:p>
      <w:pPr>
        <w:tabs>
          <w:tab w:pos="9071" w:val="right" w:leader="dot"/>
        </w:tabs>
        <w:spacing w:before="0" w:after="0" w:line="360" w:lineRule="auto"/>
        <w:ind w:firstLine="0" w:left="340"/>
        <w:jc w:val="left"/>
      </w:pPr>
      <w:r>
        <w:rPr>
          <w:b w:val="0"/>
          <w:i w:val="0"/>
          <w:sz w:val="21"/>
        </w:rPr>
        <w:t>3.11 Modelo de gestão e fiscalização</w:t>
      </w:r>
      <w:r>
        <w:rPr>
          <w:b w:val="0"/>
          <w:i w:val="0"/>
          <w:sz w:val="21"/>
        </w:rPr>
        <w:tab/>
        <w:t>18</w:t>
      </w:r>
    </w:p>
    <w:p>
      <w:pPr>
        <w:tabs>
          <w:tab w:pos="9071" w:val="right" w:leader="dot"/>
        </w:tabs>
        <w:spacing w:before="0" w:after="0" w:line="360" w:lineRule="auto"/>
        <w:ind w:firstLine="0" w:left="340"/>
        <w:jc w:val="left"/>
      </w:pPr>
      <w:r>
        <w:rPr>
          <w:b w:val="0"/>
          <w:i w:val="0"/>
          <w:sz w:val="21"/>
        </w:rPr>
        <w:t>3.12 Adequação orçamentária</w:t>
      </w:r>
      <w:r>
        <w:rPr>
          <w:b w:val="0"/>
          <w:i w:val="0"/>
          <w:sz w:val="21"/>
        </w:rPr>
        <w:tab/>
        <w:t>19</w:t>
      </w:r>
    </w:p>
    <w:p>
      <w:pPr>
        <w:tabs>
          <w:tab w:pos="9071" w:val="right" w:leader="dot"/>
        </w:tabs>
        <w:spacing w:before="0" w:after="0" w:line="360" w:lineRule="auto"/>
        <w:ind w:firstLine="0" w:left="340"/>
        <w:jc w:val="left"/>
      </w:pPr>
      <w:r>
        <w:rPr>
          <w:b w:val="0"/>
          <w:i w:val="0"/>
          <w:sz w:val="21"/>
        </w:rPr>
        <w:t>3.13 Vedação à subcontratação sem justificativa</w:t>
      </w:r>
      <w:r>
        <w:rPr>
          <w:b w:val="0"/>
          <w:i w:val="0"/>
          <w:sz w:val="21"/>
        </w:rPr>
        <w:tab/>
        <w:t>20</w:t>
      </w:r>
    </w:p>
    <w:p>
      <w:pPr>
        <w:tabs>
          <w:tab w:pos="9071" w:val="right" w:leader="dot"/>
        </w:tabs>
        <w:spacing w:before="0" w:after="0" w:line="360" w:lineRule="auto"/>
        <w:ind w:firstLine="0" w:left="340"/>
        <w:jc w:val="left"/>
      </w:pPr>
      <w:r>
        <w:rPr>
          <w:b w:val="0"/>
          <w:i w:val="0"/>
          <w:sz w:val="21"/>
        </w:rPr>
        <w:t>3.14 Cláusulas padronizadas incompatíveis com o objeto e com a modalidade</w:t>
      </w:r>
      <w:r>
        <w:rPr>
          <w:b w:val="0"/>
          <w:i w:val="0"/>
          <w:sz w:val="21"/>
        </w:rPr>
        <w:tab/>
        <w:t>21</w:t>
      </w:r>
    </w:p>
    <w:p>
      <w:pPr>
        <w:tabs>
          <w:tab w:pos="9071" w:val="right" w:leader="dot"/>
        </w:tabs>
        <w:spacing w:before="0" w:after="0" w:line="360" w:lineRule="auto"/>
        <w:ind w:firstLine="0" w:left="340"/>
        <w:jc w:val="left"/>
      </w:pPr>
      <w:r>
        <w:rPr>
          <w:b w:val="0"/>
          <w:i w:val="0"/>
          <w:sz w:val="21"/>
        </w:rPr>
        <w:t>3.15 Regime de sanções com imprecisões e possível sobreposição</w:t>
      </w:r>
      <w:r>
        <w:rPr>
          <w:b w:val="0"/>
          <w:i w:val="0"/>
          <w:sz w:val="21"/>
        </w:rPr>
        <w:tab/>
        <w:t>22</w:t>
      </w:r>
    </w:p>
    <w:p>
      <w:pPr>
        <w:tabs>
          <w:tab w:pos="9071" w:val="right" w:leader="dot"/>
        </w:tabs>
        <w:spacing w:before="0" w:after="0" w:line="360" w:lineRule="auto"/>
        <w:ind w:firstLine="0" w:left="0"/>
        <w:jc w:val="left"/>
      </w:pPr>
      <w:r>
        <w:rPr>
          <w:b/>
          <w:i w:val="0"/>
          <w:sz w:val="22"/>
        </w:rPr>
        <w:t>4 RECOMENDAÇÕES DE MELHORIA</w:t>
      </w:r>
      <w:r>
        <w:rPr>
          <w:b/>
          <w:i w:val="0"/>
          <w:sz w:val="22"/>
        </w:rPr>
        <w:tab/>
        <w:t>23</w:t>
      </w:r>
    </w:p>
    <w:p>
      <w:pPr>
        <w:tabs>
          <w:tab w:pos="9071" w:val="right" w:leader="dot"/>
        </w:tabs>
        <w:spacing w:before="0" w:after="0" w:line="360" w:lineRule="auto"/>
        <w:ind w:firstLine="0" w:left="0"/>
        <w:jc w:val="left"/>
      </w:pPr>
      <w:r>
        <w:rPr>
          <w:b/>
          <w:i w:val="0"/>
          <w:sz w:val="22"/>
        </w:rPr>
        <w:t>5 CONCLUSÃO</w:t>
      </w:r>
      <w:r>
        <w:rPr>
          <w:b/>
          <w:i w:val="0"/>
          <w:sz w:val="22"/>
        </w:rPr>
        <w:tab/>
        <w:t>23</w:t>
      </w:r>
    </w:p>
    <w:p>
      <w:pPr>
        <w:tabs>
          <w:tab w:pos="9071" w:val="right" w:leader="dot"/>
        </w:tabs>
        <w:spacing w:before="0" w:after="0" w:line="360" w:lineRule="auto"/>
        <w:ind w:firstLine="0" w:left="0"/>
        <w:jc w:val="left"/>
      </w:pPr>
      <w:r>
        <w:rPr>
          <w:b/>
          <w:i w:val="0"/>
          <w:sz w:val="22"/>
        </w:rPr>
        <w:t>REFERÊNCIAS</w:t>
      </w:r>
      <w:r>
        <w:rPr>
          <w:b/>
          <w:i w:val="0"/>
          <w:sz w:val="22"/>
        </w:rPr>
        <w:tab/>
        <w:t>27</w:t>
      </w:r>
    </w:p>
    <w:p>
      <w:pPr>
        <w:tabs>
          <w:tab w:pos="9071" w:val="right" w:leader="dot"/>
        </w:tabs>
        <w:spacing w:before="0" w:after="0" w:line="360" w:lineRule="auto"/>
        <w:ind w:firstLine="0" w:left="0"/>
        <w:jc w:val="left"/>
      </w:pPr>
      <w:r>
        <w:rPr>
          <w:b/>
          <w:i w:val="0"/>
          <w:sz w:val="22"/>
        </w:rPr>
        <w:t>APÊNDICE A – LISTA DE VERIFICAÇÃO</w:t>
      </w:r>
      <w:r>
        <w:rPr>
          <w:b/>
          <w:i w:val="0"/>
          <w:sz w:val="22"/>
        </w:rPr>
        <w:tab/>
        <w:t>28</w:t>
      </w:r>
    </w:p>
    <w:p>
      <w:pPr>
        <w:tabs>
          <w:tab w:pos="9071" w:val="right" w:leader="dot"/>
        </w:tabs>
        <w:spacing w:before="0" w:after="0" w:line="360" w:lineRule="auto"/>
        <w:ind w:firstLine="0" w:left="0"/>
        <w:jc w:val="left"/>
      </w:pPr>
      <w:r>
        <w:rPr>
          <w:b/>
          <w:i w:val="0"/>
          <w:sz w:val="22"/>
        </w:rPr>
        <w:t>APÊNDICE B – METODOLOGIA E LIMITES</w:t>
      </w:r>
      <w:r>
        <w:rPr>
          <w:b/>
          <w:i w:val="0"/>
          <w:sz w:val="22"/>
        </w:rPr>
        <w:tab/>
        <w:t>28</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2</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6</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7</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2</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Estimativa de valor com parâmetros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XXIII, alínea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Fundamento legal da dispensa contraditório e sem demonstração dos requisitos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75, inciso VIII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Fundamentação com referência ao ETP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XXIII, alínea b</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Critérios de medição e pagamento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XXIII, alínea g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Forma e critérios de seleção do fornecedor</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XXIII, alínea h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Compras: especificação, entrega e garantia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40, § 1º</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Indicação de marca ou vedação de marca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41,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TR sem aprovação formal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Definição do objeto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XXIII, alínea a</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Requisitos da contratação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XXIII, alínea d</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Modelo de gestão e fiscalização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XXIII, alínea f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Adequação orçamentária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XXIII, alínea j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Vedação à subcontratação sem justificativa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122, § 2º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Cláusulas padronizadas incompatíveis com o objeto e com a modalidade</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 inciso XXIII</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Regime de sanções com imprecisões e possível sobreposição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156 e outros</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5110/2026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Municipal de Saúde</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Fornecimento de insumos (sabonete líquido de glicerina, loção protetora infantil, shampoo neutro e vitamina D3 em gotas) para atender determinação judicial no processo nº 5003178-54.2024.4.02.5102, por 3 meses</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Processo nº 10247/2026 (PNCP 29131075000193-1-000277/2026)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DISPENSA DE LICITAÇÃO. TERMO DE REFERÊNCIA. INSUMOS DE SAÚDE. DEMANDA JUDICIAL. AUSÊNCIA DE ETP. ESTIMATIVA DE VALOR SEM PARÂMETROS. INDICAÇÃO DE MARCA. FUNDAMENTO LEGAL INCONSISTENTE. CLÁUSULAS PADRONIZADAS INCOMPATÍVEIS COM O OBJETO. </w:t>
      </w:r>
      <w:r>
        <w:rPr>
          <w:b w:val="0"/>
          <w:i w:val="0"/>
          <w:sz w:val="20"/>
        </w:rPr>
        <w:t>O TR da dispensa para fornecimento de insumos por determinação judicial contém, em geral, os elementos do art. 6º, XXIII, com modelo de execução e de gestão bem estruturados. Falham a estimativa de valor, que não apresenta preços, memória de cálculo nem parâmetros, e a referência ao ETP, cuja ausência é apenas mencionada. Há também indicação de marca sem justificativa, fundamentação legal da dispensa contraditória (art. 75, VII e VIII), especificações incompletas e cláusulas padronizadas estranhas ao objeto.</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Processo nº 10247/2026 (PNCP 29131075000193-1-000277/2026), do Prefeitura Municipal de Maricá – Secretaria Municipal de Saúde, cujo objeto é: Fornecimento de insumos (sabonete líquido de glicerina, loção protetora infantil, shampoo neutro e vitamina D3 em gotas) para atender determinação judicial no processo nº 5003178-54.2024.4.02.5102, por 3 meses.</w:t>
      </w:r>
    </w:p>
    <w:p>
      <w:pPr>
        <w:spacing w:before="0" w:after="120" w:line="360" w:lineRule="auto"/>
        <w:ind w:firstLine="709"/>
        <w:jc w:val="both"/>
      </w:pPr>
      <w:r>
        <w:rPr>
          <w:b w:val="0"/>
          <w:i w:val="0"/>
        </w:rPr>
        <w:t>Foram examinados os seguintes documentos: Termo de Referência (https://pncp.gov.br/app/editais/29131075000193/2026/277, 26 páginas). O exame teve por parâmetro a Lei 14.133/2021, aplicando-se o roteiro de verificação Licitacon (versão 2026-10-29), com 18 itens pertinentes ao caso.</w:t>
      </w:r>
    </w:p>
    <w:p>
      <w:pPr>
        <w:spacing w:before="0" w:after="120" w:line="360" w:lineRule="auto"/>
        <w:ind w:firstLine="709"/>
        <w:jc w:val="both"/>
      </w:pPr>
      <w:r>
        <w:rPr>
          <w:b w:val="0"/>
          <w:i w:val="0"/>
        </w:rPr>
        <w:t>O Termo de Referência (27 páginas, elaborado em 10/06/2026) trata de dispensa sem disputa para fornecimento, em entrega única, de quatro itens de higiene e suplementação infantil (sabonete líquido, loção protetora, shampoo e vitamina D3 em gotas). A contratação decorre de ordem judicial e tem vigência de 4 meses. O documento é bem estruturado nos tópicos de ciclo de vida, modelo de execução, modelo de gestão (com gestor, fiscais e suplente nominados) e adequação orçamentária. As principais fragilidades são: (i) a estimativa de valor não traz preços, memória de cálculo nem fontes, pois o item 12.1 apenas afirma que o valor "será auferido" pelo setor de compras; (ii) não há ETP, e a justificativa da ausência é apenas referida "nos autos"; (iii) o item 2 da tabela referencia a marca Mustela sem justificativa nem cláusula de equivalência; (iv) o fundamento legal da dispensa oscila entre o art. 75, VII (item 3.2) e VIII (itens 2.2 e 9.1); (v) as especificações dos itens 1, 3 e 4 são incompletas (sem volume/apresentação); (vi) há cláusulas padronizadas estranhas ao objeto ("medicamento", "serviços", "edital", garantia contratual), o campo "Aprovado por" está em branco e o regime de sanções tem imprecisões. O certame já foi homologado pelo valor estimado (R$ 2.647,47). As providências recomendadas dirigem-se à regularização e instrução dos autos e à correção do modelo para os próximos certames.</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Estimativa de valor com parâmetros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Termo de Referência, Item 12.1 – [página 17]; tabela do item 1 – [página 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não traz preços unitários referenciais, valor global, memória de cálculo, fontes, datas ou metodologia. O item 12.1 diz apenas que o valor "será auferido" pelo setor de compras, e a tabela do item 1 não tem coluna de preços. O TR também não remete a documento separado onde conste a pesquisa. O valor estimado (R$ 2.647,47) só é conhecido pelo PNCP e foi homologado sem qualquer diferença. O item 2 da tabela referencia marca específica, o que exige cuidado na equivalência dos preços pesquisados.</w:t>
      </w:r>
    </w:p>
    <w:p>
      <w:pPr>
        <w:spacing w:before="0" w:after="120" w:line="360" w:lineRule="auto"/>
        <w:ind w:firstLine="709"/>
        <w:jc w:val="both"/>
      </w:pPr>
      <w:r>
        <w:rPr>
          <w:b w:val="0"/>
          <w:i w:val="0"/>
        </w:rPr>
        <w:t>O documento dispõe: “O valor estimado da contratação será auferido pelo setor compras” (Item 12.1 – [página 17]; tabela do item 1 – [página 1]).</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i e pelo art. 23, § 1º, da Lei 14.133/2021, que assim dispõem:</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r>
        <w:rPr>
          <w:b w:val="0"/>
          <w:i w:val="0"/>
          <w:sz w:val="20"/>
        </w:rPr>
        <w:t xml:space="preserve"> (BRASIL, 2021, art. 6, inciso XXIII, alínea i)</w:t>
      </w:r>
    </w:p>
    <w:p>
      <w:pPr>
        <w:spacing w:before="80" w:after="200" w:line="240" w:lineRule="auto"/>
        <w:ind w:firstLine="0" w:left="2268"/>
        <w:jc w:val="both"/>
      </w:pPr>
      <w:r>
        <w:rPr>
          <w:b w:val="0"/>
          <w:i w:val="0"/>
          <w:sz w:val="20"/>
        </w:rPr>
        <w:t>No processo licitatório para aquisição de bens e contratação de serviços em geral, conforme regulamento, o valor estimado será definido com base no melhor preço aferido por meio da utilização dos seguintes parâmetros, adotados de forma combinada ou não: […]</w:t>
      </w:r>
      <w:r>
        <w:rPr>
          <w:b w:val="0"/>
          <w:i w:val="0"/>
          <w:sz w:val="20"/>
        </w:rPr>
        <w:t xml:space="preserve"> (BRASIL, 2021, art. 23, § 1º)</w:t>
      </w:r>
    </w:p>
    <w:p>
      <w:pPr>
        <w:spacing w:before="0" w:after="120" w:line="360" w:lineRule="auto"/>
        <w:ind w:firstLine="709"/>
        <w:jc w:val="both"/>
      </w:pPr>
      <w:r>
        <w:rPr>
          <w:b/>
          <w:i w:val="0"/>
          <w:color w:val="12324A"/>
        </w:rPr>
        <w:t xml:space="preserve">Análise. </w:t>
      </w:r>
      <w:r>
        <w:rPr>
          <w:b w:val="0"/>
          <w:i w:val="0"/>
        </w:rPr>
        <w:t>O art. 6º, XXIII, "i", exige estimativa do valor com preços unitários referenciais, memórias de cálculo e documentos de suporte, em documento separado e classificado. O art. 23, §1º, exige que o valor se baseie no melhor preço aferido por parâmetros definidos. Sem esses elementos não se demonstra a compatibilidade do preço com o mercado nem a vantagem da contratação direta.</w:t>
      </w:r>
    </w:p>
    <w:p>
      <w:pPr>
        <w:spacing w:before="0" w:after="120" w:line="360" w:lineRule="auto"/>
        <w:ind w:firstLine="709"/>
        <w:jc w:val="both"/>
      </w:pPr>
      <w:r>
        <w:rPr>
          <w:b/>
          <w:i w:val="0"/>
          <w:color w:val="B23A48"/>
        </w:rPr>
        <w:t xml:space="preserve">Risco de manutenção. </w:t>
      </w:r>
      <w:r>
        <w:rPr>
          <w:b w:val="0"/>
          <w:i w:val="0"/>
        </w:rPr>
        <w:t>Contratação por preço não demonstrado como compatível com o mercado, com risco de sobrepreço e de responsabilização dos agentes. Esse risco é maior porque o valor homologado coincide exatamente com o estimado.</w:t>
      </w:r>
    </w:p>
    <w:p>
      <w:pPr>
        <w:spacing w:before="0" w:after="120" w:line="360" w:lineRule="auto"/>
        <w:ind w:firstLine="709"/>
        <w:jc w:val="both"/>
      </w:pPr>
      <w:r>
        <w:rPr>
          <w:b/>
          <w:i w:val="0"/>
          <w:color w:val="12324A"/>
        </w:rPr>
        <w:t xml:space="preserve">Providência recomendada. </w:t>
      </w:r>
      <w:r>
        <w:rPr>
          <w:b w:val="0"/>
          <w:i w:val="0"/>
        </w:rPr>
        <w:t>Juntar aos autos, ou referenciar no TR, o documento da pesquisa de preços com: fontes (painéis oficiais, contratações similares, mídia especializada, cotações), datas, preços unitários por item, tratamento de valores discrepantes e cálculo do valor global. Conferir que os preços coletados são de produtos com características e quantitativos equivalentes aos do item 2. Registrar nos autos, se ausente, a justificativa do preço contratado.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estimativa do valor da contratação, de R$ 2.647,47, foi elaborada conforme art. 23 da Lei 14.133/2021, com os preços unitários referenciais, fontes, datas e memória de cálculo constantes do documento de pesquisa de preços (fls. __ dos autos), cujos parâmetros foram [painel de preços/contratações similares/cotações]."</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Ao examinar pregão eletrônico para registro de preços de locação de caminhões, provocado pela 6ª IGE, o Plenário analisou a estimativa de valores da contratação. Firmou que, ao montar a cesta de preços, não basta o bem ou serviço ter a mesma denominação: o preço de referência só serve se as características, as condições de execução, os quantitativos e a unidade de fornecimento forem equivalentes.</w:t>
      </w:r>
      <w:r>
        <w:rPr>
          <w:b w:val="0"/>
          <w:i w:val="0"/>
          <w:sz w:val="20"/>
        </w:rPr>
        <w:t xml:space="preserve"> (TCM-RJ, Voto 468/2026 · Proc. 040/102452/2026 · Enunciado 565)</w:t>
      </w:r>
      <w:r>
        <w:rPr>
          <w:b w:val="0"/>
          <w:i w:val="0"/>
          <w:sz w:val="20"/>
        </w:rPr>
        <w:t xml:space="preserve"> </w:t>
      </w:r>
      <w:hyperlink r:id="rId1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3.2 Fundamento legal da dispensa contraditório e sem demonstração dos requisitos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Apontamento adicional   ·   Termo de Referência, Item 3.2 – [página 3]; itens 2.2 e 9.1 – [página 2] e [página 14]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3.2 invoca o "Art. 75, VII" da Lei 14.133/2021, enquanto os itens 2.2 e 9.1 invocam o art. 75, VIII. O TR fala em "contratação emergencial" e "urgência", mas não demonstra a situação emergencial (risco de prejuízo ou comprometimento da continuidade do tratamento), a impossibilidade de contratação ordinária nem a razão da escolha do fornecedor. O valor (R$ 2.647,47) é baixo, e o TR não explica por que não se utilizou outra hipótese de contratação direta ou outro procedimento.</w:t>
      </w:r>
    </w:p>
    <w:p>
      <w:pPr>
        <w:spacing w:before="0" w:after="120" w:line="360" w:lineRule="auto"/>
        <w:ind w:firstLine="709"/>
        <w:jc w:val="both"/>
      </w:pPr>
      <w:r>
        <w:rPr>
          <w:b w:val="0"/>
          <w:i w:val="0"/>
        </w:rPr>
        <w:t>O documento dispõe: “com fundamento no Art. 75, VII.” (Item 3.2 – [página 3]; itens 2.2 e 9.1 – [página 2] e [página 14]).</w:t>
      </w:r>
    </w:p>
    <w:p>
      <w:pPr>
        <w:spacing w:before="0" w:after="80" w:line="360" w:lineRule="auto"/>
        <w:ind w:firstLine="709"/>
        <w:jc w:val="both"/>
      </w:pPr>
      <w:r>
        <w:rPr>
          <w:b/>
          <w:i w:val="0"/>
          <w:color w:val="12324A"/>
        </w:rPr>
        <w:t xml:space="preserve">Dispositivo aplicável. </w:t>
      </w:r>
      <w:r>
        <w:rPr>
          <w:b w:val="0"/>
          <w:i w:val="0"/>
        </w:rPr>
        <w:t>A matéria é disciplinada pelo art. 75, inciso VIII e pelo art. 72, da Lei 14.133/2021, que assim dispõem:</w:t>
      </w:r>
    </w:p>
    <w:p>
      <w:pPr>
        <w:spacing w:before="80" w:after="200" w:line="240" w:lineRule="auto"/>
        <w:ind w:firstLine="0" w:left="2268"/>
        <w:jc w:val="both"/>
      </w:pPr>
      <w:r>
        <w:rPr>
          <w:b w:val="0"/>
          <w:i w:val="0"/>
          <w:sz w:val="20"/>
        </w:rPr>
        <w:t>É dispensável a licitação: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no prazo máximo de 1 (um) ano, contado da data de ocorrência da emergência ou da calamidade, vedadas a prorrogação dos respectivos contratos e a recontratação de empresa já contratada com base no disposto neste inciso;</w:t>
      </w:r>
      <w:r>
        <w:rPr>
          <w:b w:val="0"/>
          <w:i w:val="0"/>
          <w:sz w:val="20"/>
        </w:rPr>
        <w:t xml:space="preserve"> (BRASIL, 2021, art. 75, inciso VIII)</w:t>
      </w:r>
    </w:p>
    <w:p>
      <w:pPr>
        <w:spacing w:before="80" w:after="200" w:line="240" w:lineRule="auto"/>
        <w:ind w:firstLine="0" w:left="2268"/>
        <w:jc w:val="both"/>
      </w:pPr>
      <w:r>
        <w:rPr>
          <w:b w:val="0"/>
          <w:i w:val="0"/>
          <w:sz w:val="20"/>
        </w:rPr>
        <w:t>O processo de contratação direta, que compreende os casos de inexigibilidade e de dispensa de licitação, deverá ser instruído com os seguintes documentos: […]</w:t>
      </w:r>
      <w:r>
        <w:rPr>
          <w:b w:val="0"/>
          <w:i w:val="0"/>
          <w:sz w:val="20"/>
        </w:rPr>
        <w:t xml:space="preserve"> (BRASIL, 2021, art. 72)</w:t>
      </w:r>
    </w:p>
    <w:p>
      <w:pPr>
        <w:spacing w:before="0" w:after="120" w:line="360" w:lineRule="auto"/>
        <w:ind w:firstLine="709"/>
        <w:jc w:val="both"/>
      </w:pPr>
      <w:r>
        <w:rPr>
          <w:b/>
          <w:i w:val="0"/>
          <w:color w:val="12324A"/>
        </w:rPr>
        <w:t xml:space="preserve">Análise. </w:t>
      </w:r>
      <w:r>
        <w:rPr>
          <w:b w:val="0"/>
          <w:i w:val="0"/>
        </w:rPr>
        <w:t>A contratação direta é exceção à licitação e exige hipótese legal certa e instrução que a demonstre. Dois incisos distintos no mesmo TR impedem identificar a hipótese aplicada e os limites correspondentes (prazo, vedação de recontratação, extensão do objeto).</w:t>
      </w:r>
    </w:p>
    <w:p>
      <w:pPr>
        <w:spacing w:before="0" w:after="120" w:line="360" w:lineRule="auto"/>
        <w:ind w:firstLine="709"/>
        <w:jc w:val="both"/>
      </w:pPr>
      <w:r>
        <w:rPr>
          <w:b/>
          <w:i w:val="0"/>
          <w:color w:val="B23A48"/>
        </w:rPr>
        <w:t xml:space="preserve">Risco de manutenção. </w:t>
      </w:r>
      <w:r>
        <w:rPr>
          <w:b w:val="0"/>
          <w:i w:val="0"/>
        </w:rPr>
        <w:t>Nulidade ou impugnação da contratação direta, com responsabilização dos agentes que a instruíram.</w:t>
      </w:r>
    </w:p>
    <w:p>
      <w:pPr>
        <w:spacing w:before="0" w:after="120" w:line="360" w:lineRule="auto"/>
        <w:ind w:firstLine="709"/>
        <w:jc w:val="both"/>
      </w:pPr>
      <w:r>
        <w:rPr>
          <w:b/>
          <w:i w:val="0"/>
          <w:color w:val="12324A"/>
        </w:rPr>
        <w:t xml:space="preserve">Providência recomendada. </w:t>
      </w:r>
      <w:r>
        <w:rPr>
          <w:b w:val="0"/>
          <w:i w:val="0"/>
        </w:rPr>
        <w:t>Definir a hipótese correta, corrigir o inciso errado e registrar nos autos, em parecer ou justificativa, os elementos que a demonstram (laudo, prazo da ordem judicial, risco). Reavaliar a adequação da hipótese ao valor e à natureza da demanda, que é previsível por decorrer de processo judicial.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3.3 Fundamentação com referência ao ETP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Item 12.1 – [página 17]; item 3 –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não faz referência a ETP nem a extrato dele. O item 12.1 apenas registra que a ausência do ETP foi "justificada nos autos", sem identificar a peça, a data ou o fundamento. O item 3 traz uma fundamentação resumida (ordem judicial, urgência), mas não substitui o ETP nem o extrato.</w:t>
      </w:r>
    </w:p>
    <w:p>
      <w:pPr>
        <w:spacing w:before="0" w:after="120" w:line="360" w:lineRule="auto"/>
        <w:ind w:firstLine="709"/>
        <w:jc w:val="both"/>
      </w:pPr>
      <w:r>
        <w:rPr>
          <w:b w:val="0"/>
          <w:i w:val="0"/>
        </w:rPr>
        <w:t>O documento dispõe: “justificado nos autos a ausência de Estudo Técnico Preliminar” (Item 12.1 – [página 17]; item 3 – [página 3]).</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b, da Lei 14.133/2021, que assim dispõe:</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fundamentação da contratação, que consiste na referência aos estudos técnicos preliminares correspondentes ou, quando não for possível divulgar esses estudos, no extrato das partes que não contiverem informações sigilosas;</w:t>
      </w:r>
      <w:r>
        <w:rPr>
          <w:b w:val="0"/>
          <w:i w:val="0"/>
          <w:sz w:val="20"/>
        </w:rPr>
        <w:t xml:space="preserve"> (BRASIL, 2021, art. 6, inciso XXIII, alínea b)</w:t>
      </w:r>
    </w:p>
    <w:p>
      <w:pPr>
        <w:spacing w:before="0" w:after="120" w:line="360" w:lineRule="auto"/>
        <w:ind w:firstLine="709"/>
        <w:jc w:val="both"/>
      </w:pPr>
      <w:r>
        <w:rPr>
          <w:b/>
          <w:i w:val="0"/>
          <w:color w:val="12324A"/>
        </w:rPr>
        <w:t xml:space="preserve">Análise. </w:t>
      </w:r>
      <w:r>
        <w:rPr>
          <w:b w:val="0"/>
          <w:i w:val="0"/>
        </w:rPr>
        <w:t>O art. 6º, XXIII, "b", exige que a fundamentação da contratação consista na referência aos ETP correspondentes. Quando o ETP é dispensado, a justificativa deve ser rastreável. Remissão genérica "aos autos" não permite verificar o planejamento nem a compatibilidade dos requisitos (tr-04).</w:t>
      </w:r>
    </w:p>
    <w:p>
      <w:pPr>
        <w:spacing w:before="0" w:after="120" w:line="360" w:lineRule="auto"/>
        <w:ind w:firstLine="709"/>
        <w:jc w:val="both"/>
      </w:pPr>
      <w:r>
        <w:rPr>
          <w:b/>
          <w:i w:val="0"/>
          <w:color w:val="C9781E"/>
        </w:rPr>
        <w:t xml:space="preserve">Risco de manutenção. </w:t>
      </w:r>
      <w:r>
        <w:rPr>
          <w:b w:val="0"/>
          <w:i w:val="0"/>
        </w:rPr>
        <w:t>Questionamento do controle quanto à ausência de planejamento formal e à falta de motivação da dispensa do ETP.</w:t>
      </w:r>
    </w:p>
    <w:p>
      <w:pPr>
        <w:spacing w:before="0" w:after="120" w:line="360" w:lineRule="auto"/>
        <w:ind w:firstLine="709"/>
        <w:jc w:val="both"/>
      </w:pPr>
      <w:r>
        <w:rPr>
          <w:b/>
          <w:i w:val="0"/>
          <w:color w:val="12324A"/>
        </w:rPr>
        <w:t xml:space="preserve">Providência recomendada. </w:t>
      </w:r>
      <w:r>
        <w:rPr>
          <w:b w:val="0"/>
          <w:i w:val="0"/>
        </w:rPr>
        <w:t>Identificar no TR a peça dos autos (folha/data) que justifica a não elaboração do ETP, ou resumir a justificativa no próprio TR. Verificar se foram contemplados ao menos a necessidade, os requisitos, a estimativa de quantidades e o levantamento de mercado.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elaboração de ETP foi dispensada conforme justificativa constante às fls. __ do processo nº 10247/2026, datada de __/__/2026, em razão de [fundamento], tendo sido consideradas neste TR a necessidade (ordem judicial), os requisitos e a estimativa de quantidades."</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3.4 Critérios de medição e pagamento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Item 8 (8.1, 8.3, 8.9, 8.18) – [página 10], [página 11] e [página 12]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critérios de medição, que para fornecimento em entrega única são a quantidade e a qualidade recebidas, estão adequados: recebimento provisório em 1 dia útil, definitivo em 5 dias úteis, tratamento da parcela incontroversa (art. 143), documentos de liquidação e forma de pagamento. O prazo de pagamento, porém, é ambíguo. O item 8.9 fixa 30 dias para liquidação, "prorrogáveis por igual período", e o item 8.18 soma mais 30 dias para pagamento após a liquidação. O prazo total pode chegar a cerca de 90 dias, para um contrato de 4 meses, de urgência e baixo valor. O texto também carrega cláusulas estranhas ao objeto (cooperativas, "planilha", consulta ao SICAF).</w:t>
      </w:r>
    </w:p>
    <w:p>
      <w:pPr>
        <w:spacing w:before="0" w:after="120" w:line="360" w:lineRule="auto"/>
        <w:ind w:firstLine="709"/>
        <w:jc w:val="both"/>
      </w:pPr>
      <w:r>
        <w:rPr>
          <w:b w:val="0"/>
          <w:i w:val="0"/>
        </w:rPr>
        <w:t>O documento dispõe: “correrá o prazo de 30” (Item 8 (8.1, 8.3, 8.9, 8.18) – [página 10], [página 11] e [página 12]).</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g e pelo art. 92, inciso V, da Lei 14.133/2021, que assim dispõem:</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critérios de medição e de pagamento;</w:t>
      </w:r>
      <w:r>
        <w:rPr>
          <w:b w:val="0"/>
          <w:i w:val="0"/>
          <w:sz w:val="20"/>
        </w:rPr>
        <w:t xml:space="preserve"> (BRASIL, 2021, art. 6, inciso XXIII, alínea g)</w:t>
      </w:r>
    </w:p>
    <w:p>
      <w:pPr>
        <w:spacing w:before="80" w:after="200" w:line="240" w:lineRule="auto"/>
        <w:ind w:firstLine="0" w:left="2268"/>
        <w:jc w:val="both"/>
      </w:pPr>
      <w:r>
        <w:rPr>
          <w:b w:val="0"/>
          <w:i w:val="0"/>
          <w:sz w:val="20"/>
        </w:rPr>
        <w:t>São necessárias em todo contrato cláusulas que estabeleçam: […] o preço e as condições de pagamento, os critérios, a data-base e a periodicidade do reajustamento de preços e os critérios de atualização monetária entre a data do adimplemento das obrigações e a do efetivo pagamento;</w:t>
      </w:r>
      <w:r>
        <w:rPr>
          <w:b w:val="0"/>
          <w:i w:val="0"/>
          <w:sz w:val="20"/>
        </w:rPr>
        <w:t xml:space="preserve"> (BRASIL, 2021, art. 92, inciso V)</w:t>
      </w:r>
    </w:p>
    <w:p>
      <w:pPr>
        <w:spacing w:before="0" w:after="120" w:line="360" w:lineRule="auto"/>
        <w:ind w:firstLine="709"/>
        <w:jc w:val="both"/>
      </w:pPr>
      <w:r>
        <w:rPr>
          <w:b/>
          <w:i w:val="0"/>
          <w:color w:val="12324A"/>
        </w:rPr>
        <w:t xml:space="preserve">Análise. </w:t>
      </w:r>
      <w:r>
        <w:rPr>
          <w:b w:val="0"/>
          <w:i w:val="0"/>
        </w:rPr>
        <w:t>O art. 6º, XXIII, "g", e o art. 92, V, exigem critérios de medição e condições de pagamento claros. Prazos sobrepostos e prorrogáveis sem critério dificultam o cumprimento e a previsibilidade da contratada. Em fornecimento de saúde por ordem judicial, atrasos podem comprometer o fornecimento seguinte.</w:t>
      </w:r>
    </w:p>
    <w:p>
      <w:pPr>
        <w:spacing w:before="0" w:after="120" w:line="360" w:lineRule="auto"/>
        <w:ind w:firstLine="709"/>
        <w:jc w:val="both"/>
      </w:pPr>
      <w:r>
        <w:rPr>
          <w:b/>
          <w:i w:val="0"/>
          <w:color w:val="C9781E"/>
        </w:rPr>
        <w:t xml:space="preserve">Risco de manutenção. </w:t>
      </w:r>
      <w:r>
        <w:rPr>
          <w:b w:val="0"/>
          <w:i w:val="0"/>
        </w:rPr>
        <w:t>Atraso de pagamento, controvérsia sobre o termo inicial dos prazos e eventual pedido de atualização monetária ou rescisão.</w:t>
      </w:r>
    </w:p>
    <w:p>
      <w:pPr>
        <w:spacing w:before="0" w:after="120" w:line="360" w:lineRule="auto"/>
        <w:ind w:firstLine="709"/>
        <w:jc w:val="both"/>
      </w:pPr>
      <w:r>
        <w:rPr>
          <w:b/>
          <w:i w:val="0"/>
          <w:color w:val="12324A"/>
        </w:rPr>
        <w:t xml:space="preserve">Providência recomendada. </w:t>
      </w:r>
      <w:r>
        <w:rPr>
          <w:b w:val="0"/>
          <w:i w:val="0"/>
        </w:rPr>
        <w:t>Unificar o prazo: indicar prazo único, contado do recebimento definitivo ou do atesto, e limitar a prorrogação a hipóteses justificadas. Verificar a coerência com o item 8.1/8.3 e com a vigência de 4 meses. Prever critério de atualização monetária em caso de atraso da Administração. Retirar as cláusulas impertinentes.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 pagamento será efetuado em até 30 (trinta) dias contados do recebimento definitivo e do atesto da nota fiscal pelo fiscal do contrato, não se aplicando prorrogação do prazo, salvo pendência imputável à contratada."</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3.5 Forma e critérios de seleção do fornecedor</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Item 9 (9.1–9.9) – [página 14] e [página 15]; item 3.2 –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indica a forma (dispensa, art. 75, VIII, com rito do Decreto Municipal nº 078/2025), o critério (menor preço por item) e as exigências de habilitação jurídica, fiscal, social e trabalhista. Há fragilidades. O item 9.3 remete a "edital", inexistente em dispensa sem disputa, e o item 9.5 refere "licitante". O item 9.4 trata de balanço de abertura sem que se exija qualificação econômico-financeira. Não há justificativa de eventual exigência técnica. Para produtos regulados (vitamina D3, cosméticos infantis) o TR não exige a autorização/regularização sanitária do fornecedor (como AFE/licença), embora o item 2.5 exija produtos conforme a ANVISA. O fundamento legal é contraditório: art. 75, VII (item 3.2) e art. 75, VIII (itens 2.2 e 9.1).</w:t>
      </w:r>
    </w:p>
    <w:p>
      <w:pPr>
        <w:spacing w:before="0" w:after="120" w:line="360" w:lineRule="auto"/>
        <w:ind w:firstLine="709"/>
        <w:jc w:val="both"/>
      </w:pPr>
      <w:r>
        <w:rPr>
          <w:b w:val="0"/>
          <w:i w:val="0"/>
        </w:rPr>
        <w:t>O documento dispõe: “As condições de habilitação serão definidas no edital” (Item 9 (9.1–9.9) – [página 14] e [página 15]; item 3.2 – [página 3]).</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h e pelo art. 18, inciso IX, da Lei 14.133/2021, que assim dispõem:</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forma e critérios de seleção do fornecedor;</w:t>
      </w:r>
      <w:r>
        <w:rPr>
          <w:b w:val="0"/>
          <w:i w:val="0"/>
          <w:sz w:val="20"/>
        </w:rPr>
        <w:t xml:space="preserve"> (BRASIL, 2021, art. 6, inciso XXIII, alínea h)</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art. 6º, XXIII, "h", exige indicar a forma e os critérios de seleção. O art. 18, IX, exige motivação das condições, inclusive das exigências de qualificação. Fundamento legal incerto e exigências sem coerência com o procedimento afetam a segurança jurídica da contratação direta.</w:t>
      </w:r>
    </w:p>
    <w:p>
      <w:pPr>
        <w:spacing w:before="0" w:after="120" w:line="360" w:lineRule="auto"/>
        <w:ind w:firstLine="709"/>
        <w:jc w:val="both"/>
      </w:pPr>
      <w:r>
        <w:rPr>
          <w:b/>
          <w:i w:val="0"/>
          <w:color w:val="C9781E"/>
        </w:rPr>
        <w:t xml:space="preserve">Risco de manutenção. </w:t>
      </w:r>
      <w:r>
        <w:rPr>
          <w:b w:val="0"/>
          <w:i w:val="0"/>
        </w:rPr>
        <w:t>Questionamento da hipótese de dispensa utilizada e da validade das exigências aplicadas ao fornecedor.</w:t>
      </w:r>
    </w:p>
    <w:p>
      <w:pPr>
        <w:spacing w:before="0" w:after="120" w:line="360" w:lineRule="auto"/>
        <w:ind w:firstLine="709"/>
        <w:jc w:val="both"/>
      </w:pPr>
      <w:r>
        <w:rPr>
          <w:b/>
          <w:i w:val="0"/>
          <w:color w:val="12324A"/>
        </w:rPr>
        <w:t xml:space="preserve">Providência recomendada. </w:t>
      </w:r>
      <w:r>
        <w:rPr>
          <w:b w:val="0"/>
          <w:i w:val="0"/>
        </w:rPr>
        <w:t>Definir um único fundamento legal e, no TR ou nos autos, demonstrar os requisitos dessa hipótese (ver apontamento próprio). Substituir as referências a "edital" e "licitante" pela terminologia da contratação direta. Eliminar ou justificar o item 9.4. Avaliar a exigência de regularidade sanitária do fornecedor, quando cabível.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habilitação será verificada conforme os arts. 62 a 69 da Lei 14.133/2021 e o aviso/solicitação de proposta da dispensa, limitando-se à habilitação jurídica, fiscal, social e trabalhista e à regularidade sanitária do fornecedor perante a ANVISA/vigilância sanitária, quando exigível ao objeto."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3.6 Compras: especificação, entrega e garantia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Tabela do item 1 – [página 1]; item 5.13 – [página 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local de entrega, prazo, embalagem e substituição em 24 horas (itens 2 e 6). Mas as especificações são incompletas: sabonete líquido de glicerina e shampoo neutro não têm volume/apresentação, e a unidade é apenas "UNIDADE". A vitamina D3 aparece como "solução em gotas 400UI", sem volume do frasco ou concentração por gota/mL. A garantia (item 5.13) remete ao "manual do fabricante", inaplicável a esses produtos, em vez de fixar prazo de validade mínimo para os itens (já tratado no item 5.4).</w:t>
      </w:r>
    </w:p>
    <w:p>
      <w:pPr>
        <w:spacing w:before="0" w:after="120" w:line="360" w:lineRule="auto"/>
        <w:ind w:firstLine="709"/>
        <w:jc w:val="both"/>
      </w:pPr>
      <w:r>
        <w:rPr>
          <w:b w:val="0"/>
          <w:i w:val="0"/>
        </w:rPr>
        <w:t>O documento dispõe: “Shampoo neutro” (Tabela do item 1 – [página 1]; item 5.13 – [página 6]).</w:t>
      </w:r>
    </w:p>
    <w:p>
      <w:pPr>
        <w:spacing w:before="0" w:after="80" w:line="360" w:lineRule="auto"/>
        <w:ind w:firstLine="709"/>
        <w:jc w:val="both"/>
      </w:pPr>
      <w:r>
        <w:rPr>
          <w:b/>
          <w:i w:val="0"/>
          <w:color w:val="12324A"/>
        </w:rPr>
        <w:t xml:space="preserve">Dispositivo aplicável. </w:t>
      </w:r>
      <w:r>
        <w:rPr>
          <w:b w:val="0"/>
          <w:i w:val="0"/>
        </w:rPr>
        <w:t>A matéria é disciplinada pelo art. 40, § 1º, da Lei 14.133/2021, que assim dispõe:</w:t>
      </w:r>
    </w:p>
    <w:p>
      <w:pPr>
        <w:spacing w:before="80" w:after="200" w:line="240" w:lineRule="auto"/>
        <w:ind w:firstLine="0" w:left="2268"/>
        <w:jc w:val="both"/>
      </w:pPr>
      <w:r>
        <w:rPr>
          <w:b w:val="0"/>
          <w:i w:val="0"/>
          <w:sz w:val="20"/>
        </w:rPr>
        <w:t>O termo de referência deverá conter os elementos previstos no inciso XXIII do caput do art. 6º desta Lei, além das seguintes informações: […]</w:t>
      </w:r>
      <w:r>
        <w:rPr>
          <w:b w:val="0"/>
          <w:i w:val="0"/>
          <w:sz w:val="20"/>
        </w:rPr>
        <w:t xml:space="preserve"> (BRASIL, 2021, art. 40, § 1º)</w:t>
      </w:r>
    </w:p>
    <w:p>
      <w:pPr>
        <w:spacing w:before="0" w:after="120" w:line="360" w:lineRule="auto"/>
        <w:ind w:firstLine="709"/>
        <w:jc w:val="both"/>
      </w:pPr>
      <w:r>
        <w:rPr>
          <w:b/>
          <w:i w:val="0"/>
          <w:color w:val="12324A"/>
        </w:rPr>
        <w:t xml:space="preserve">Análise. </w:t>
      </w:r>
      <w:r>
        <w:rPr>
          <w:b w:val="0"/>
          <w:i w:val="0"/>
        </w:rPr>
        <w:t>O art. 40, §1º, combinado com o art. 6º, XXIII, exige TR com especificação suficiente. Especificação incompleta permite entrega de produto fora do necessário e não fornece base objetiva para recusa.</w:t>
      </w:r>
    </w:p>
    <w:p>
      <w:pPr>
        <w:spacing w:before="0" w:after="120" w:line="360" w:lineRule="auto"/>
        <w:ind w:firstLine="709"/>
        <w:jc w:val="both"/>
      </w:pPr>
      <w:r>
        <w:rPr>
          <w:b/>
          <w:i w:val="0"/>
          <w:color w:val="C9781E"/>
        </w:rPr>
        <w:t xml:space="preserve">Risco de manutenção. </w:t>
      </w:r>
      <w:r>
        <w:rPr>
          <w:b w:val="0"/>
          <w:i w:val="0"/>
        </w:rPr>
        <w:t>Entrega de produto de apresentação ou concentração diversa da prescrita, com risco clínico e dificuldade de recusa.</w:t>
      </w:r>
    </w:p>
    <w:p>
      <w:pPr>
        <w:spacing w:before="0" w:after="120" w:line="360" w:lineRule="auto"/>
        <w:ind w:firstLine="709"/>
        <w:jc w:val="both"/>
      </w:pPr>
      <w:r>
        <w:rPr>
          <w:b/>
          <w:i w:val="0"/>
          <w:color w:val="12324A"/>
        </w:rPr>
        <w:t xml:space="preserve">Providência recomendada. </w:t>
      </w:r>
      <w:r>
        <w:rPr>
          <w:b w:val="0"/>
          <w:i w:val="0"/>
        </w:rPr>
        <w:t>Completar a especificação de cada item (volume/peso, concentração, forma de apresentação, registro ANVISA). Substituir a garantia por manual por regra compatível com o objeto (validade mínima e troca).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"Item 4 – Vitamina D3 (colecalciferol), solução oral em gotas, 400 UI por [gota/dose], frasco de [__] mL, com registro/notificação na ANVISA, validade mínima de 75% na entrega."</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3.7 Indicação de marca ou vedação de marca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Termo de Referência, Tabela do item 1 (item 2) – [página 1]; item 12.4 – [página 17]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2 da tabela indica "Loção Protetora Infantil (…características da Mustela Hydra Bebé 500ml)", mencionando marca e modelo. O TR não contém justificativa para a referência (padronização, compatibilidade, prescrição específica no laudo etc.) nem cláusula expressa "ou equivalente" no item. O item 6.8 admite apenas substituição posterior, aprovada pela fiscalização. A origem judicial e o laudo médico (item 1.2) poderiam justificar a especificidade, mas o TR não faz essa ligação.</w:t>
      </w:r>
    </w:p>
    <w:p>
      <w:pPr>
        <w:spacing w:before="0" w:after="120" w:line="360" w:lineRule="auto"/>
        <w:ind w:firstLine="709"/>
        <w:jc w:val="both"/>
      </w:pPr>
      <w:r>
        <w:rPr>
          <w:b w:val="0"/>
          <w:i w:val="0"/>
        </w:rPr>
        <w:t>O documento dispõe: “características da Mustela” (Tabela do item 1 (item 2) – [página 1]; item 12.4 – [página 17]).</w:t>
      </w:r>
    </w:p>
    <w:p>
      <w:pPr>
        <w:spacing w:before="0" w:after="80" w:line="360" w:lineRule="auto"/>
        <w:ind w:firstLine="709"/>
        <w:jc w:val="both"/>
      </w:pPr>
      <w:r>
        <w:rPr>
          <w:b/>
          <w:i w:val="0"/>
          <w:color w:val="12324A"/>
        </w:rPr>
        <w:t xml:space="preserve">Dispositivo aplicável. </w:t>
      </w:r>
      <w:r>
        <w:rPr>
          <w:b w:val="0"/>
          <w:i w:val="0"/>
        </w:rPr>
        <w:t>A matéria é disciplinada pelo art. 41, inciso I e pelo art. 41, inciso III, da Lei 14.133/2021, que assim dispõem:</w:t>
      </w:r>
    </w:p>
    <w:p>
      <w:pPr>
        <w:spacing w:before="80" w:after="200" w:line="240" w:lineRule="auto"/>
        <w:ind w:firstLine="0" w:left="2268"/>
        <w:jc w:val="both"/>
      </w:pPr>
      <w:r>
        <w:rPr>
          <w:b w:val="0"/>
          <w:i w:val="0"/>
          <w:sz w:val="20"/>
        </w:rPr>
        <w:t>No caso de licitação que envolva o fornecimento de bens, a Administração poderá excepcionalmente: […] indicar uma ou mais marcas ou modelos, desde que formalmente justificado, nas seguintes hipóteses: […]</w:t>
      </w:r>
      <w:r>
        <w:rPr>
          <w:b w:val="0"/>
          <w:i w:val="0"/>
          <w:sz w:val="20"/>
        </w:rPr>
        <w:t xml:space="preserve"> (BRASIL, 2021, art. 41, inciso I)</w:t>
      </w:r>
    </w:p>
    <w:p>
      <w:pPr>
        <w:spacing w:before="80" w:after="200" w:line="240" w:lineRule="auto"/>
        <w:ind w:firstLine="0" w:left="2268"/>
        <w:jc w:val="both"/>
      </w:pPr>
      <w:r>
        <w:rPr>
          <w:b w:val="0"/>
          <w:i w:val="0"/>
          <w:sz w:val="20"/>
        </w:rPr>
        <w:t>No caso de licitação que envolva o fornecimento de bens, a Administração poderá excepcionalmente: […] vedar a contratação de marca ou produto, quando, mediante processo administrativo, restar comprovado que produtos adquiridos e utilizados anteriormente pela Administração não atendem a requisitos indispensáveis ao pleno adimplemento da obrigação contratual;</w:t>
      </w:r>
      <w:r>
        <w:rPr>
          <w:b w:val="0"/>
          <w:i w:val="0"/>
          <w:sz w:val="20"/>
        </w:rPr>
        <w:t xml:space="preserve"> (BRASIL, 2021, art. 41, inciso III)</w:t>
      </w:r>
    </w:p>
    <w:p>
      <w:pPr>
        <w:spacing w:before="0" w:after="120" w:line="360" w:lineRule="auto"/>
        <w:ind w:firstLine="709"/>
        <w:jc w:val="both"/>
      </w:pPr>
      <w:r>
        <w:rPr>
          <w:b/>
          <w:i w:val="0"/>
          <w:color w:val="12324A"/>
        </w:rPr>
        <w:t xml:space="preserve">Análise. </w:t>
      </w:r>
      <w:r>
        <w:rPr>
          <w:b w:val="0"/>
          <w:i w:val="0"/>
        </w:rPr>
        <w:t>O art. 41, I, admite a indicação de marca ou modelo apenas excepcionalmente e se formalmente justificada nas hipóteses legais. Sem motivação, a referência pode ser vista como direcionamento e restringir a competição, mesmo em dispensa.</w:t>
      </w:r>
    </w:p>
    <w:p>
      <w:pPr>
        <w:spacing w:before="0" w:after="120" w:line="360" w:lineRule="auto"/>
        <w:ind w:firstLine="709"/>
        <w:jc w:val="both"/>
      </w:pPr>
      <w:r>
        <w:rPr>
          <w:b/>
          <w:i w:val="0"/>
          <w:color w:val="C9781E"/>
        </w:rPr>
        <w:t xml:space="preserve">Risco de manutenção. </w:t>
      </w:r>
      <w:r>
        <w:rPr>
          <w:b w:val="0"/>
          <w:i w:val="0"/>
        </w:rPr>
        <w:t>Alegação de direcionamento ou, no outro sentido, recebimento de produto de marca diversa que descumpra a ordem judicial.</w:t>
      </w:r>
    </w:p>
    <w:p>
      <w:pPr>
        <w:spacing w:before="0" w:after="120" w:line="360" w:lineRule="auto"/>
        <w:ind w:firstLine="709"/>
        <w:jc w:val="both"/>
      </w:pPr>
      <w:r>
        <w:rPr>
          <w:b/>
          <w:i w:val="0"/>
          <w:color w:val="12324A"/>
        </w:rPr>
        <w:t xml:space="preserve">Providência recomendada. </w:t>
      </w:r>
      <w:r>
        <w:rPr>
          <w:b w:val="0"/>
          <w:i w:val="0"/>
        </w:rPr>
        <w:t>Justificar a referência: se a marca é exigida pelo laudo/decisão judicial, citar a peça e fundamentar a necessidade. Do contrário, descrever as características técnicas (composição, hipoalergenicidade, volume) e acrescentar "ou equivalente", mantendo a marca apenas como referência.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"Loção hidratante/protetora infantil, 500 mL, com [características técnicas], tendo como referência de qualidade a marca Mustela Hydra Bebé ou equivalente, conforme laudo médico às fls. __ do processo judicial nº 5003178-54.2024.4.02.5102."</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Em licitações referentes a compras, inclusive de softwares, é possível a indicação de marca, desde que seja estritamente necessária para atender exigências de padronização e que haja prévia justificação. (Súmula vigente, aprovada pelo Acórdão 849/2012-Plenário; data indicada = ano de aprovação.)</w:t>
      </w:r>
      <w:r>
        <w:rPr>
          <w:b w:val="0"/>
          <w:i w:val="0"/>
          <w:sz w:val="20"/>
        </w:rPr>
        <w:t xml:space="preserve"> (TCU, Súmula TCU 270)</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3.8 TR sem aprovação formal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Termo de Referência, Encerramento do TR – [página 24]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campo "Aprovado por:" está em branco, de modo que o documento consta apenas como elaborado, sem aprovação pela autoridade competente.</w:t>
      </w:r>
    </w:p>
    <w:p>
      <w:pPr>
        <w:spacing w:before="0" w:after="120" w:line="360" w:lineRule="auto"/>
        <w:ind w:firstLine="709"/>
        <w:jc w:val="both"/>
      </w:pPr>
      <w:r>
        <w:rPr>
          <w:b w:val="0"/>
          <w:i w:val="0"/>
        </w:rPr>
        <w:t>O documento dispõe: “Aprovado por:” (Encerramento do TR – [página 24]).</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A aprovação do TR documenta a validação do planejamento pela autoridade competente antes da contratação. A ausência dificulta a prova de regularidade da fase preparatória.</w:t>
      </w:r>
    </w:p>
    <w:p>
      <w:pPr>
        <w:spacing w:before="0" w:after="120" w:line="360" w:lineRule="auto"/>
        <w:ind w:firstLine="709"/>
        <w:jc w:val="both"/>
      </w:pPr>
      <w:r>
        <w:rPr>
          <w:b/>
          <w:i w:val="0"/>
          <w:color w:val="C9781E"/>
        </w:rPr>
        <w:t xml:space="preserve">Risco de manutenção. </w:t>
      </w:r>
      <w:r>
        <w:rPr>
          <w:b w:val="0"/>
          <w:i w:val="0"/>
        </w:rPr>
        <w:t>Questionamento de controle sobre a validade da instrução e a responsabilidade pela definição do objeto e das condições.</w:t>
      </w:r>
    </w:p>
    <w:p>
      <w:pPr>
        <w:spacing w:before="0" w:after="120" w:line="360" w:lineRule="auto"/>
        <w:ind w:firstLine="709"/>
        <w:jc w:val="both"/>
      </w:pPr>
      <w:r>
        <w:rPr>
          <w:b/>
          <w:i w:val="0"/>
          <w:color w:val="12324A"/>
        </w:rPr>
        <w:t xml:space="preserve">Providência recomendada. </w:t>
      </w:r>
      <w:r>
        <w:rPr>
          <w:b w:val="0"/>
          <w:i w:val="0"/>
        </w:rPr>
        <w:t>Verificar se há aprovação em outra peça dos autos. Se não houver, providenciar a ratificação formal do TR pela autoridade competente, com registro nos autos.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3.9 Definição do objeto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Termo de Referência, Item 1 (1.1–1.2) e item 2.2 – [página 1] e [página 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traz a natureza (fornecimento de insumos), uma tabela de quantitativos e o prazo de vigência (4 meses, item 2.2). Mas a descrição inicial é genérica ("empresa especializada no fornecimento de Insumos"). A tabela mistura quantidade mensal e total de 3 meses, embora a entrega seja única. A quantidade do item 4 (vitamina D3) está ilegível ou ambígua na coluna mensal. A vigência de 4 meses não é explicada frente ao quantitativo de 3 meses. O TR nada diz sobre possibilidade ou vedação de prorrogação.</w:t>
      </w:r>
    </w:p>
    <w:p>
      <w:pPr>
        <w:spacing w:before="0" w:after="120" w:line="360" w:lineRule="auto"/>
        <w:ind w:firstLine="709"/>
        <w:jc w:val="both"/>
      </w:pPr>
      <w:r>
        <w:rPr>
          <w:b w:val="0"/>
          <w:i w:val="0"/>
        </w:rPr>
        <w:t>O documento dispõe: “O quantitativo descrito na tabela acima será suficiente para o período de 03 (três)” (Item 1 (1.1–1.2) e item 2.2 – [página 1] e [página 2]).</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a, da Lei 14.133/2021, que assim dispõe:</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definição do objeto, incluídos sua natureza, os quantitativos, o prazo do contrato e, se for o caso, a possibilidade de sua prorrogação;</w:t>
      </w:r>
      <w:r>
        <w:rPr>
          <w:b w:val="0"/>
          <w:i w:val="0"/>
          <w:sz w:val="20"/>
        </w:rPr>
        <w:t xml:space="preserve"> (BRASIL, 2021, art. 6, inciso XXIII, alínea a)</w:t>
      </w:r>
    </w:p>
    <w:p>
      <w:pPr>
        <w:spacing w:before="0" w:after="120" w:line="360" w:lineRule="auto"/>
        <w:ind w:firstLine="709"/>
        <w:jc w:val="both"/>
      </w:pPr>
      <w:r>
        <w:rPr>
          <w:b/>
          <w:i w:val="0"/>
          <w:color w:val="12324A"/>
        </w:rPr>
        <w:t xml:space="preserve">Análise. </w:t>
      </w:r>
      <w:r>
        <w:rPr>
          <w:b w:val="0"/>
          <w:i w:val="0"/>
        </w:rPr>
        <w:t>O art. 6º, XXIII, "a", exige definição do objeto com natureza, quantitativos, prazo do contrato e, se for o caso, possibilidade de prorrogação. Quantitativos ambíguos e vigência desconectada do período de consumo prejudicam a comparabilidade das propostas e a fiscalização.</w:t>
      </w:r>
    </w:p>
    <w:p>
      <w:pPr>
        <w:spacing w:before="0" w:after="120" w:line="360" w:lineRule="auto"/>
        <w:ind w:firstLine="709"/>
        <w:jc w:val="both"/>
      </w:pPr>
      <w:r>
        <w:rPr>
          <w:b/>
          <w:i w:val="0"/>
          <w:color w:val="3D8FA6"/>
        </w:rPr>
        <w:t xml:space="preserve">Risco de manutenção. </w:t>
      </w:r>
      <w:r>
        <w:rPr>
          <w:b w:val="0"/>
          <w:i w:val="0"/>
        </w:rPr>
        <w:t>Divergência sobre o que e quanto deveria ser entregue, com fornecimento a menor ou a maior que o necessário para o paciente.</w:t>
      </w:r>
    </w:p>
    <w:p>
      <w:pPr>
        <w:spacing w:before="0" w:after="120" w:line="360" w:lineRule="auto"/>
        <w:ind w:firstLine="709"/>
        <w:jc w:val="both"/>
      </w:pPr>
      <w:r>
        <w:rPr>
          <w:b/>
          <w:i w:val="0"/>
          <w:color w:val="12324A"/>
        </w:rPr>
        <w:t xml:space="preserve">Providência recomendada. </w:t>
      </w:r>
      <w:r>
        <w:rPr>
          <w:b w:val="0"/>
          <w:i w:val="0"/>
        </w:rPr>
        <w:t>Esclarecer a quantidade mensal e total de cada item (inclusive a vitamina D3). Justificar a vigência de 4 meses para um fornecimento em entrega única. Declarar expressamente se há ou não possibilidade de prorrogação.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vigência contratual de 4 (quatro) meses abrange o prazo de entrega (até 5 dias úteis da ordem de fornecimento), o recebimento e o pagamento, sendo vedada a prorrogação. O quantitativo total (3 meses) será entregue de uma só vez."</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definição precisa e suficiente do objeto licitado constitui regra indispensável da competição, até mesmo como pressuposto do postulado de igualdade entre os licitantes, do qual é subsidiário o princípio da publicidade, que envolve o conhecimento, pelos concorrentes potenciais das condições básicas da licitação, constituindo, na hipótese particular da licitação para compra, a quantidade demandada uma das especificações mínimas e essenciais à definição do objeto do pregão. (Súmula vigente, aprovada na Ata nº 80/1982 do Plenário; data indicada = ano de aprovação.)</w:t>
      </w:r>
      <w:r>
        <w:rPr>
          <w:b w:val="0"/>
          <w:i w:val="0"/>
          <w:sz w:val="20"/>
        </w:rPr>
        <w:t xml:space="preserve"> (TCU, Súmula TCU 177)</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3.10 Requisitos da contratação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Termo de Referência, Item 5 (5.1, 5.2, 5.6, 5.7) – [página 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requisitos estão definidos (conformidade ANVISA, validade mínima de 75% no ato da entrega, rótulos em português, sustentabilidade, embalagem). Mas há trechos copiados de modelo para medicamentos ou outros objetos: o item 5.2 fala em "medicamento" e o item 5.1 em "forma farmacêutica, concentração", inaplicáveis a sabonete e shampoo. O item 5.6 cita a RDC ANVISA nº 50/2002, e o item 5.7 apenas descreve o PGRSS, sem impor obrigação. A compatibilidade com os requisitos do ETP não pode ser verificada, pois não há ETP.</w:t>
      </w:r>
    </w:p>
    <w:p>
      <w:pPr>
        <w:spacing w:before="0" w:after="120" w:line="360" w:lineRule="auto"/>
        <w:ind w:firstLine="709"/>
        <w:jc w:val="both"/>
      </w:pPr>
      <w:r>
        <w:rPr>
          <w:b w:val="0"/>
          <w:i w:val="0"/>
        </w:rPr>
        <w:t>O documento dispõe: “comprovação da procedência do medicamento oferecido” (Item 5 (5.1, 5.2, 5.6, 5.7) – [página 5]).</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d, da Lei 14.133/2021, que assim dispõe:</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requisitos da contratação;</w:t>
      </w:r>
      <w:r>
        <w:rPr>
          <w:b w:val="0"/>
          <w:i w:val="0"/>
          <w:sz w:val="20"/>
        </w:rPr>
        <w:t xml:space="preserve"> (BRASIL, 2021, art. 6, inciso XXIII, alínea d)</w:t>
      </w:r>
    </w:p>
    <w:p>
      <w:pPr>
        <w:spacing w:before="0" w:after="120" w:line="360" w:lineRule="auto"/>
        <w:ind w:firstLine="709"/>
        <w:jc w:val="both"/>
      </w:pPr>
      <w:r>
        <w:rPr>
          <w:b/>
          <w:i w:val="0"/>
          <w:color w:val="12324A"/>
        </w:rPr>
        <w:t xml:space="preserve">Análise. </w:t>
      </w:r>
      <w:r>
        <w:rPr>
          <w:b w:val="0"/>
          <w:i w:val="0"/>
        </w:rPr>
        <w:t>Os requisitos da contratação (art. 6º, XXIII, "d") devem refletir a real natureza do objeto. Exigências ou referências incompatíveis geram insegurança sobre o que será cobrado do fornecedor e dificultam a recusa fundamentada do produto.</w:t>
      </w:r>
    </w:p>
    <w:p>
      <w:pPr>
        <w:spacing w:before="0" w:after="120" w:line="360" w:lineRule="auto"/>
        <w:ind w:firstLine="709"/>
        <w:jc w:val="both"/>
      </w:pPr>
      <w:r>
        <w:rPr>
          <w:b/>
          <w:i w:val="0"/>
          <w:color w:val="3D8FA6"/>
        </w:rPr>
        <w:t xml:space="preserve">Risco de manutenção. </w:t>
      </w:r>
      <w:r>
        <w:rPr>
          <w:b w:val="0"/>
          <w:i w:val="0"/>
        </w:rPr>
        <w:t>Requisitos inexigíveis ou ambíguos podem ser contestados em eventual recusa de produto ou penalização da contratada.</w:t>
      </w:r>
    </w:p>
    <w:p>
      <w:pPr>
        <w:spacing w:before="0" w:after="120" w:line="360" w:lineRule="auto"/>
        <w:ind w:firstLine="709"/>
        <w:jc w:val="both"/>
      </w:pPr>
      <w:r>
        <w:rPr>
          <w:b/>
          <w:i w:val="0"/>
          <w:color w:val="12324A"/>
        </w:rPr>
        <w:t xml:space="preserve">Providência recomendada. </w:t>
      </w:r>
      <w:r>
        <w:rPr>
          <w:b w:val="0"/>
          <w:i w:val="0"/>
        </w:rPr>
        <w:t>Adequar os requisitos aos quatro itens, indicando para cada um o registro/notificação exigido pela ANVISA (cosméticos infantis, produto de higiene e vitamina D3), a apresentação e a validade. Retirar referências impertinentes (medicamento, RDC 50/2002) ou esclarecer sua aplicação.</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definição dos "requisitos da contratação" no termo de referência (art. 6º, inciso XXIII, alínea d, da Lei 14.133/2021) deve manter fidelidade às reais características do objeto pretendido, de modo a evitar a inclusão de exigências incompatíveis com a real natureza dos serviços licitados, a exemplo da existência de informações no termo de referência indicando que um contrato de serviços continuados de engenharia abrange gestão de projetos de grande porte.</w:t>
      </w:r>
      <w:r>
        <w:rPr>
          <w:b w:val="0"/>
          <w:i w:val="0"/>
          <w:sz w:val="20"/>
        </w:rPr>
        <w:t xml:space="preserve"> (TCU, Acórdão 2666/2025-Plenário)</w:t>
      </w:r>
      <w:r>
        <w:rPr>
          <w:b w:val="0"/>
          <w:i w:val="0"/>
          <w:sz w:val="20"/>
        </w:rPr>
        <w:t xml:space="preserve"> </w:t>
      </w:r>
      <w:hyperlink r:id="rId15">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3.11 Modelo de gestão e fiscalização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Termo de Referência, Item 7 (7.8, 7.17) – [página 8] e [página 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modelo de gestão é completo: gestor, fiscal administrativo, fiscal técnico e suplente nominados com matrícula (7.3), comunicações por escrito, registro de ocorrências, notificações, relatório final e atuação do gestor. Há, porém, referências sem correspondência no TR. O item 7.8 prevê "método de avaliação das conformidades" sem descrevê-lo. O item 7.17 menciona "fiscal setorial" e "indicadores objetivamente definidos", que não existem no documento. Há um único suplente para três funções.</w:t>
      </w:r>
    </w:p>
    <w:p>
      <w:pPr>
        <w:spacing w:before="0" w:after="120" w:line="360" w:lineRule="auto"/>
        <w:ind w:firstLine="709"/>
        <w:jc w:val="both"/>
      </w:pPr>
      <w:r>
        <w:rPr>
          <w:b w:val="0"/>
          <w:i w:val="0"/>
        </w:rPr>
        <w:t>O documento dispõe: “Será utilizado método de avaliação das conformidades dos produtos em relação ao” (Item 7 (7.8, 7.17) – [página 8] e [página 9]).</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f e pelo art. 117, da Lei 14.133/2021, que assim dispõem:</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modelo de gestão do contrato, que descreve como a execução do objeto será acompanhada e fiscalizada pelo órgão ou entidade;</w:t>
      </w:r>
      <w:r>
        <w:rPr>
          <w:b w:val="0"/>
          <w:i w:val="0"/>
          <w:sz w:val="20"/>
        </w:rPr>
        <w:t xml:space="preserve"> (BRASIL, 2021, art. 6, inciso XXIII, alínea f)</w:t>
      </w:r>
    </w:p>
    <w:p>
      <w:pPr>
        <w:spacing w:before="80" w:after="200" w:line="240" w:lineRule="auto"/>
        <w:ind w:firstLine="0" w:left="2268"/>
        <w:jc w:val="both"/>
      </w:pPr>
      <w:r>
        <w:rPr>
          <w:b w:val="0"/>
          <w:i w:val="0"/>
          <w:sz w:val="20"/>
        </w:rPr>
        <w:t>A execução do contrato deverá ser acompanhada e fiscalizada por 1 (um) ou mais fiscais do contrato, representantes da Administração especialmente designados conforme requisitos estabelecidos no art. 7º desta Lei, ou pelos respectivos substitutos, permitida a contratação de terceiros para assisti-los e subsidiá-los com informações pertinentes a essa atribuição.</w:t>
      </w:r>
      <w:r>
        <w:rPr>
          <w:b w:val="0"/>
          <w:i w:val="0"/>
          <w:sz w:val="20"/>
        </w:rPr>
        <w:t xml:space="preserve"> (BRASIL, 2021, art. 117)</w:t>
      </w:r>
    </w:p>
    <w:p>
      <w:pPr>
        <w:spacing w:before="0" w:after="120" w:line="360" w:lineRule="auto"/>
        <w:ind w:firstLine="709"/>
        <w:jc w:val="both"/>
      </w:pPr>
      <w:r>
        <w:rPr>
          <w:b/>
          <w:i w:val="0"/>
          <w:color w:val="12324A"/>
        </w:rPr>
        <w:t xml:space="preserve">Análise. </w:t>
      </w:r>
      <w:r>
        <w:rPr>
          <w:b w:val="0"/>
          <w:i w:val="0"/>
        </w:rPr>
        <w:t>O art. 6º, XXIII, "f", e o art. 117 exigem descrição de como a execução será acompanhada e fiscalizada. Remissões a métodos e indicadores inexistentes tornam a fiscalização imprecisa e podem fragilizar atestos e glosas.</w:t>
      </w:r>
    </w:p>
    <w:p>
      <w:pPr>
        <w:spacing w:before="0" w:after="120" w:line="360" w:lineRule="auto"/>
        <w:ind w:firstLine="709"/>
        <w:jc w:val="both"/>
      </w:pPr>
      <w:r>
        <w:rPr>
          <w:b/>
          <w:i w:val="0"/>
          <w:color w:val="3D8FA6"/>
        </w:rPr>
        <w:t xml:space="preserve">Risco de manutenção. </w:t>
      </w:r>
      <w:r>
        <w:rPr>
          <w:b w:val="0"/>
          <w:i w:val="0"/>
        </w:rPr>
        <w:t>Atesto sem parâmetro objetivo e eventual contestação de glosas ou recusas pela contratada.</w:t>
      </w:r>
    </w:p>
    <w:p>
      <w:pPr>
        <w:spacing w:before="0" w:after="120" w:line="360" w:lineRule="auto"/>
        <w:ind w:firstLine="709"/>
        <w:jc w:val="both"/>
      </w:pPr>
      <w:r>
        <w:rPr>
          <w:b/>
          <w:i w:val="0"/>
          <w:color w:val="12324A"/>
        </w:rPr>
        <w:t xml:space="preserve">Providência recomendada. </w:t>
      </w:r>
      <w:r>
        <w:rPr>
          <w:b w:val="0"/>
          <w:i w:val="0"/>
        </w:rPr>
        <w:t>Descrever o método de avaliação (conferência de quantidade, lote, validade, registro ANVISA e embalagem no recebimento) ou suprimir o item 7.8. Retirar as referências a "fiscal setorial" e a indicadores. Avaliar a designação de suplentes para cada função.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3.12 Adequação orçamentária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Termo de Referência, Item 13 (13.2) – [página 17]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indica a dotação (órgão 20, unidade 02, fonte 500, elemento 3.3.90.32). Há uma aparente divergência: o programa de trabalho informado termina em "2173" (02.10.303.00081.2173), enquanto o projeto/atividade é "2189". O TR não registra reserva/empenho nem confirma a suficiência do saldo. O item 10.3 cita "plano de contratação anual" e prorrogações, impertinentes ao fornecimento de entrega única.</w:t>
      </w:r>
    </w:p>
    <w:p>
      <w:pPr>
        <w:spacing w:before="0" w:after="120" w:line="360" w:lineRule="auto"/>
        <w:ind w:firstLine="709"/>
        <w:jc w:val="both"/>
      </w:pPr>
      <w:r>
        <w:rPr>
          <w:b w:val="0"/>
          <w:i w:val="0"/>
        </w:rPr>
        <w:t>O documento dispõe: “VI) Projeto/Atividade: 2189” (Item 13 (13.2) – [página 17]).</w:t>
      </w:r>
    </w:p>
    <w:p>
      <w:pPr>
        <w:spacing w:before="0" w:after="80" w:line="360" w:lineRule="auto"/>
        <w:ind w:firstLine="709"/>
        <w:jc w:val="both"/>
      </w:pPr>
      <w:r>
        <w:rPr>
          <w:b/>
          <w:i w:val="0"/>
          <w:color w:val="12324A"/>
        </w:rPr>
        <w:t xml:space="preserve">Dispositivo aplicável. </w:t>
      </w:r>
      <w:r>
        <w:rPr>
          <w:b w:val="0"/>
          <w:i w:val="0"/>
        </w:rPr>
        <w:t>A matéria é disciplinada pelo art. 6, inciso XXIII, alínea j e pelo art. 150, da Lei 14.133/2021, que assim dispõem:</w:t>
      </w:r>
    </w:p>
    <w:p>
      <w:pPr>
        <w:spacing w:before="80" w:after="200" w:line="240" w:lineRule="auto"/>
        <w:ind w:firstLine="0" w:left="2268"/>
        <w:jc w:val="both"/>
      </w:pPr>
      <w:r>
        <w:rPr>
          <w:b w:val="0"/>
          <w:i w:val="0"/>
          <w:sz w:val="20"/>
        </w:rPr>
        <w:t>termo de referência: documento necessário para a contratação de bens e serviços, que deve conter os seguintes parâmetros e elementos descritivos: […] adequação orçamentária;</w:t>
      </w:r>
      <w:r>
        <w:rPr>
          <w:b w:val="0"/>
          <w:i w:val="0"/>
          <w:sz w:val="20"/>
        </w:rPr>
        <w:t xml:space="preserve"> (BRASIL, 2021, art. 6, inciso XXIII, alínea j)</w:t>
      </w:r>
    </w:p>
    <w:p>
      <w:pPr>
        <w:spacing w:before="80" w:after="200" w:line="240" w:lineRule="auto"/>
        <w:ind w:firstLine="0" w:left="2268"/>
        <w:jc w:val="both"/>
      </w:pPr>
      <w:r>
        <w:rPr>
          <w:b w:val="0"/>
          <w:i w:val="0"/>
          <w:sz w:val="20"/>
        </w:rPr>
        <w:t>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w:t>
      </w:r>
      <w:r>
        <w:rPr>
          <w:b w:val="0"/>
          <w:i w:val="0"/>
          <w:sz w:val="20"/>
        </w:rPr>
        <w:t xml:space="preserve"> (BRASIL, 2021, art. 150)</w:t>
      </w:r>
    </w:p>
    <w:p>
      <w:pPr>
        <w:spacing w:before="0" w:after="120" w:line="360" w:lineRule="auto"/>
        <w:ind w:firstLine="709"/>
        <w:jc w:val="both"/>
      </w:pPr>
      <w:r>
        <w:rPr>
          <w:b/>
          <w:i w:val="0"/>
          <w:color w:val="12324A"/>
        </w:rPr>
        <w:t xml:space="preserve">Análise. </w:t>
      </w:r>
      <w:r>
        <w:rPr>
          <w:b w:val="0"/>
          <w:i w:val="0"/>
        </w:rPr>
        <w:t>O art. 6º, XXIII, "j", e o art. 150 exigem a indicação dos créditos orçamentários, sob pena de nulidade. Inconsistência na classificação orçamentária compromete a rastreabilidade do gasto e a prova de que o crédito correto foi utilizado.</w:t>
      </w:r>
    </w:p>
    <w:p>
      <w:pPr>
        <w:spacing w:before="0" w:after="120" w:line="360" w:lineRule="auto"/>
        <w:ind w:firstLine="709"/>
        <w:jc w:val="both"/>
      </w:pPr>
      <w:r>
        <w:rPr>
          <w:b/>
          <w:i w:val="0"/>
          <w:color w:val="3D8FA6"/>
        </w:rPr>
        <w:t xml:space="preserve">Risco de manutenção. </w:t>
      </w:r>
      <w:r>
        <w:rPr>
          <w:b w:val="0"/>
          <w:i w:val="0"/>
        </w:rPr>
        <w:t>Despesa lançada em ação orçamentária diversa da indicada, com impacto em prestação de contas e controle orçamentário.</w:t>
      </w:r>
    </w:p>
    <w:p>
      <w:pPr>
        <w:spacing w:before="0" w:after="120" w:line="360" w:lineRule="auto"/>
        <w:ind w:firstLine="709"/>
        <w:jc w:val="both"/>
      </w:pPr>
      <w:r>
        <w:rPr>
          <w:b/>
          <w:i w:val="0"/>
          <w:color w:val="12324A"/>
        </w:rPr>
        <w:t xml:space="preserve">Providência recomendada. </w:t>
      </w:r>
      <w:r>
        <w:rPr>
          <w:b w:val="0"/>
          <w:i w:val="0"/>
        </w:rPr>
        <w:t>Confirmar nos autos a classificação orçamentária efetivamente empenhada, corrigindo a divergência entre ação 2173 e atividade 2189. Registrar o número da reserva/empenho e a verificação de saldo.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Vedação à subcontratação sem justificativa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Termo de Referência, Item 5.12 – [página 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5.12 veda a subcontratação sem motivação no TR e sem ETP que a justifique.</w:t>
      </w:r>
    </w:p>
    <w:p>
      <w:pPr>
        <w:spacing w:before="0" w:after="120" w:line="360" w:lineRule="auto"/>
        <w:ind w:firstLine="709"/>
        <w:jc w:val="both"/>
      </w:pPr>
      <w:r>
        <w:rPr>
          <w:b w:val="0"/>
          <w:i w:val="0"/>
        </w:rPr>
        <w:t>O documento dispõe: “Não é admitida a subcontratação do objeto contratual.” (Item 5.12 – [página 6]).</w:t>
      </w:r>
    </w:p>
    <w:p>
      <w:pPr>
        <w:spacing w:before="0" w:after="80" w:line="360" w:lineRule="auto"/>
        <w:ind w:firstLine="709"/>
        <w:jc w:val="both"/>
      </w:pPr>
      <w:r>
        <w:rPr>
          <w:b/>
          <w:i w:val="0"/>
          <w:color w:val="12324A"/>
        </w:rPr>
        <w:t xml:space="preserve">Dispositivo aplicável. </w:t>
      </w:r>
      <w:r>
        <w:rPr>
          <w:b w:val="0"/>
          <w:i w:val="0"/>
        </w:rPr>
        <w:t>A matéria é disciplinada pelo art. 122, § 2º e pelo art. 5, da Lei 14.133/2021, que assim dispõem:</w:t>
      </w:r>
    </w:p>
    <w:p>
      <w:pPr>
        <w:spacing w:before="80" w:after="200" w:line="240" w:lineRule="auto"/>
        <w:ind w:firstLine="0" w:left="2268"/>
        <w:jc w:val="both"/>
      </w:pPr>
      <w:r>
        <w:rPr>
          <w:b w:val="0"/>
          <w:i w:val="0"/>
          <w:sz w:val="20"/>
        </w:rPr>
        <w:t>Regulamento ou edital de licitação poderão vedar, restringir ou estabelecer condições para a subcontratação.</w:t>
      </w:r>
      <w:r>
        <w:rPr>
          <w:b w:val="0"/>
          <w:i w:val="0"/>
          <w:sz w:val="20"/>
        </w:rPr>
        <w:t xml:space="preserve"> (BRASIL, 2021, art. 122, § 2º)</w:t>
      </w:r>
    </w:p>
    <w:p>
      <w:pPr>
        <w:spacing w:before="80" w:after="200" w:line="240" w:lineRule="auto"/>
        <w:ind w:firstLine="0" w:left="2268"/>
        <w:jc w:val="both"/>
      </w:pPr>
      <w:r>
        <w:rPr>
          <w:b w:val="0"/>
          <w:i w:val="0"/>
          <w:sz w:val="20"/>
        </w:rPr>
        <w:t>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r>
        <w:rPr>
          <w:b w:val="0"/>
          <w:i w:val="0"/>
          <w:sz w:val="20"/>
        </w:rPr>
        <w:t xml:space="preserve"> (BRASIL, 2021, art. 5)</w:t>
      </w:r>
    </w:p>
    <w:p>
      <w:pPr>
        <w:spacing w:before="0" w:after="120" w:line="360" w:lineRule="auto"/>
        <w:ind w:firstLine="709"/>
        <w:jc w:val="both"/>
      </w:pPr>
      <w:r>
        <w:rPr>
          <w:b/>
          <w:i w:val="0"/>
          <w:color w:val="12324A"/>
        </w:rPr>
        <w:t xml:space="preserve">Análise. </w:t>
      </w:r>
      <w:r>
        <w:rPr>
          <w:b w:val="0"/>
          <w:i w:val="0"/>
        </w:rPr>
        <w:t>A vedação ou restrição à subcontratação é admitida, mas deve ser motivada, em atenção aos princípios da motivação e da transparência (art. 5º). Como não há ETP, a justificativa precisaria constar do TR ou dos autos.</w:t>
      </w:r>
    </w:p>
    <w:p>
      <w:pPr>
        <w:spacing w:before="0" w:after="120" w:line="360" w:lineRule="auto"/>
        <w:ind w:firstLine="709"/>
        <w:jc w:val="both"/>
      </w:pPr>
      <w:r>
        <w:rPr>
          <w:b/>
          <w:i w:val="0"/>
          <w:color w:val="3D8FA6"/>
        </w:rPr>
        <w:t xml:space="preserve">Risco de manutenção. </w:t>
      </w:r>
      <w:r>
        <w:rPr>
          <w:b w:val="0"/>
          <w:i w:val="0"/>
        </w:rPr>
        <w:t>Questionamento por falta de motivação. O risco concreto é reduzido, dado o objeto simples.</w:t>
      </w:r>
    </w:p>
    <w:p>
      <w:pPr>
        <w:spacing w:before="0" w:after="120" w:line="360" w:lineRule="auto"/>
        <w:ind w:firstLine="709"/>
        <w:jc w:val="both"/>
      </w:pPr>
      <w:r>
        <w:rPr>
          <w:b/>
          <w:i w:val="0"/>
          <w:color w:val="12324A"/>
        </w:rPr>
        <w:t xml:space="preserve">Providência recomendada. </w:t>
      </w:r>
      <w:r>
        <w:rPr>
          <w:b w:val="0"/>
          <w:i w:val="0"/>
        </w:rPr>
        <w:t>Acrescentar breve justificativa (por exemplo, objeto de fornecimento simples, com responsabilidade sanitária e rastreabilidade a cargo do fornecedor) ou deixar silente se não houver razão específica.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3.14 Cláusulas padronizadas incompatíveis com o objeto e com a modalidade</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Termo de Referência, Anexo (A) – [página 25]; itens 15.7 – [página 23]; 14.10 – [página 22]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reaproveita texto de modelo de outros objetos e procedimentos: refere-se a "medicamento", "serviços", "solidez e segurança do serviço", "planilha", "edital", "licitante", "Planejamento do Trabalho", "devolução da garantia" e recomposição da garantia (embora o item 5.15 afaste a garantia contratual), "cooperativas", "fiscal setorial" e à RDC ANVISA nº 50/2002. O Anexo A fala em "recebimento definitivo destes serviços".</w:t>
      </w:r>
    </w:p>
    <w:p>
      <w:pPr>
        <w:spacing w:before="0" w:after="120" w:line="360" w:lineRule="auto"/>
        <w:ind w:firstLine="709"/>
        <w:jc w:val="both"/>
      </w:pPr>
      <w:r>
        <w:rPr>
          <w:b w:val="0"/>
          <w:i w:val="0"/>
        </w:rPr>
        <w:t>O documento dispõe: “recebimento definitivo destes serviços ocorrerá em cinco (05) dias úteis” (Anexo (A) – [página 25]; itens 15.7 – [página 23]; 14.10 – [página 22]).</w:t>
      </w:r>
    </w:p>
    <w:p>
      <w:pPr>
        <w:spacing w:before="0" w:after="80" w:line="360" w:lineRule="auto"/>
        <w:ind w:firstLine="709"/>
        <w:jc w:val="both"/>
      </w:pPr>
      <w:r>
        <w:rPr>
          <w:b/>
          <w:i w:val="0"/>
          <w:color w:val="12324A"/>
        </w:rPr>
        <w:t xml:space="preserve">Dispositivo aplicável. </w:t>
      </w:r>
      <w:r>
        <w:rPr>
          <w:b w:val="0"/>
          <w:i w:val="0"/>
        </w:rPr>
        <w:t>A matéria é disciplinada pelo art. 6, inciso XXIII, da Lei 14.133/2021, que assim dispõe:</w:t>
      </w:r>
    </w:p>
    <w:p>
      <w:pPr>
        <w:spacing w:before="80" w:after="200" w:line="240" w:lineRule="auto"/>
        <w:ind w:firstLine="0" w:left="2268"/>
        <w:jc w:val="both"/>
      </w:pPr>
      <w:r>
        <w:rPr>
          <w:b w:val="0"/>
          <w:i w:val="0"/>
          <w:sz w:val="20"/>
        </w:rPr>
        <w:t>Para os fins desta Lei, consideram-se: […] termo de referência: documento necessário para a contratação de bens e serviços, que deve conter os seguintes parâmetros e elementos descritivos: […]</w:t>
      </w:r>
      <w:r>
        <w:rPr>
          <w:b w:val="0"/>
          <w:i w:val="0"/>
          <w:sz w:val="20"/>
        </w:rPr>
        <w:t xml:space="preserve"> (BRASIL, 2021, art. 6, inciso XXIII)</w:t>
      </w:r>
    </w:p>
    <w:p>
      <w:pPr>
        <w:spacing w:before="0" w:after="120" w:line="360" w:lineRule="auto"/>
        <w:ind w:firstLine="709"/>
        <w:jc w:val="both"/>
      </w:pPr>
      <w:r>
        <w:rPr>
          <w:b/>
          <w:i w:val="0"/>
          <w:color w:val="12324A"/>
        </w:rPr>
        <w:t xml:space="preserve">Análise. </w:t>
      </w:r>
      <w:r>
        <w:rPr>
          <w:b w:val="0"/>
          <w:i w:val="0"/>
        </w:rPr>
        <w:t>Cláusulas estranhas ao objeto geram ambiguidade, permitem interpretações divergentes na execução e revelam falha de revisão do planejamento.</w:t>
      </w:r>
    </w:p>
    <w:p>
      <w:pPr>
        <w:spacing w:before="0" w:after="120" w:line="360" w:lineRule="auto"/>
        <w:ind w:firstLine="709"/>
        <w:jc w:val="both"/>
      </w:pPr>
      <w:r>
        <w:rPr>
          <w:b/>
          <w:i w:val="0"/>
          <w:color w:val="3D8FA6"/>
        </w:rPr>
        <w:t xml:space="preserve">Risco de manutenção. </w:t>
      </w:r>
      <w:r>
        <w:rPr>
          <w:b w:val="0"/>
          <w:i w:val="0"/>
        </w:rPr>
        <w:t>Aplicação equivocada de cláusulas (garantia, penalidades, recebimento) e contestação por parte da contratada.</w:t>
      </w:r>
    </w:p>
    <w:p>
      <w:pPr>
        <w:spacing w:before="0" w:after="120" w:line="360" w:lineRule="auto"/>
        <w:ind w:firstLine="709"/>
        <w:jc w:val="both"/>
      </w:pPr>
      <w:r>
        <w:rPr>
          <w:b/>
          <w:i w:val="0"/>
          <w:color w:val="12324A"/>
        </w:rPr>
        <w:t xml:space="preserve">Providência recomendada. </w:t>
      </w:r>
      <w:r>
        <w:rPr>
          <w:b w:val="0"/>
          <w:i w:val="0"/>
        </w:rPr>
        <w:t>Revisar o modelo-padrão e adequar o texto ao fornecimento de bens por dispensa. Retirar as menções à garantia contratual, a serviços, a edital e a cooperativas, e corrigir o Anexo 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3.15 Regime de sanções com imprecisões e possível sobreposição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Termo de Referência, Item 14.3.1 – [página 18]; tabela do item 14.3.4 – [página 19] e [página 20]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14.3.1 descreve a multa moratória como "0,5% (meio décimo por cento) até 1%", com erro de redação. Os itens 14.3.2 e 14.3.3 fixam faixas de 10–15% e 15–20% por atraso/inexecução. A tabela do item 14.3.4 prevê, para "não entregar o objeto dentro dos prazos", multa de 10% a 20%, o que se sobrepõe à multa moratória e ao regime do item 14.3.1. Há faixas com valores mínimo e máximo confusos na tabela e referência às "alíneas b e c" mal grafadas.</w:t>
      </w:r>
    </w:p>
    <w:p>
      <w:pPr>
        <w:spacing w:before="0" w:after="120" w:line="360" w:lineRule="auto"/>
        <w:ind w:firstLine="709"/>
        <w:jc w:val="both"/>
      </w:pPr>
      <w:r>
        <w:rPr>
          <w:b w:val="0"/>
          <w:i w:val="0"/>
        </w:rPr>
        <w:t>O documento dispõe: “0,5% (meio décimo por cento) até 1% (um por cento) por dia útil” (Item 14.3.1 – [página 18]; tabela do item 14.3.4 – [página 19] e [página 20]).</w:t>
      </w:r>
    </w:p>
    <w:p>
      <w:pPr>
        <w:spacing w:before="0" w:after="80" w:line="360" w:lineRule="auto"/>
        <w:ind w:firstLine="709"/>
        <w:jc w:val="both"/>
      </w:pPr>
      <w:r>
        <w:rPr>
          <w:b/>
          <w:i w:val="0"/>
          <w:color w:val="12324A"/>
        </w:rPr>
        <w:t xml:space="preserve">Dispositivo aplicável. </w:t>
      </w:r>
      <w:r>
        <w:rPr>
          <w:b w:val="0"/>
          <w:i w:val="0"/>
        </w:rPr>
        <w:t>A matéria é disciplinada pelo art. 156 e pelo art. 156, § 3º, da Lei 14.133/2021, que assim dispõem:</w:t>
      </w:r>
    </w:p>
    <w:p>
      <w:pPr>
        <w:spacing w:before="80" w:after="200" w:line="240" w:lineRule="auto"/>
        <w:ind w:firstLine="0" w:left="2268"/>
        <w:jc w:val="both"/>
      </w:pPr>
      <w:r>
        <w:rPr>
          <w:b w:val="0"/>
          <w:i w:val="0"/>
          <w:sz w:val="20"/>
        </w:rPr>
        <w:t>Serão aplicadas ao responsável pelas infrações administrativas previstas nesta Lei as seguintes sanções: […]</w:t>
      </w:r>
      <w:r>
        <w:rPr>
          <w:b w:val="0"/>
          <w:i w:val="0"/>
          <w:sz w:val="20"/>
        </w:rPr>
        <w:t xml:space="preserve"> (BRASIL, 2021, art. 156)</w:t>
      </w:r>
    </w:p>
    <w:p>
      <w:pPr>
        <w:spacing w:before="80" w:after="200" w:line="240" w:lineRule="auto"/>
        <w:ind w:firstLine="0" w:left="2268"/>
        <w:jc w:val="both"/>
      </w:pPr>
      <w:r>
        <w:rPr>
          <w:b w:val="0"/>
          <w:i w:val="0"/>
          <w:sz w:val="20"/>
        </w:rPr>
        <w:t>A sanção prevista no inciso II do caput deste artigo, calculada na forma do edital ou do contrato, não poderá ser inferior a 0,5% (cinco décimos por cento) nem superior a 30% (trinta por cento) do valor do contrato licitado ou celebrado com contratação direta e será aplicada ao responsável por qualquer das infrações administrativas previstas no art. 155 desta Lei.</w:t>
      </w:r>
      <w:r>
        <w:rPr>
          <w:b w:val="0"/>
          <w:i w:val="0"/>
          <w:sz w:val="20"/>
        </w:rPr>
        <w:t xml:space="preserve"> (BRASIL, 2021, art. 156, § 3º)</w:t>
      </w:r>
    </w:p>
    <w:p>
      <w:pPr>
        <w:spacing w:before="0" w:after="120" w:line="360" w:lineRule="auto"/>
        <w:ind w:firstLine="709"/>
        <w:jc w:val="both"/>
      </w:pPr>
      <w:r>
        <w:rPr>
          <w:b/>
          <w:i w:val="0"/>
          <w:color w:val="12324A"/>
        </w:rPr>
        <w:t xml:space="preserve">Análise. </w:t>
      </w:r>
      <w:r>
        <w:rPr>
          <w:b w:val="0"/>
          <w:i w:val="0"/>
        </w:rPr>
        <w:t>A multa deve estar clara e proporcional no instrumento, dentro dos limites do art. 156, §3º. Faixas sobrepostas e erros materiais comprometem a previsibilidade e a aplicação segura da sanção.</w:t>
      </w:r>
    </w:p>
    <w:p>
      <w:pPr>
        <w:spacing w:before="0" w:after="120" w:line="360" w:lineRule="auto"/>
        <w:ind w:firstLine="709"/>
        <w:jc w:val="both"/>
      </w:pPr>
      <w:r>
        <w:rPr>
          <w:b/>
          <w:i w:val="0"/>
          <w:color w:val="3D8FA6"/>
        </w:rPr>
        <w:t xml:space="preserve">Risco de manutenção. </w:t>
      </w:r>
      <w:r>
        <w:rPr>
          <w:b w:val="0"/>
          <w:i w:val="0"/>
        </w:rPr>
        <w:t>Impugnação de multas aplicadas por ambiguidade na dosimetria ou bis in idem entre multa moratória e compensatória.</w:t>
      </w:r>
    </w:p>
    <w:p>
      <w:pPr>
        <w:spacing w:before="0" w:after="120" w:line="360" w:lineRule="auto"/>
        <w:ind w:firstLine="709"/>
        <w:jc w:val="both"/>
      </w:pPr>
      <w:r>
        <w:rPr>
          <w:b/>
          <w:i w:val="0"/>
          <w:color w:val="12324A"/>
        </w:rPr>
        <w:t xml:space="preserve">Providência recomendada. </w:t>
      </w:r>
      <w:r>
        <w:rPr>
          <w:b w:val="0"/>
          <w:i w:val="0"/>
        </w:rPr>
        <w:t>Corrigir o erro de redação ("meio décimo por cento"). Compatibilizar o item 14.3.1 e a tabela para atraso, definindo qual regime se aplica em cada hipótese. Revisar as faixas da tabela para que o mínimo e o máximo sejam coerentes e estejam dentro de 0,5% a 30%.</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Descrição da solução considerando o ciclo de vida: </w:t>
      </w:r>
      <w:r>
        <w:rPr>
          <w:b w:val="0"/>
          <w:i w:val="0"/>
        </w:rPr>
        <w:t>O texto é padronizado, de medicamentos ("prescrição médica, protocolos clínicos e diretrizes terapêuticas"). Convém adaptá-lo a produtos de higiene e vitamina. Também convém harmonizar o item 4.2.4 (descarte pelos "responsáveis legais") com o item 5.9 (contratada responsável pela destinação de resíduos e embalagens). (art. 6, inciso XXIII, alínea c, da Lei 14.133/2021).</w:t>
      </w:r>
    </w:p>
    <w:p>
      <w:pPr>
        <w:spacing w:before="0" w:after="120" w:line="360" w:lineRule="auto"/>
        <w:ind w:left="425" w:hanging="425"/>
        <w:jc w:val="both"/>
      </w:pPr>
      <w:r>
        <w:rPr>
          <w:b/>
          <w:i w:val="0"/>
          <w:color w:val="1F7A8C"/>
        </w:rPr>
        <w:t xml:space="preserve">b) </w:t>
      </w:r>
      <w:r>
        <w:rPr>
          <w:b/>
          <w:i w:val="0"/>
        </w:rPr>
        <w:t xml:space="preserve">Modelo de execução: </w:t>
      </w:r>
      <w:r>
        <w:rPr>
          <w:b w:val="0"/>
          <w:i w:val="0"/>
        </w:rPr>
        <w:t>O item 6.8 admite substituição por "produto equivalente" aprovada pela fiscalização. Em demanda judicial com produto específico, convém condicionar a substituição à anuência da área técnica/prescritor. Os itens 6.1 e 6.9 repetem o local de entrega e podem ser unificados. (art. 6, inciso XXIII, alínea e, da Lei 14.133/2021).</w:t>
      </w:r>
    </w:p>
    <w:p>
      <w:pPr>
        <w:pStyle w:val="Heading1"/>
        <w:keepNext/>
        <w:spacing w:before="360" w:after="160" w:line="360" w:lineRule="auto"/>
        <w:ind w:firstLine="0"/>
        <w:jc w:val="left"/>
      </w:pPr>
      <w:r>
        <w:rPr>
          <w:rFonts w:ascii="Arial" w:hAnsi="Arial"/>
          <w:b/>
          <w:i w:val="0"/>
          <w:color w:val="12324A"/>
          <w:sz w:val="24"/>
        </w:rPr>
        <w:t>5 CONCLUSÃO</w:t>
      </w:r>
    </w:p>
    <w:p>
      <w:pPr>
        <w:spacing w:before="0" w:after="120" w:line="360" w:lineRule="auto"/>
        <w:ind w:firstLine="709"/>
        <w:jc w:val="both"/>
      </w:pPr>
      <w:r>
        <w:rPr>
          <w:b w:val="0"/>
          <w:i w:val="0"/>
        </w:rPr>
        <w:t>O TR atende parcialmente ao art. 6º, XXIII, da Lei 14.133/2021. Os elementos de modelo de execução, modelo de gestão, ciclo de vida e adequação orçamentária estão presentes, com ressalvas de baixa gravidade. A estimativa de valor (tr-09) não está demonstrada no documento e é o ponto mais sensível, pois o valor homologado coincide exatamente com o estimado. Também merecem saneamento a ausência de ETP com justificativa reproduzida ou identificada, a indicação de marca sem motivação, a contradição quanto ao inciso do art. 75 invocado e a falta de aprovação formal do TR. Como o processo está homologado, recomenda-se: (a) juntar aos autos, ou identificar no TR, a pesquisa de preços com memória de cálculo, a justificativa de dispensa do ETP, a justificativa da referência à marca e a comprovação dos requisitos da hipótese de dispensa invocada; (b) corrigir a dotação e as demais inconsistências na execução do contrato, mediante registro nos autos; e (c) revisar o modelo-padrão de TR para os próximos certames, retirando cláusulas alheias ao objeto. A decisão sobre as correções cabe à autoridade competente.</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Estimativa de valor com parâmetros </w:t>
      </w:r>
      <w:r>
        <w:rPr>
          <w:b w:val="0"/>
          <w:i w:val="0"/>
          <w:color w:val="B23A48"/>
        </w:rPr>
        <w:t xml:space="preserve">(gravidade alta, item 3.1): </w:t>
      </w:r>
      <w:r>
        <w:rPr>
          <w:b w:val="0"/>
          <w:i w:val="0"/>
        </w:rPr>
        <w:t>Juntar aos autos, ou referenciar no TR, o documento da pesquisa de preços com: fontes (painéis oficiais, contratações similares, mídia especializada, cotações), datas, preços unitários por item, tratamento de valores discrepantes e cálculo do valor global. Conferir que os preços coletados são de produtos com características e quantitativos equivalentes aos do item 2. Registrar nos autos, se ausente, a justificativa do preço contratado.</w:t>
      </w:r>
    </w:p>
    <w:p>
      <w:pPr>
        <w:spacing w:before="0" w:after="80" w:line="360" w:lineRule="auto"/>
        <w:ind w:left="425" w:hanging="425"/>
        <w:jc w:val="both"/>
      </w:pPr>
      <w:r>
        <w:rPr>
          <w:b/>
          <w:i w:val="0"/>
          <w:color w:val="B23A48"/>
        </w:rPr>
        <w:t xml:space="preserve">2. </w:t>
      </w:r>
      <w:r>
        <w:rPr>
          <w:b/>
          <w:i w:val="0"/>
        </w:rPr>
        <w:t xml:space="preserve">Fundamento legal da dispensa contraditório e sem demonstração dos requisitos </w:t>
      </w:r>
      <w:r>
        <w:rPr>
          <w:b w:val="0"/>
          <w:i w:val="0"/>
          <w:color w:val="B23A48"/>
        </w:rPr>
        <w:t xml:space="preserve">(gravidade alta, item 3.2): </w:t>
      </w:r>
      <w:r>
        <w:rPr>
          <w:b w:val="0"/>
          <w:i w:val="0"/>
        </w:rPr>
        <w:t>Definir a hipótese correta, corrigir o inciso errado e registrar nos autos, em parecer ou justificativa, os elementos que a demonstram (laudo, prazo da ordem judicial, risco). Reavaliar a adequação da hipótese ao valor e à natureza da demanda, que é previsível por decorrer de processo judicial.</w:t>
      </w:r>
    </w:p>
    <w:p>
      <w:pPr>
        <w:spacing w:before="0" w:after="80" w:line="360" w:lineRule="auto"/>
        <w:ind w:left="425" w:hanging="425"/>
        <w:jc w:val="both"/>
      </w:pPr>
      <w:r>
        <w:rPr>
          <w:b/>
          <w:i w:val="0"/>
          <w:color w:val="C9781E"/>
        </w:rPr>
        <w:t xml:space="preserve">3. </w:t>
      </w:r>
      <w:r>
        <w:rPr>
          <w:b/>
          <w:i w:val="0"/>
        </w:rPr>
        <w:t xml:space="preserve">Fundamentação com referência ao ETP </w:t>
      </w:r>
      <w:r>
        <w:rPr>
          <w:b w:val="0"/>
          <w:i w:val="0"/>
          <w:color w:val="C9781E"/>
        </w:rPr>
        <w:t xml:space="preserve">(gravidade média, item 3.3): </w:t>
      </w:r>
      <w:r>
        <w:rPr>
          <w:b w:val="0"/>
          <w:i w:val="0"/>
        </w:rPr>
        <w:t>Identificar no TR a peça dos autos (folha/data) que justifica a não elaboração do ETP, ou resumir a justificativa no próprio TR. Verificar se foram contemplados ao menos a necessidade, os requisitos, a estimativa de quantidades e o levantamento de mercado.</w:t>
      </w:r>
    </w:p>
    <w:p>
      <w:pPr>
        <w:spacing w:before="0" w:after="80" w:line="360" w:lineRule="auto"/>
        <w:ind w:left="425" w:hanging="425"/>
        <w:jc w:val="both"/>
      </w:pPr>
      <w:r>
        <w:rPr>
          <w:b/>
          <w:i w:val="0"/>
          <w:color w:val="C9781E"/>
        </w:rPr>
        <w:t xml:space="preserve">4. </w:t>
      </w:r>
      <w:r>
        <w:rPr>
          <w:b/>
          <w:i w:val="0"/>
        </w:rPr>
        <w:t xml:space="preserve">Critérios de medição e pagamento </w:t>
      </w:r>
      <w:r>
        <w:rPr>
          <w:b w:val="0"/>
          <w:i w:val="0"/>
          <w:color w:val="C9781E"/>
        </w:rPr>
        <w:t xml:space="preserve">(gravidade média, item 3.4): </w:t>
      </w:r>
      <w:r>
        <w:rPr>
          <w:b w:val="0"/>
          <w:i w:val="0"/>
        </w:rPr>
        <w:t>Unificar o prazo: indicar prazo único, contado do recebimento definitivo ou do atesto, e limitar a prorrogação a hipóteses justificadas. Verificar a coerência com o item 8.1/8.3 e com a vigência de 4 meses. Prever critério de atualização monetária em caso de atraso da Administração. Retirar as cláusulas impertinentes.</w:t>
      </w:r>
    </w:p>
    <w:p>
      <w:pPr>
        <w:spacing w:before="0" w:after="80" w:line="360" w:lineRule="auto"/>
        <w:ind w:left="425" w:hanging="425"/>
        <w:jc w:val="both"/>
      </w:pPr>
      <w:r>
        <w:rPr>
          <w:b/>
          <w:i w:val="0"/>
          <w:color w:val="C9781E"/>
        </w:rPr>
        <w:t xml:space="preserve">5. </w:t>
      </w:r>
      <w:r>
        <w:rPr>
          <w:b/>
          <w:i w:val="0"/>
        </w:rPr>
        <w:t xml:space="preserve">Forma e critérios de seleção do fornecedor </w:t>
      </w:r>
      <w:r>
        <w:rPr>
          <w:b w:val="0"/>
          <w:i w:val="0"/>
          <w:color w:val="C9781E"/>
        </w:rPr>
        <w:t xml:space="preserve">(gravidade média, item 3.5): </w:t>
      </w:r>
      <w:r>
        <w:rPr>
          <w:b w:val="0"/>
          <w:i w:val="0"/>
        </w:rPr>
        <w:t>Definir um único fundamento legal e, no TR ou nos autos, demonstrar os requisitos dessa hipótese (ver apontamento próprio). Substituir as referências a "edital" e "licitante" pela terminologia da contratação direta. Eliminar ou justificar o item 9.4. Avaliar a exigência de regularidade sanitária do fornecedor, quando cabível.</w:t>
      </w:r>
    </w:p>
    <w:p>
      <w:pPr>
        <w:spacing w:before="0" w:after="80" w:line="360" w:lineRule="auto"/>
        <w:ind w:left="425" w:hanging="425"/>
        <w:jc w:val="both"/>
      </w:pPr>
      <w:r>
        <w:rPr>
          <w:b/>
          <w:i w:val="0"/>
          <w:color w:val="C9781E"/>
        </w:rPr>
        <w:t xml:space="preserve">6. </w:t>
      </w:r>
      <w:r>
        <w:rPr>
          <w:b/>
          <w:i w:val="0"/>
        </w:rPr>
        <w:t xml:space="preserve">Compras: especificação, entrega e garantia </w:t>
      </w:r>
      <w:r>
        <w:rPr>
          <w:b w:val="0"/>
          <w:i w:val="0"/>
          <w:color w:val="C9781E"/>
        </w:rPr>
        <w:t xml:space="preserve">(gravidade média, item 3.6): </w:t>
      </w:r>
      <w:r>
        <w:rPr>
          <w:b w:val="0"/>
          <w:i w:val="0"/>
        </w:rPr>
        <w:t>Completar a especificação de cada item (volume/peso, concentração, forma de apresentação, registro ANVISA). Substituir a garantia por manual por regra compatível com o objeto (validade mínima e troca).</w:t>
      </w:r>
    </w:p>
    <w:p>
      <w:pPr>
        <w:spacing w:before="0" w:after="80" w:line="360" w:lineRule="auto"/>
        <w:ind w:left="425" w:hanging="425"/>
        <w:jc w:val="both"/>
      </w:pPr>
      <w:r>
        <w:rPr>
          <w:b/>
          <w:i w:val="0"/>
          <w:color w:val="C9781E"/>
        </w:rPr>
        <w:t xml:space="preserve">7. </w:t>
      </w:r>
      <w:r>
        <w:rPr>
          <w:b/>
          <w:i w:val="0"/>
        </w:rPr>
        <w:t xml:space="preserve">Indicação de marca ou vedação de marca </w:t>
      </w:r>
      <w:r>
        <w:rPr>
          <w:b w:val="0"/>
          <w:i w:val="0"/>
          <w:color w:val="C9781E"/>
        </w:rPr>
        <w:t xml:space="preserve">(gravidade média, item 3.7): </w:t>
      </w:r>
      <w:r>
        <w:rPr>
          <w:b w:val="0"/>
          <w:i w:val="0"/>
        </w:rPr>
        <w:t>Justificar a referência: se a marca é exigida pelo laudo/decisão judicial, citar a peça e fundamentar a necessidade. Do contrário, descrever as características técnicas (composição, hipoalergenicidade, volume) e acrescentar "ou equivalente", mantendo a marca apenas como referência.</w:t>
      </w:r>
    </w:p>
    <w:p>
      <w:pPr>
        <w:spacing w:before="0" w:after="80" w:line="360" w:lineRule="auto"/>
        <w:ind w:left="425" w:hanging="425"/>
        <w:jc w:val="both"/>
      </w:pPr>
      <w:r>
        <w:rPr>
          <w:b/>
          <w:i w:val="0"/>
          <w:color w:val="C9781E"/>
        </w:rPr>
        <w:t xml:space="preserve">8. </w:t>
      </w:r>
      <w:r>
        <w:rPr>
          <w:b/>
          <w:i w:val="0"/>
        </w:rPr>
        <w:t xml:space="preserve">TR sem aprovação formal </w:t>
      </w:r>
      <w:r>
        <w:rPr>
          <w:b w:val="0"/>
          <w:i w:val="0"/>
          <w:color w:val="C9781E"/>
        </w:rPr>
        <w:t xml:space="preserve">(gravidade média, item 3.8): </w:t>
      </w:r>
      <w:r>
        <w:rPr>
          <w:b w:val="0"/>
          <w:i w:val="0"/>
        </w:rPr>
        <w:t>Verificar se há aprovação em outra peça dos autos. Se não houver, providenciar a ratificação formal do TR pela autoridade competente, com registro nos autos.</w:t>
      </w:r>
    </w:p>
    <w:p>
      <w:pPr>
        <w:spacing w:before="0" w:after="80" w:line="360" w:lineRule="auto"/>
        <w:ind w:left="425" w:hanging="425"/>
        <w:jc w:val="both"/>
      </w:pPr>
      <w:r>
        <w:rPr>
          <w:b/>
          <w:i w:val="0"/>
          <w:color w:val="3D8FA6"/>
        </w:rPr>
        <w:t xml:space="preserve">9. </w:t>
      </w:r>
      <w:r>
        <w:rPr>
          <w:b/>
          <w:i w:val="0"/>
        </w:rPr>
        <w:t xml:space="preserve">Definição do objeto </w:t>
      </w:r>
      <w:r>
        <w:rPr>
          <w:b w:val="0"/>
          <w:i w:val="0"/>
          <w:color w:val="3D8FA6"/>
        </w:rPr>
        <w:t xml:space="preserve">(gravidade baixa, item 3.9): </w:t>
      </w:r>
      <w:r>
        <w:rPr>
          <w:b w:val="0"/>
          <w:i w:val="0"/>
        </w:rPr>
        <w:t>Esclarecer a quantidade mensal e total de cada item (inclusive a vitamina D3). Justificar a vigência de 4 meses para um fornecimento em entrega única. Declarar expressamente se há ou não possibilidade de prorrogação.</w:t>
      </w:r>
    </w:p>
    <w:p>
      <w:pPr>
        <w:spacing w:before="0" w:after="80" w:line="360" w:lineRule="auto"/>
        <w:ind w:left="425" w:hanging="425"/>
        <w:jc w:val="both"/>
      </w:pPr>
      <w:r>
        <w:rPr>
          <w:b/>
          <w:i w:val="0"/>
          <w:color w:val="3D8FA6"/>
        </w:rPr>
        <w:t xml:space="preserve">10. </w:t>
      </w:r>
      <w:r>
        <w:rPr>
          <w:b/>
          <w:i w:val="0"/>
        </w:rPr>
        <w:t xml:space="preserve">Requisitos da contratação </w:t>
      </w:r>
      <w:r>
        <w:rPr>
          <w:b w:val="0"/>
          <w:i w:val="0"/>
          <w:color w:val="3D8FA6"/>
        </w:rPr>
        <w:t xml:space="preserve">(gravidade baixa, item 3.10): </w:t>
      </w:r>
      <w:r>
        <w:rPr>
          <w:b w:val="0"/>
          <w:i w:val="0"/>
        </w:rPr>
        <w:t>Adequar os requisitos aos quatro itens, indicando para cada um o registro/notificação exigido pela ANVISA (cosméticos infantis, produto de higiene e vitamina D3), a apresentação e a validade. Retirar referências impertinentes (medicamento, RDC 50/2002) ou esclarecer sua aplicação.</w:t>
      </w:r>
    </w:p>
    <w:p>
      <w:pPr>
        <w:spacing w:before="0" w:after="80" w:line="360" w:lineRule="auto"/>
        <w:ind w:left="425" w:hanging="425"/>
        <w:jc w:val="both"/>
      </w:pPr>
      <w:r>
        <w:rPr>
          <w:b/>
          <w:i w:val="0"/>
          <w:color w:val="3D8FA6"/>
        </w:rPr>
        <w:t xml:space="preserve">11. </w:t>
      </w:r>
      <w:r>
        <w:rPr>
          <w:b/>
          <w:i w:val="0"/>
        </w:rPr>
        <w:t xml:space="preserve">Modelo de gestão e fiscalização </w:t>
      </w:r>
      <w:r>
        <w:rPr>
          <w:b w:val="0"/>
          <w:i w:val="0"/>
          <w:color w:val="3D8FA6"/>
        </w:rPr>
        <w:t xml:space="preserve">(gravidade baixa, item 3.11): </w:t>
      </w:r>
      <w:r>
        <w:rPr>
          <w:b w:val="0"/>
          <w:i w:val="0"/>
        </w:rPr>
        <w:t>Descrever o método de avaliação (conferência de quantidade, lote, validade, registro ANVISA e embalagem no recebimento) ou suprimir o item 7.8. Retirar as referências a "fiscal setorial" e a indicadores. Avaliar a designação de suplentes para cada função.</w:t>
      </w:r>
    </w:p>
    <w:p>
      <w:pPr>
        <w:spacing w:before="0" w:after="80" w:line="360" w:lineRule="auto"/>
        <w:ind w:left="425" w:hanging="425"/>
        <w:jc w:val="both"/>
      </w:pPr>
      <w:r>
        <w:rPr>
          <w:b/>
          <w:i w:val="0"/>
          <w:color w:val="3D8FA6"/>
        </w:rPr>
        <w:t xml:space="preserve">12. </w:t>
      </w:r>
      <w:r>
        <w:rPr>
          <w:b/>
          <w:i w:val="0"/>
        </w:rPr>
        <w:t xml:space="preserve">Adequação orçamentária </w:t>
      </w:r>
      <w:r>
        <w:rPr>
          <w:b w:val="0"/>
          <w:i w:val="0"/>
          <w:color w:val="3D8FA6"/>
        </w:rPr>
        <w:t xml:space="preserve">(gravidade baixa, item 3.12): </w:t>
      </w:r>
      <w:r>
        <w:rPr>
          <w:b w:val="0"/>
          <w:i w:val="0"/>
        </w:rPr>
        <w:t>Confirmar nos autos a classificação orçamentária efetivamente empenhada, corrigindo a divergência entre ação 2173 e atividade 2189. Registrar o número da reserva/empenho e a verificação de saldo.</w:t>
      </w:r>
    </w:p>
    <w:p>
      <w:pPr>
        <w:spacing w:before="0" w:after="80" w:line="360" w:lineRule="auto"/>
        <w:ind w:left="425" w:hanging="425"/>
        <w:jc w:val="both"/>
      </w:pPr>
      <w:r>
        <w:rPr>
          <w:b/>
          <w:i w:val="0"/>
          <w:color w:val="3D8FA6"/>
        </w:rPr>
        <w:t xml:space="preserve">13. </w:t>
      </w:r>
      <w:r>
        <w:rPr>
          <w:b/>
          <w:i w:val="0"/>
        </w:rPr>
        <w:t xml:space="preserve">Vedação à subcontratação sem justificativa </w:t>
      </w:r>
      <w:r>
        <w:rPr>
          <w:b w:val="0"/>
          <w:i w:val="0"/>
          <w:color w:val="3D8FA6"/>
        </w:rPr>
        <w:t xml:space="preserve">(gravidade baixa, item 3.13): </w:t>
      </w:r>
      <w:r>
        <w:rPr>
          <w:b w:val="0"/>
          <w:i w:val="0"/>
        </w:rPr>
        <w:t>Acrescentar breve justificativa (por exemplo, objeto de fornecimento simples, com responsabilidade sanitária e rastreabilidade a cargo do fornecedor) ou deixar silente se não houver razão específica.</w:t>
      </w:r>
    </w:p>
    <w:p>
      <w:pPr>
        <w:spacing w:before="0" w:after="80" w:line="360" w:lineRule="auto"/>
        <w:ind w:left="425" w:hanging="425"/>
        <w:jc w:val="both"/>
      </w:pPr>
      <w:r>
        <w:rPr>
          <w:b/>
          <w:i w:val="0"/>
          <w:color w:val="3D8FA6"/>
        </w:rPr>
        <w:t xml:space="preserve">14. </w:t>
      </w:r>
      <w:r>
        <w:rPr>
          <w:b/>
          <w:i w:val="0"/>
        </w:rPr>
        <w:t xml:space="preserve">Cláusulas padronizadas incompatíveis com o objeto e com a modalidade </w:t>
      </w:r>
      <w:r>
        <w:rPr>
          <w:b w:val="0"/>
          <w:i w:val="0"/>
          <w:color w:val="3D8FA6"/>
        </w:rPr>
        <w:t xml:space="preserve">(gravidade baixa, item 3.14): </w:t>
      </w:r>
      <w:r>
        <w:rPr>
          <w:b w:val="0"/>
          <w:i w:val="0"/>
        </w:rPr>
        <w:t>Revisar o modelo-padrão e adequar o texto ao fornecimento de bens por dispensa. Retirar as menções à garantia contratual, a serviços, a edital e a cooperativas, e corrigir o Anexo A.</w:t>
      </w:r>
    </w:p>
    <w:p>
      <w:pPr>
        <w:spacing w:before="0" w:after="80" w:line="360" w:lineRule="auto"/>
        <w:ind w:left="425" w:hanging="425"/>
        <w:jc w:val="both"/>
      </w:pPr>
      <w:r>
        <w:rPr>
          <w:b/>
          <w:i w:val="0"/>
          <w:color w:val="3D8FA6"/>
        </w:rPr>
        <w:t xml:space="preserve">15. </w:t>
      </w:r>
      <w:r>
        <w:rPr>
          <w:b/>
          <w:i w:val="0"/>
        </w:rPr>
        <w:t xml:space="preserve">Regime de sanções com imprecisões e possível sobreposição </w:t>
      </w:r>
      <w:r>
        <w:rPr>
          <w:b w:val="0"/>
          <w:i w:val="0"/>
          <w:color w:val="3D8FA6"/>
        </w:rPr>
        <w:t xml:space="preserve">(gravidade baixa, item 3.15): </w:t>
      </w:r>
      <w:r>
        <w:rPr>
          <w:b w:val="0"/>
          <w:i w:val="0"/>
        </w:rPr>
        <w:t>Corrigir o erro de redação ("meio décimo por cento"). Compatibilizar o item 14.3.1 e a tabela para atraso, definindo qual regime se aplica em cada hipótese. Revisar as faixas da tabela para que o mínimo e o máximo sejam coerentes e estejam dentro de 0,5% a 30%.</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2666/2025-Plenário. Relator: Ministro(a) Antonio Anastasia. Julgado em 12 nov. 2025. TCU – Jurisprudência Selecionada (Informativo de Licitações e Contratos nº 518 de 09/12/2025 BJ nº 566 de 08/12/2025). Disponível em: https://pesquisa.apps.tcu.gov.br/documento/jurisprudencia-selecionada/*/KEY%253AJURISPRUDENCIA-SELECIONADA-193051/score%2520desc/0. Acesso em: 29 out. 2026.</w:t>
      </w:r>
    </w:p>
    <w:p>
      <w:pPr>
        <w:spacing w:before="0" w:after="240" w:line="240" w:lineRule="auto"/>
        <w:ind w:firstLine="0"/>
        <w:jc w:val="left"/>
      </w:pPr>
      <w:r>
        <w:rPr>
          <w:b w:val="0"/>
          <w:i w:val="0"/>
          <w:sz w:val="22"/>
        </w:rPr>
        <w:t>BRASIL. Tribunal de Contas da União (Plenário). Súmula TCU 177. Relator: Ministro(a) Octávio Gallotti. Julgado em 1 jan. 1982. TCU – Súmulas. Disponível em: https://pesquisa.apps.tcu.gov.br/documento/sumula/*/KEY%253ASUMULA-LEGADA-181/score%2520desc/0. Acesso em: 29 out. 2026.</w:t>
      </w:r>
    </w:p>
    <w:p>
      <w:pPr>
        <w:spacing w:before="0" w:after="240" w:line="240" w:lineRule="auto"/>
        <w:ind w:firstLine="0"/>
        <w:jc w:val="left"/>
      </w:pPr>
      <w:r>
        <w:rPr>
          <w:b w:val="0"/>
          <w:i w:val="0"/>
          <w:sz w:val="22"/>
        </w:rPr>
        <w:t>BRASIL. Tribunal de Contas da União (Plenário). Súmula TCU 270. Relator: Ministro(a) José Mucio Monteiro. Julgado em 1 jan. 2012. TCU – Súmulas. Disponível em: https://pesquisa.apps.tcu.gov.br/documento/sumula/*/KEY%253ASUMULA-EJURIS-22124/score%2520desc/0. Acesso em: 29 out. 2026.</w:t>
      </w:r>
    </w:p>
    <w:p>
      <w:pPr>
        <w:spacing w:before="0" w:after="240" w:line="240" w:lineRule="auto"/>
        <w:ind w:firstLine="0"/>
        <w:jc w:val="left"/>
      </w:pPr>
      <w:r>
        <w:rPr>
          <w:b w:val="0"/>
          <w:i w:val="0"/>
          <w:sz w:val="22"/>
        </w:rPr>
        <w:t>PREFEITURA MUNICIPAL DE MARICÁ – SECRETARIA MUNICIPAL DE SAÚDE. Termo de Referência — Processo nº 10247/2026 (PNCP 29131075000193-1-000277/2026). Disponível em: https://pncp.gov.br/app/editais/29131075000193/2026/277. Acesso em: 29 out. 2026.</w:t>
      </w:r>
    </w:p>
    <w:p>
      <w:pPr>
        <w:spacing w:before="0" w:after="240" w:line="240" w:lineRule="auto"/>
        <w:ind w:firstLine="0"/>
        <w:jc w:val="left"/>
      </w:pPr>
      <w:r>
        <w:rPr>
          <w:b w:val="0"/>
          <w:i w:val="0"/>
          <w:sz w:val="22"/>
        </w:rPr>
        <w:t>RIO DE JANEIRO (Município). Tribunal de Contas do Município do Rio de Janeiro (Plenário). Voto 468/2026 · Proc. 040/102452/2026 · Enunciado 565. Relator: Conselheiro Ivan Moreira dos Santos. Julgado em 30 set. 2026. TCMJuris – TCM-RJ. Disponível em: https://etcm.tcmrio.tc.br/Processo/Ficha?ctid=2462875.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Estimativa de valor com parâmetros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i; art. 23,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Definição do objeto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a</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Fundamentação com referência ao ETP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b</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Requisitos da contratação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d</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Modelo de gestão e fiscalização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f; art. 117</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Critérios de medição e pagamento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g; art. 92, inciso 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Forma e critérios de seleção do fornecedor</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h; art. 18, inciso IX</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Adequação orçamentária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j; art. 150</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Compras: especificação, entrega e garantia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40,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Indicação de marca ou vedação de marca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41, inciso I; art. 41, inciso III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Fundamento legal da dispensa contraditório e sem demonstração dos requisitos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75, inciso VIII; art. 72</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Vedação à subcontratação sem justificativa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122, § 2º; art. 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Cláusulas padronizadas incompatíveis com o objeto e com a modalidade</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TR sem aprovação formal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Regime de sanções com imprecisões e possível sobreposição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Descrição da solução considerando o ciclo de vida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XXIII, alínea c</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Modelo de execução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XXIII, alínea e</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Vistoria prévia substituível por declaração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63, § 2º; art. 63, § 3º</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h) </w:t>
      </w:r>
      <w:r>
        <w:rPr>
          <w:b w:val="0"/>
          <w:i w:val="0"/>
        </w:rPr>
        <w:t>O código de verificação 5110D7F9C7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5110D7F9C7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5110/2026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tcm.tcmrio.tc.br/Processo/Ficha?ctid=2462875" TargetMode="External"/><Relationship Id="rId13" Type="http://schemas.openxmlformats.org/officeDocument/2006/relationships/hyperlink" Target="https://pesquisa.apps.tcu.gov.br/documento/sumula/*/KEY%253ASUMULA-EJURIS-22124/score%2520desc/0" TargetMode="External"/><Relationship Id="rId14" Type="http://schemas.openxmlformats.org/officeDocument/2006/relationships/hyperlink" Target="https://pesquisa.apps.tcu.gov.br/documento/sumula/*/KEY%253ASUMULA-LEGADA-181/score%2520desc/0" TargetMode="External"/><Relationship Id="rId15" Type="http://schemas.openxmlformats.org/officeDocument/2006/relationships/hyperlink" Target="https://pesquisa.apps.tcu.gov.br/documento/jurisprudencia-selecionada/*/KEY%253AJURISPRUDENCIA-SELECIONADA-193051/score%2520des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