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2324A"/>
            <w:tcMar>
              <w:top w:w="340" w:type="dxa"/>
              <w:left w:w="340" w:type="dxa"/>
              <w:bottom w:w="340" w:type="dxa"/>
              <w:right w:w="340" w:type="dxa"/>
            </w:tcMar>
          </w:tcPr>
          <w:p>
            <w:pPr>
              <w:spacing w:before="0" w:after="40" w:line="240" w:lineRule="auto"/>
              <w:ind w:firstLine="0"/>
              <w:jc w:val="left"/>
            </w:pPr>
            <w:r>
              <w:rPr>
                <w:b/>
                <w:i w:val="0"/>
                <w:color w:val="9FD3DC"/>
                <w:sz w:val="22"/>
              </w:rPr>
              <w:t>LICITACON</w:t>
            </w:r>
            <w:r>
              <w:rPr>
                <w:b w:val="0"/>
                <w:i w:val="0"/>
                <w:color w:val="C9D6DE"/>
                <w:sz w:val="16"/>
              </w:rPr>
              <w:t xml:space="preserve">   ANÁLISE TÉCNICA EM LICITAÇÕES E CONTRATOS</w:t>
            </w:r>
          </w:p>
          <w:p>
            <w:pPr>
              <w:spacing w:before="800" w:after="0" w:line="240" w:lineRule="auto"/>
              <w:ind w:firstLine="0"/>
              <w:jc w:val="left"/>
            </w:pPr>
            <w:r>
              <w:rPr>
                <w:b/>
                <w:i w:val="0"/>
                <w:color w:val="FFFFFF"/>
                <w:sz w:val="52"/>
              </w:rPr>
              <w:t>PARECER TÉCNICO</w:t>
            </w:r>
          </w:p>
          <w:p>
            <w:pPr>
              <w:spacing w:before="40" w:after="600" w:line="240" w:lineRule="auto"/>
              <w:ind w:firstLine="0"/>
              <w:jc w:val="left"/>
            </w:pPr>
            <w:r>
              <w:rPr>
                <w:b w:val="0"/>
                <w:i w:val="0"/>
                <w:color w:val="9FD3DC"/>
                <w:sz w:val="26"/>
              </w:rPr>
              <w:t>nº F2D2/2026</w:t>
            </w:r>
          </w:p>
        </w:tc>
      </w:tr>
    </w:tbl>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F7A8C"/>
            <w:tcMar>
              <w:top w:w="198" w:type="dxa"/>
              <w:left w:w="198" w:type="dxa"/>
              <w:bottom w:w="198" w:type="dxa"/>
              <w:right w:w="198" w:type="dxa"/>
            </w:tcMar>
          </w:tcPr>
          <w:p>
            <w:pPr>
              <w:spacing w:before="0" w:after="0" w:line="240" w:lineRule="auto"/>
              <w:ind w:firstLine="0"/>
              <w:jc w:val="left"/>
            </w:pPr>
            <w:r>
              <w:rPr>
                <w:b/>
                <w:i w:val="0"/>
                <w:color w:val="FFFFFF"/>
                <w:sz w:val="21"/>
              </w:rPr>
              <w:t>Conformidade do termo de referência com a Lei 14.133/2021</w:t>
            </w:r>
          </w:p>
        </w:tc>
      </w:tr>
    </w:tbl>
    <w:p>
      <w:pPr>
        <w:spacing w:before="720" w:after="120" w:line="276" w:lineRule="auto"/>
        <w:ind w:firstLine="0"/>
        <w:jc w:val="left"/>
      </w:pPr>
      <w:r>
        <w:rPr>
          <w:b/>
          <w:i w:val="0"/>
          <w:color w:val="1F7A8C"/>
          <w:sz w:val="16"/>
        </w:rPr>
        <w:t>OBJETO</w:t>
      </w:r>
    </w:p>
    <w:p>
      <w:pPr>
        <w:spacing w:before="0" w:after="360" w:line="288" w:lineRule="auto"/>
        <w:ind w:firstLine="0"/>
        <w:jc w:val="left"/>
      </w:pPr>
      <w:r>
        <w:rPr>
          <w:b/>
          <w:i w:val="0"/>
          <w:color w:val="12324A"/>
          <w:sz w:val="30"/>
        </w:rPr>
        <w:t>Registro de preços para contratação de empresa especializada em outsourcing de equipamentos de informática (All in One, desktops, notebooks e impressoras multifuncionais coloridas), com assistência técnica, suprimentos e impressões/cópias coloridas, por 12 meses</w:t>
      </w:r>
    </w:p>
    <w:tbl>
      <w:tblPr>
        <w:tblW w:type="auto" w:w="0"/>
        <w:jc w:val="center"/>
        <w:tblLook w:firstColumn="1" w:firstRow="1" w:lastColumn="0" w:lastRow="0" w:noHBand="0" w:noVBand="1" w:val="04A0"/>
        <w:tblLayout w:type="fixed"/>
      </w:tblPr>
      <w:tblGrid>
        <w:gridCol w:w="1871"/>
        <w:gridCol w:w="7200"/>
      </w:tblGrid>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INTERESSADO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Câmara Municipal de Maricá</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PROCESSO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PNCP 27772078000180-1-000021/2026</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MODALIDADE</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Pregão Eletrônico (Sistema de Registro de Preços), menor preço global, modo de disputa aberto</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BASE LEGAL</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Lei 14.133/2021</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DATA</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29 de outubro de 2026</w:t>
            </w:r>
          </w:p>
        </w:tc>
      </w:tr>
    </w:tbl>
    <w:p>
      <w:pPr>
        <w:spacing w:before="520" w:after="0" w:line="240" w:lineRule="auto"/>
        <w:ind w:firstLine="0"/>
        <w:jc w:val="left"/>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6" w:color="B23A48" w:space="0"/>
              <w:bottom w:val="nil"/>
              <w:right w:val="nil"/>
            </w:tcBorders>
            <w:shd w:val="clear" w:color="auto" w:fill="F8E6E8"/>
            <w:tcMar>
              <w:top w:w="170" w:type="dxa"/>
              <w:left w:w="170" w:type="dxa"/>
              <w:bottom w:w="170" w:type="dxa"/>
              <w:right w:w="170" w:type="dxa"/>
            </w:tcMar>
          </w:tcPr>
          <w:p>
            <w:pPr>
              <w:spacing w:before="0" w:after="0" w:line="264" w:lineRule="auto"/>
              <w:ind w:firstLine="0"/>
              <w:jc w:val="left"/>
            </w:pPr>
            <w:r>
              <w:rPr>
                <w:b/>
                <w:i w:val="0"/>
                <w:color w:val="B23A48"/>
                <w:sz w:val="15"/>
              </w:rPr>
              <w:t xml:space="preserve">SITUAÇÃO GERAL  </w:t>
            </w:r>
            <w:r>
              <w:rPr>
                <w:b/>
                <w:i w:val="0"/>
                <w:color w:val="B23A48"/>
                <w:sz w:val="21"/>
              </w:rPr>
              <w:t>Há falhas graves que recomendam correção.</w:t>
            </w:r>
          </w:p>
        </w:tc>
      </w:tr>
    </w:tbl>
    <w:p>
      <w:pPr>
        <w:spacing w:before="160" w:after="0" w:line="276" w:lineRule="auto"/>
        <w:ind w:firstLine="0"/>
        <w:jc w:val="left"/>
      </w:pPr>
      <w:r>
        <w:rPr>
          <w:b/>
          <w:i w:val="0"/>
          <w:color w:val="1F7A8C"/>
          <w:sz w:val="15"/>
        </w:rPr>
        <w:t xml:space="preserve">PARECER OPINATIVO  </w:t>
      </w:r>
      <w:r>
        <w:rPr>
          <w:b w:val="0"/>
          <w:i w:val="0"/>
          <w:color w:val="1E2A32"/>
          <w:sz w:val="18"/>
        </w:rPr>
        <w:t>As recomendações não vinculam o destinatário; a decisão final é sempre de quem recebe este parecer.</w:t>
      </w:r>
    </w:p>
    <w:p>
      <w:pPr>
        <w:spacing w:before="1200" w:after="0" w:line="276" w:lineRule="auto"/>
        <w:ind w:firstLine="0"/>
        <w:jc w:val="center"/>
      </w:pPr>
      <w:r>
        <w:rPr>
          <w:b/>
          <w:i w:val="0"/>
          <w:sz w:val="22"/>
        </w:rPr>
        <w:t>Maricá – RJ</w:t>
      </w:r>
    </w:p>
    <w:p>
      <w:pPr>
        <w:spacing w:before="0" w:after="0" w:line="276" w:lineRule="auto"/>
        <w:ind w:firstLine="0"/>
        <w:jc w:val="center"/>
      </w:pPr>
      <w:r>
        <w:rPr>
          <w:b/>
          <w:i w:val="0"/>
          <w:sz w:val="22"/>
        </w:rPr>
        <w:t>2026</w:t>
      </w:r>
    </w:p>
    <w:p>
      <w:r>
        <w:br w:type="page"/>
      </w:r>
    </w:p>
    <w:p>
      <w:pPr>
        <w:pStyle w:val="Heading1"/>
        <w:keepNext/>
        <w:spacing w:before="360" w:after="160" w:line="360" w:lineRule="auto"/>
        <w:ind w:firstLine="0"/>
        <w:jc w:val="left"/>
      </w:pPr>
      <w:r>
        <w:rPr>
          <w:rFonts w:ascii="Arial" w:hAnsi="Arial"/>
          <w:b/>
          <w:i w:val="0"/>
          <w:color w:val="12324A"/>
          <w:sz w:val="24"/>
        </w:rPr>
        <w:t>SUMÁRIO</w:t>
      </w:r>
    </w:p>
    <w:p>
      <w:pPr>
        <w:tabs>
          <w:tab w:pos="9071" w:val="right" w:leader="dot"/>
        </w:tabs>
        <w:spacing w:before="0" w:after="0" w:line="360" w:lineRule="auto"/>
        <w:ind w:firstLine="0" w:left="0"/>
        <w:jc w:val="left"/>
      </w:pPr>
      <w:r>
        <w:rPr>
          <w:b/>
          <w:i w:val="0"/>
          <w:sz w:val="22"/>
        </w:rPr>
        <w:t>1 PAINEL EXECUTIVO</w:t>
      </w:r>
      <w:r>
        <w:rPr>
          <w:b/>
          <w:i w:val="0"/>
          <w:sz w:val="22"/>
        </w:rPr>
        <w:tab/>
        <w:t>3</w:t>
      </w:r>
    </w:p>
    <w:p>
      <w:pPr>
        <w:tabs>
          <w:tab w:pos="9071" w:val="right" w:leader="dot"/>
        </w:tabs>
        <w:spacing w:before="0" w:after="0" w:line="360" w:lineRule="auto"/>
        <w:ind w:firstLine="0" w:left="0"/>
        <w:jc w:val="left"/>
      </w:pPr>
      <w:r>
        <w:rPr>
          <w:b/>
          <w:i w:val="0"/>
          <w:sz w:val="22"/>
        </w:rPr>
        <w:t>2 RELATÓRIO</w:t>
      </w:r>
      <w:r>
        <w:rPr>
          <w:b/>
          <w:i w:val="0"/>
          <w:sz w:val="22"/>
        </w:rPr>
        <w:tab/>
        <w:t>5</w:t>
      </w:r>
    </w:p>
    <w:p>
      <w:pPr>
        <w:tabs>
          <w:tab w:pos="9071" w:val="right" w:leader="dot"/>
        </w:tabs>
        <w:spacing w:before="0" w:after="0" w:line="360" w:lineRule="auto"/>
        <w:ind w:firstLine="0" w:left="0"/>
        <w:jc w:val="left"/>
      </w:pPr>
      <w:r>
        <w:rPr>
          <w:b/>
          <w:i w:val="0"/>
          <w:sz w:val="22"/>
        </w:rPr>
        <w:t>3 FUNDAMENTAÇÃO</w:t>
      </w:r>
      <w:r>
        <w:rPr>
          <w:b/>
          <w:i w:val="0"/>
          <w:sz w:val="22"/>
        </w:rPr>
        <w:tab/>
        <w:t>6</w:t>
      </w:r>
    </w:p>
    <w:p>
      <w:pPr>
        <w:tabs>
          <w:tab w:pos="9071" w:val="right" w:leader="dot"/>
        </w:tabs>
        <w:spacing w:before="0" w:after="0" w:line="360" w:lineRule="auto"/>
        <w:ind w:firstLine="0" w:left="340"/>
        <w:jc w:val="left"/>
      </w:pPr>
      <w:r>
        <w:rPr>
          <w:b w:val="0"/>
          <w:i w:val="0"/>
          <w:sz w:val="21"/>
        </w:rPr>
        <w:t>3.1 Forma e critérios de seleção do fornecedor</w:t>
      </w:r>
      <w:r>
        <w:rPr>
          <w:b w:val="0"/>
          <w:i w:val="0"/>
          <w:sz w:val="21"/>
        </w:rPr>
        <w:tab/>
        <w:t>7</w:t>
      </w:r>
    </w:p>
    <w:p>
      <w:pPr>
        <w:tabs>
          <w:tab w:pos="9071" w:val="right" w:leader="dot"/>
        </w:tabs>
        <w:spacing w:before="0" w:after="0" w:line="360" w:lineRule="auto"/>
        <w:ind w:firstLine="0" w:left="340"/>
        <w:jc w:val="left"/>
      </w:pPr>
      <w:r>
        <w:rPr>
          <w:b w:val="0"/>
          <w:i w:val="0"/>
          <w:sz w:val="21"/>
        </w:rPr>
        <w:t>3.2 Estimativa de valor com parâmetros</w:t>
      </w:r>
      <w:r>
        <w:rPr>
          <w:b w:val="0"/>
          <w:i w:val="0"/>
          <w:sz w:val="21"/>
        </w:rPr>
        <w:tab/>
        <w:t>8</w:t>
      </w:r>
    </w:p>
    <w:p>
      <w:pPr>
        <w:tabs>
          <w:tab w:pos="9071" w:val="right" w:leader="dot"/>
        </w:tabs>
        <w:spacing w:before="0" w:after="0" w:line="360" w:lineRule="auto"/>
        <w:ind w:firstLine="0" w:left="340"/>
        <w:jc w:val="left"/>
      </w:pPr>
      <w:r>
        <w:rPr>
          <w:b w:val="0"/>
          <w:i w:val="0"/>
          <w:sz w:val="21"/>
        </w:rPr>
        <w:t>3.3 Lote único e menor preço global em registro de preços, com justificativa de não parcelamento pouco conclusiva</w:t>
      </w:r>
      <w:r>
        <w:rPr>
          <w:b w:val="0"/>
          <w:i w:val="0"/>
          <w:sz w:val="21"/>
        </w:rPr>
        <w:tab/>
        <w:t>10</w:t>
      </w:r>
    </w:p>
    <w:p>
      <w:pPr>
        <w:tabs>
          <w:tab w:pos="9071" w:val="right" w:leader="dot"/>
        </w:tabs>
        <w:spacing w:before="0" w:after="0" w:line="360" w:lineRule="auto"/>
        <w:ind w:firstLine="0" w:left="340"/>
        <w:jc w:val="left"/>
      </w:pPr>
      <w:r>
        <w:rPr>
          <w:b w:val="0"/>
          <w:i w:val="0"/>
          <w:sz w:val="21"/>
        </w:rPr>
        <w:t>3.4 Definição do objeto</w:t>
      </w:r>
      <w:r>
        <w:rPr>
          <w:b w:val="0"/>
          <w:i w:val="0"/>
          <w:sz w:val="21"/>
        </w:rPr>
        <w:tab/>
        <w:t>11</w:t>
      </w:r>
    </w:p>
    <w:p>
      <w:pPr>
        <w:tabs>
          <w:tab w:pos="9071" w:val="right" w:leader="dot"/>
        </w:tabs>
        <w:spacing w:before="0" w:after="0" w:line="360" w:lineRule="auto"/>
        <w:ind w:firstLine="0" w:left="340"/>
        <w:jc w:val="left"/>
      </w:pPr>
      <w:r>
        <w:rPr>
          <w:b w:val="0"/>
          <w:i w:val="0"/>
          <w:sz w:val="21"/>
        </w:rPr>
        <w:t>3.5 Requisitos da contratação</w:t>
      </w:r>
      <w:r>
        <w:rPr>
          <w:b w:val="0"/>
          <w:i w:val="0"/>
          <w:sz w:val="21"/>
        </w:rPr>
        <w:tab/>
        <w:t>13</w:t>
      </w:r>
    </w:p>
    <w:p>
      <w:pPr>
        <w:tabs>
          <w:tab w:pos="9071" w:val="right" w:leader="dot"/>
        </w:tabs>
        <w:spacing w:before="0" w:after="0" w:line="360" w:lineRule="auto"/>
        <w:ind w:firstLine="0" w:left="340"/>
        <w:jc w:val="left"/>
      </w:pPr>
      <w:r>
        <w:rPr>
          <w:b w:val="0"/>
          <w:i w:val="0"/>
          <w:sz w:val="21"/>
        </w:rPr>
        <w:t>3.6 Modelo de execução</w:t>
      </w:r>
      <w:r>
        <w:rPr>
          <w:b w:val="0"/>
          <w:i w:val="0"/>
          <w:sz w:val="21"/>
        </w:rPr>
        <w:tab/>
        <w:t>14</w:t>
      </w:r>
    </w:p>
    <w:p>
      <w:pPr>
        <w:tabs>
          <w:tab w:pos="9071" w:val="right" w:leader="dot"/>
        </w:tabs>
        <w:spacing w:before="0" w:after="0" w:line="360" w:lineRule="auto"/>
        <w:ind w:firstLine="0" w:left="340"/>
        <w:jc w:val="left"/>
      </w:pPr>
      <w:r>
        <w:rPr>
          <w:b w:val="0"/>
          <w:i w:val="0"/>
          <w:sz w:val="21"/>
        </w:rPr>
        <w:t>3.7 Modelo de gestão e fiscalização</w:t>
      </w:r>
      <w:r>
        <w:rPr>
          <w:b w:val="0"/>
          <w:i w:val="0"/>
          <w:sz w:val="21"/>
        </w:rPr>
        <w:tab/>
        <w:t>15</w:t>
      </w:r>
    </w:p>
    <w:p>
      <w:pPr>
        <w:tabs>
          <w:tab w:pos="9071" w:val="right" w:leader="dot"/>
        </w:tabs>
        <w:spacing w:before="0" w:after="0" w:line="360" w:lineRule="auto"/>
        <w:ind w:firstLine="0" w:left="340"/>
        <w:jc w:val="left"/>
      </w:pPr>
      <w:r>
        <w:rPr>
          <w:b w:val="0"/>
          <w:i w:val="0"/>
          <w:sz w:val="21"/>
        </w:rPr>
        <w:t>3.8 Critérios de medição e pagamento</w:t>
      </w:r>
      <w:r>
        <w:rPr>
          <w:b w:val="0"/>
          <w:i w:val="0"/>
          <w:sz w:val="21"/>
        </w:rPr>
        <w:tab/>
        <w:t>17</w:t>
      </w:r>
    </w:p>
    <w:p>
      <w:pPr>
        <w:tabs>
          <w:tab w:pos="9071" w:val="right" w:leader="dot"/>
        </w:tabs>
        <w:spacing w:before="0" w:after="0" w:line="360" w:lineRule="auto"/>
        <w:ind w:firstLine="0" w:left="340"/>
        <w:jc w:val="left"/>
      </w:pPr>
      <w:r>
        <w:rPr>
          <w:b w:val="0"/>
          <w:i w:val="0"/>
          <w:sz w:val="21"/>
        </w:rPr>
        <w:t>3.9 Compras: especificação, entrega e garantia</w:t>
      </w:r>
      <w:r>
        <w:rPr>
          <w:b w:val="0"/>
          <w:i w:val="0"/>
          <w:sz w:val="21"/>
        </w:rPr>
        <w:tab/>
        <w:t>18</w:t>
      </w:r>
    </w:p>
    <w:p>
      <w:pPr>
        <w:tabs>
          <w:tab w:pos="9071" w:val="right" w:leader="dot"/>
        </w:tabs>
        <w:spacing w:before="0" w:after="0" w:line="360" w:lineRule="auto"/>
        <w:ind w:firstLine="0" w:left="340"/>
        <w:jc w:val="left"/>
      </w:pPr>
      <w:r>
        <w:rPr>
          <w:b w:val="0"/>
          <w:i w:val="0"/>
          <w:sz w:val="21"/>
        </w:rPr>
        <w:t>3.10 Exigências de habilitação sem previsão legal e formalismo na apresentação de documentos</w:t>
      </w:r>
      <w:r>
        <w:rPr>
          <w:b w:val="0"/>
          <w:i w:val="0"/>
          <w:sz w:val="21"/>
        </w:rPr>
        <w:tab/>
        <w:t>19</w:t>
      </w:r>
    </w:p>
    <w:p>
      <w:pPr>
        <w:tabs>
          <w:tab w:pos="9071" w:val="right" w:leader="dot"/>
        </w:tabs>
        <w:spacing w:before="0" w:after="0" w:line="360" w:lineRule="auto"/>
        <w:ind w:firstLine="0" w:left="340"/>
        <w:jc w:val="left"/>
      </w:pPr>
      <w:r>
        <w:rPr>
          <w:b w:val="0"/>
          <w:i w:val="0"/>
          <w:sz w:val="21"/>
        </w:rPr>
        <w:t>3.11 Limites das multas contratuais e escalonamento sem teto</w:t>
      </w:r>
      <w:r>
        <w:rPr>
          <w:b w:val="0"/>
          <w:i w:val="0"/>
          <w:sz w:val="21"/>
        </w:rPr>
        <w:tab/>
        <w:t>20</w:t>
      </w:r>
    </w:p>
    <w:p>
      <w:pPr>
        <w:tabs>
          <w:tab w:pos="9071" w:val="right" w:leader="dot"/>
        </w:tabs>
        <w:spacing w:before="0" w:after="0" w:line="360" w:lineRule="auto"/>
        <w:ind w:firstLine="0" w:left="340"/>
        <w:jc w:val="left"/>
      </w:pPr>
      <w:r>
        <w:rPr>
          <w:b w:val="0"/>
          <w:i w:val="0"/>
          <w:sz w:val="21"/>
        </w:rPr>
        <w:t>3.12 Quantitativos de impressoras e de cópias sem memória de cálculo no TR</w:t>
      </w:r>
      <w:r>
        <w:rPr>
          <w:b w:val="0"/>
          <w:i w:val="0"/>
          <w:sz w:val="21"/>
        </w:rPr>
        <w:tab/>
        <w:t>21</w:t>
      </w:r>
    </w:p>
    <w:p>
      <w:pPr>
        <w:tabs>
          <w:tab w:pos="9071" w:val="right" w:leader="dot"/>
        </w:tabs>
        <w:spacing w:before="0" w:after="0" w:line="360" w:lineRule="auto"/>
        <w:ind w:firstLine="0" w:left="340"/>
        <w:jc w:val="left"/>
      </w:pPr>
      <w:r>
        <w:rPr>
          <w:b w:val="0"/>
          <w:i w:val="0"/>
          <w:sz w:val="21"/>
        </w:rPr>
        <w:t>3.13 Descrição da solução considerando o ciclo de vida</w:t>
      </w:r>
      <w:r>
        <w:rPr>
          <w:b w:val="0"/>
          <w:i w:val="0"/>
          <w:sz w:val="21"/>
        </w:rPr>
        <w:tab/>
        <w:t>22</w:t>
      </w:r>
    </w:p>
    <w:p>
      <w:pPr>
        <w:tabs>
          <w:tab w:pos="9071" w:val="right" w:leader="dot"/>
        </w:tabs>
        <w:spacing w:before="0" w:after="0" w:line="360" w:lineRule="auto"/>
        <w:ind w:firstLine="0" w:left="340"/>
        <w:jc w:val="left"/>
      </w:pPr>
      <w:r>
        <w:rPr>
          <w:b w:val="0"/>
          <w:i w:val="0"/>
          <w:sz w:val="21"/>
        </w:rPr>
        <w:t>3.14 Inconsistência sobre vigência e prorrogação (arts. 84, 106 e 107)</w:t>
      </w:r>
      <w:r>
        <w:rPr>
          <w:b w:val="0"/>
          <w:i w:val="0"/>
          <w:sz w:val="21"/>
        </w:rPr>
        <w:tab/>
        <w:t>23</w:t>
      </w:r>
    </w:p>
    <w:p>
      <w:pPr>
        <w:tabs>
          <w:tab w:pos="9071" w:val="right" w:leader="dot"/>
        </w:tabs>
        <w:spacing w:before="0" w:after="0" w:line="360" w:lineRule="auto"/>
        <w:ind w:firstLine="0" w:left="340"/>
        <w:jc w:val="left"/>
      </w:pPr>
      <w:r>
        <w:rPr>
          <w:b w:val="0"/>
          <w:i w:val="0"/>
          <w:sz w:val="21"/>
        </w:rPr>
        <w:t>3.15 Erros materiais e remanescentes de modelo</w:t>
      </w:r>
      <w:r>
        <w:rPr>
          <w:b w:val="0"/>
          <w:i w:val="0"/>
          <w:sz w:val="21"/>
        </w:rPr>
        <w:tab/>
        <w:t>24</w:t>
      </w:r>
    </w:p>
    <w:p>
      <w:pPr>
        <w:tabs>
          <w:tab w:pos="9071" w:val="right" w:leader="dot"/>
        </w:tabs>
        <w:spacing w:before="0" w:after="0" w:line="360" w:lineRule="auto"/>
        <w:ind w:firstLine="0" w:left="0"/>
        <w:jc w:val="left"/>
      </w:pPr>
      <w:r>
        <w:rPr>
          <w:b/>
          <w:i w:val="0"/>
          <w:sz w:val="22"/>
        </w:rPr>
        <w:t>4 ANÁLISE DE PREÇOS</w:t>
      </w:r>
      <w:r>
        <w:rPr>
          <w:b/>
          <w:i w:val="0"/>
          <w:sz w:val="22"/>
        </w:rPr>
        <w:tab/>
        <w:t>25</w:t>
      </w:r>
    </w:p>
    <w:p>
      <w:pPr>
        <w:tabs>
          <w:tab w:pos="9071" w:val="right" w:leader="dot"/>
        </w:tabs>
        <w:spacing w:before="0" w:after="0" w:line="360" w:lineRule="auto"/>
        <w:ind w:firstLine="0" w:left="0"/>
        <w:jc w:val="left"/>
      </w:pPr>
      <w:r>
        <w:rPr>
          <w:b/>
          <w:i w:val="0"/>
          <w:sz w:val="22"/>
        </w:rPr>
        <w:t>5 RECOMENDAÇÕES DE MELHORIA</w:t>
      </w:r>
      <w:r>
        <w:rPr>
          <w:b/>
          <w:i w:val="0"/>
          <w:sz w:val="22"/>
        </w:rPr>
        <w:tab/>
        <w:t>26</w:t>
      </w:r>
    </w:p>
    <w:p>
      <w:pPr>
        <w:tabs>
          <w:tab w:pos="9071" w:val="right" w:leader="dot"/>
        </w:tabs>
        <w:spacing w:before="0" w:after="0" w:line="360" w:lineRule="auto"/>
        <w:ind w:firstLine="0" w:left="0"/>
        <w:jc w:val="left"/>
      </w:pPr>
      <w:r>
        <w:rPr>
          <w:b/>
          <w:i w:val="0"/>
          <w:sz w:val="22"/>
        </w:rPr>
        <w:t>6 CONCLUSÃO</w:t>
      </w:r>
      <w:r>
        <w:rPr>
          <w:b/>
          <w:i w:val="0"/>
          <w:sz w:val="22"/>
        </w:rPr>
        <w:tab/>
        <w:t>26</w:t>
      </w:r>
    </w:p>
    <w:p>
      <w:pPr>
        <w:tabs>
          <w:tab w:pos="9071" w:val="right" w:leader="dot"/>
        </w:tabs>
        <w:spacing w:before="0" w:after="0" w:line="360" w:lineRule="auto"/>
        <w:ind w:firstLine="0" w:left="0"/>
        <w:jc w:val="left"/>
      </w:pPr>
      <w:r>
        <w:rPr>
          <w:b/>
          <w:i w:val="0"/>
          <w:sz w:val="22"/>
        </w:rPr>
        <w:t>REFERÊNCIAS</w:t>
      </w:r>
      <w:r>
        <w:rPr>
          <w:b/>
          <w:i w:val="0"/>
          <w:sz w:val="22"/>
        </w:rPr>
        <w:tab/>
        <w:t>31</w:t>
      </w:r>
    </w:p>
    <w:p>
      <w:pPr>
        <w:tabs>
          <w:tab w:pos="9071" w:val="right" w:leader="dot"/>
        </w:tabs>
        <w:spacing w:before="0" w:after="0" w:line="360" w:lineRule="auto"/>
        <w:ind w:firstLine="0" w:left="0"/>
        <w:jc w:val="left"/>
      </w:pPr>
      <w:r>
        <w:rPr>
          <w:b/>
          <w:i w:val="0"/>
          <w:sz w:val="22"/>
        </w:rPr>
        <w:t>APÊNDICE A – LISTA DE VERIFICAÇÃO</w:t>
      </w:r>
      <w:r>
        <w:rPr>
          <w:b/>
          <w:i w:val="0"/>
          <w:sz w:val="22"/>
        </w:rPr>
        <w:tab/>
        <w:t>33</w:t>
      </w:r>
    </w:p>
    <w:p>
      <w:pPr>
        <w:tabs>
          <w:tab w:pos="9071" w:val="right" w:leader="dot"/>
        </w:tabs>
        <w:spacing w:before="0" w:after="0" w:line="360" w:lineRule="auto"/>
        <w:ind w:firstLine="0" w:left="0"/>
        <w:jc w:val="left"/>
      </w:pPr>
      <w:r>
        <w:rPr>
          <w:b/>
          <w:i w:val="0"/>
          <w:sz w:val="22"/>
        </w:rPr>
        <w:t>APÊNDICE B – METODOLOGIA E LIMITES</w:t>
      </w:r>
      <w:r>
        <w:rPr>
          <w:b/>
          <w:i w:val="0"/>
          <w:sz w:val="22"/>
        </w:rPr>
        <w:tab/>
        <w:t>33</w:t>
      </w:r>
    </w:p>
    <w:p>
      <w:r>
        <w:br w:type="page"/>
      </w:r>
    </w:p>
    <w:p>
      <w:pPr>
        <w:pStyle w:val="Heading1"/>
        <w:keepNext/>
        <w:spacing w:before="360" w:after="160" w:line="360" w:lineRule="auto"/>
        <w:ind w:firstLine="0"/>
        <w:jc w:val="left"/>
      </w:pPr>
      <w:r>
        <w:rPr>
          <w:rFonts w:ascii="Arial" w:hAnsi="Arial"/>
          <w:b/>
          <w:i w:val="0"/>
          <w:color w:val="12324A"/>
          <w:sz w:val="24"/>
        </w:rPr>
        <w:t>1 PAINEL EXECUTIVO</w:t>
      </w:r>
    </w:p>
    <w:p>
      <w:pPr>
        <w:spacing w:before="0" w:after="160" w:line="360" w:lineRule="auto"/>
        <w:ind w:firstLine="0"/>
        <w:jc w:val="both"/>
      </w:pPr>
      <w:r>
        <w:rPr>
          <w:b w:val="0"/>
          <w:i/>
          <w:color w:val="66757F"/>
          <w:sz w:val="20"/>
        </w:rPr>
        <w:t>Visão geral do resultado. O detalhamento, com o texto legal e os precedentes, está na seção 3.</w:t>
      </w:r>
    </w:p>
    <w:tbl>
      <w:tblPr>
        <w:tblW w:type="auto" w:w="0"/>
        <w:jc w:val="center"/>
        <w:tblLook w:firstColumn="1" w:firstRow="1" w:lastColumn="0" w:lastRow="0" w:noHBand="0" w:noVBand="1" w:val="04A0"/>
        <w:tblLayout w:type="fixed"/>
      </w:tblPr>
      <w:tblGrid>
        <w:gridCol w:w="2012"/>
        <w:gridCol w:w="340"/>
        <w:gridCol w:w="2012"/>
        <w:gridCol w:w="340"/>
        <w:gridCol w:w="2012"/>
        <w:gridCol w:w="340"/>
        <w:gridCol w:w="2012"/>
      </w:tblGrid>
      <w:tr>
        <w:tc>
          <w:tcPr>
            <w:tcW w:type="dxa" w:w="2013"/>
            <w:tcBorders>
              <w:top w:val="nil"/>
              <w:left w:val="nil"/>
              <w:bottom w:val="nil"/>
              <w:right w:val="nil"/>
              <w:top w:val="single" w:sz="24" w:color="B23A48" w:space="0"/>
              <w:left w:val="nil"/>
              <w:bottom w:val="nil"/>
              <w:right w:val="nil"/>
            </w:tcBorders>
            <w:shd w:val="clear" w:color="auto" w:fill="F8E6E8"/>
            <w:tcMar>
              <w:top w:w="113" w:type="dxa"/>
              <w:left w:w="113" w:type="dxa"/>
              <w:bottom w:w="113" w:type="dxa"/>
              <w:right w:w="113" w:type="dxa"/>
            </w:tcMar>
          </w:tcPr>
          <w:p>
            <w:pPr>
              <w:spacing w:before="0" w:after="0" w:line="240" w:lineRule="auto"/>
              <w:ind w:firstLine="0"/>
              <w:jc w:val="left"/>
            </w:pPr>
            <w:r>
              <w:rPr>
                <w:b/>
                <w:i w:val="0"/>
                <w:color w:val="B23A48"/>
                <w:sz w:val="48"/>
              </w:rPr>
              <w:t>3</w:t>
            </w:r>
          </w:p>
          <w:p>
            <w:pPr>
              <w:spacing w:before="0" w:after="40" w:line="240" w:lineRule="auto"/>
              <w:ind w:firstLine="0"/>
              <w:jc w:val="left"/>
            </w:pPr>
            <w:r>
              <w:rPr>
                <w:b/>
                <w:i w:val="0"/>
                <w:color w:val="1E2A32"/>
                <w:sz w:val="14"/>
              </w:rPr>
              <w:t>GRAVIDADE ALTA</w:t>
            </w:r>
          </w:p>
        </w:tc>
        <w:tc>
          <w:tcPr>
            <w:tcW w:type="dxa" w:w="340"/>
            <w:tcBorders>
              <w:top w:val="nil"/>
              <w:left w:val="nil"/>
              <w:bottom w:val="nil"/>
              <w:right w:val="nil"/>
            </w:tcBorders>
          </w:tcPr>
          <w:p/>
        </w:tc>
        <w:tc>
          <w:tcPr>
            <w:tcW w:type="dxa" w:w="2013"/>
            <w:tcBorders>
              <w:top w:val="nil"/>
              <w:left w:val="nil"/>
              <w:bottom w:val="nil"/>
              <w:right w:val="nil"/>
              <w:top w:val="single" w:sz="24" w:color="C9781E" w:space="0"/>
              <w:left w:val="nil"/>
              <w:bottom w:val="nil"/>
              <w:right w:val="nil"/>
            </w:tcBorders>
            <w:shd w:val="clear" w:color="auto" w:fill="FBEEDD"/>
            <w:tcMar>
              <w:top w:w="113" w:type="dxa"/>
              <w:left w:w="113" w:type="dxa"/>
              <w:bottom w:w="113" w:type="dxa"/>
              <w:right w:w="113" w:type="dxa"/>
            </w:tcMar>
          </w:tcPr>
          <w:p>
            <w:pPr>
              <w:spacing w:before="0" w:after="0" w:line="240" w:lineRule="auto"/>
              <w:ind w:firstLine="0"/>
              <w:jc w:val="left"/>
            </w:pPr>
            <w:r>
              <w:rPr>
                <w:b/>
                <w:i w:val="0"/>
                <w:color w:val="C9781E"/>
                <w:sz w:val="48"/>
              </w:rPr>
              <w:t>9</w:t>
            </w:r>
          </w:p>
          <w:p>
            <w:pPr>
              <w:spacing w:before="0" w:after="40" w:line="240" w:lineRule="auto"/>
              <w:ind w:firstLine="0"/>
              <w:jc w:val="left"/>
            </w:pPr>
            <w:r>
              <w:rPr>
                <w:b/>
                <w:i w:val="0"/>
                <w:color w:val="1E2A32"/>
                <w:sz w:val="14"/>
              </w:rPr>
              <w:t>GRAVIDADE MÉDIA</w:t>
            </w:r>
          </w:p>
        </w:tc>
        <w:tc>
          <w:tcPr>
            <w:tcW w:type="dxa" w:w="340"/>
            <w:tcBorders>
              <w:top w:val="nil"/>
              <w:left w:val="nil"/>
              <w:bottom w:val="nil"/>
              <w:right w:val="nil"/>
            </w:tcBorders>
          </w:tcPr>
          <w:p/>
        </w:tc>
        <w:tc>
          <w:tcPr>
            <w:tcW w:type="dxa" w:w="2013"/>
            <w:tcBorders>
              <w:top w:val="nil"/>
              <w:left w:val="nil"/>
              <w:bottom w:val="nil"/>
              <w:right w:val="nil"/>
              <w:top w:val="single" w:sz="24" w:color="3D8FA6" w:space="0"/>
              <w:left w:val="nil"/>
              <w:bottom w:val="nil"/>
              <w:right w:val="nil"/>
            </w:tcBorders>
            <w:shd w:val="clear" w:color="auto" w:fill="E3F1F5"/>
            <w:tcMar>
              <w:top w:w="113" w:type="dxa"/>
              <w:left w:w="113" w:type="dxa"/>
              <w:bottom w:w="113" w:type="dxa"/>
              <w:right w:w="113" w:type="dxa"/>
            </w:tcMar>
          </w:tcPr>
          <w:p>
            <w:pPr>
              <w:spacing w:before="0" w:after="0" w:line="240" w:lineRule="auto"/>
              <w:ind w:firstLine="0"/>
              <w:jc w:val="left"/>
            </w:pPr>
            <w:r>
              <w:rPr>
                <w:b/>
                <w:i w:val="0"/>
                <w:color w:val="3D8FA6"/>
                <w:sz w:val="48"/>
              </w:rPr>
              <w:t>3</w:t>
            </w:r>
          </w:p>
          <w:p>
            <w:pPr>
              <w:spacing w:before="0" w:after="40" w:line="240" w:lineRule="auto"/>
              <w:ind w:firstLine="0"/>
              <w:jc w:val="left"/>
            </w:pPr>
            <w:r>
              <w:rPr>
                <w:b/>
                <w:i w:val="0"/>
                <w:color w:val="1E2A32"/>
                <w:sz w:val="14"/>
              </w:rPr>
              <w:t>GRAVIDADE BAIXA</w:t>
            </w:r>
          </w:p>
        </w:tc>
        <w:tc>
          <w:tcPr>
            <w:tcW w:type="dxa" w:w="340"/>
            <w:tcBorders>
              <w:top w:val="nil"/>
              <w:left w:val="nil"/>
              <w:bottom w:val="nil"/>
              <w:right w:val="nil"/>
            </w:tcBorders>
          </w:tcPr>
          <w:p/>
        </w:tc>
        <w:tc>
          <w:tcPr>
            <w:tcW w:type="dxa" w:w="2013"/>
            <w:tcBorders>
              <w:top w:val="nil"/>
              <w:left w:val="nil"/>
              <w:bottom w:val="nil"/>
              <w:right w:val="nil"/>
              <w:top w:val="single" w:sz="24" w:color="2E8B57" w:space="0"/>
              <w:left w:val="nil"/>
              <w:bottom w:val="nil"/>
              <w:right w:val="nil"/>
            </w:tcBorders>
            <w:shd w:val="clear" w:color="auto" w:fill="E3F2EA"/>
            <w:tcMar>
              <w:top w:w="113" w:type="dxa"/>
              <w:left w:w="113" w:type="dxa"/>
              <w:bottom w:w="113" w:type="dxa"/>
              <w:right w:w="113" w:type="dxa"/>
            </w:tcMar>
          </w:tcPr>
          <w:p>
            <w:pPr>
              <w:spacing w:before="0" w:after="0" w:line="240" w:lineRule="auto"/>
              <w:ind w:firstLine="0"/>
              <w:jc w:val="left"/>
            </w:pPr>
            <w:r>
              <w:rPr>
                <w:b/>
                <w:i w:val="0"/>
                <w:color w:val="2E8B57"/>
                <w:sz w:val="48"/>
              </w:rPr>
              <w:t>3</w:t>
            </w:r>
          </w:p>
          <w:p>
            <w:pPr>
              <w:spacing w:before="0" w:after="40" w:line="240" w:lineRule="auto"/>
              <w:ind w:firstLine="0"/>
              <w:jc w:val="left"/>
            </w:pPr>
            <w:r>
              <w:rPr>
                <w:b/>
                <w:i w:val="0"/>
                <w:color w:val="1E2A32"/>
                <w:sz w:val="14"/>
              </w:rPr>
              <w:t>MELHORIAS</w:t>
            </w:r>
          </w:p>
        </w:tc>
      </w:tr>
    </w:tbl>
    <w:p>
      <w:pPr>
        <w:spacing w:before="0" w:after="80" w:line="240" w:lineRule="auto"/>
        <w:ind w:firstLine="0"/>
        <w:jc w:val="both"/>
      </w:pPr>
    </w:p>
    <w:p>
      <w:pPr>
        <w:spacing w:before="0" w:after="40" w:line="240" w:lineRule="auto"/>
        <w:ind w:firstLine="0"/>
        <w:jc w:val="center"/>
      </w:pPr>
      <w:r>
        <w:drawing>
          <wp:inline xmlns:a="http://schemas.openxmlformats.org/drawingml/2006/main" xmlns:pic="http://schemas.openxmlformats.org/drawingml/2006/picture">
            <wp:extent cx="5760000" cy="225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250000"/>
                    </a:xfrm>
                    <a:prstGeom prst="rect"/>
                  </pic:spPr>
                </pic:pic>
              </a:graphicData>
            </a:graphic>
          </wp:inline>
        </w:drawing>
      </w:r>
    </w:p>
    <w:p>
      <w:pPr>
        <w:spacing w:before="0" w:after="240" w:line="240" w:lineRule="auto"/>
        <w:ind w:firstLine="0"/>
        <w:jc w:val="left"/>
      </w:pPr>
      <w:r>
        <w:rPr>
          <w:b/>
          <w:i w:val="0"/>
          <w:color w:val="66757F"/>
          <w:sz w:val="15"/>
        </w:rPr>
        <w:t xml:space="preserve">Índice de conformidade: </w:t>
      </w:r>
      <w:r>
        <w:rPr>
          <w:b w:val="0"/>
          <w:i w:val="0"/>
          <w:color w:val="66757F"/>
          <w:sz w:val="15"/>
        </w:rPr>
        <w:t>itens conformes mais metade dos parcialmente conformes, divididos pelos itens aplicáveis e verificáveis. Indicador de leitura rápida; não substitui o exame de cada apontamento.</w:t>
      </w:r>
    </w:p>
    <w:p>
      <w:pPr>
        <w:spacing w:before="0" w:after="120" w:line="240" w:lineRule="auto"/>
        <w:ind w:firstLine="0"/>
        <w:jc w:val="both"/>
      </w:pPr>
      <w:r>
        <w:rPr>
          <w:b/>
          <w:i w:val="0"/>
          <w:color w:val="1F7A8C"/>
          <w:sz w:val="18"/>
        </w:rPr>
        <w:t>PRINCIPAIS ACHADOS</w:t>
      </w:r>
    </w:p>
    <w:tbl>
      <w:tblPr>
        <w:tblW w:type="auto" w:w="0"/>
        <w:jc w:val="center"/>
        <w:tblLook w:firstColumn="1" w:firstRow="1" w:lastColumn="0" w:lastRow="0" w:noHBand="0" w:noVBand="1" w:val="04A0"/>
        <w:tblLayout w:type="fixed"/>
      </w:tblPr>
      <w:tblGrid>
        <w:gridCol w:w="567"/>
        <w:gridCol w:w="4876"/>
        <w:gridCol w:w="1474"/>
        <w:gridCol w:w="2154"/>
      </w:tblGrid>
      <w:tr>
        <w:tc>
          <w:tcPr>
            <w:tcW w:type="dxa" w:w="567"/>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ITEM</w:t>
            </w:r>
          </w:p>
        </w:tc>
        <w:tc>
          <w:tcPr>
            <w:tcW w:type="dxa" w:w="4876"/>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ACHADO</w:t>
            </w:r>
          </w:p>
        </w:tc>
        <w:tc>
          <w:tcPr>
            <w:tcW w:type="dxa" w:w="147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GRAVIDADE</w:t>
            </w:r>
          </w:p>
        </w:tc>
        <w:tc>
          <w:tcPr>
            <w:tcW w:type="dxa" w:w="215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DISPOSITIVO</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Forma e critérios de seleção do fornecedor</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6, inciso XXIII, alínea h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Estimativa de valor com parâmetros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 inciso XXIII, alínea 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Lote único e menor preço global em registro de preços, com justificativa de não parcelamento pouco conclusiva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40, inciso V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Definição do objeto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 inciso XXIII, alínea a</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Requisitos da contratação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6, inciso XXIII, alínea d</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3.6</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Modelo de execução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 inciso XXIII, alínea e</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3.7</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Modelo de gestão e fiscalização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6, inciso XXIII, alínea f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3.8</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Critérios de medição e pagamento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 inciso XXIII, alínea g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3.9</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Compras: especificação, entrega e garantia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40, § 1º</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3.10</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Exigências de habilitação sem previsão legal e formalismo na apresentação de documentos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12, inciso IV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Limites das multas contratuais e escalonamento sem teto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156, § 3º</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Quantitativos de impressoras e de cópias sem memória de cálculo no TR</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 inciso XXIII, alínea a</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Descrição da solução considerando o ciclo de vida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6, inciso XXIII, alínea c</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Inconsistência sobre vigência e prorrogação (arts. 84, 106 e 107)</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106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Erros materiais e remanescentes de modelo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w:t>
            </w:r>
          </w:p>
        </w:tc>
      </w:tr>
    </w:tbl>
    <w:p>
      <w:r>
        <w:br w:type="page"/>
      </w:r>
    </w:p>
    <w:tbl>
      <w:tblPr>
        <w:tblW w:type="auto" w:w="0"/>
        <w:jc w:val="center"/>
        <w:tblLook w:firstColumn="1" w:firstRow="1" w:lastColumn="0" w:lastRow="0" w:noHBand="0" w:noVBand="1" w:val="04A0"/>
        <w:tblLayout w:type="fixed"/>
      </w:tblPr>
      <w:tblGrid>
        <w:gridCol w:w="1814"/>
        <w:gridCol w:w="7257"/>
      </w:tblGrid>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PARECER TÉCNICO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nº F2D2/2026</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INTERESSADO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Câmara Municipal de Maricá</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ASSUNTO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Análise de conformidade — Registro de preços para contratação de empresa especializada em outsourcing de equipamentos de informática (All in One, desktops, notebooks e impressoras multifuncionais coloridas), com assistência técnica, suprimentos e impressões/cópias coloridas, por 12 meses</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REFERÊNCIA</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PNCP 27772078000180-1-000021/2026</w:t>
            </w:r>
          </w:p>
        </w:tc>
      </w:tr>
    </w:tbl>
    <w:p>
      <w:pPr>
        <w:spacing w:before="0" w:after="200" w:line="240" w:lineRule="auto"/>
        <w:ind w:firstLine="0"/>
        <w:jc w:val="both"/>
      </w:pPr>
    </w:p>
    <w:p>
      <w:pPr>
        <w:spacing w:before="0" w:after="80" w:line="240" w:lineRule="auto"/>
        <w:ind w:firstLine="0" w:left="3402"/>
        <w:jc w:val="both"/>
      </w:pPr>
      <w:r>
        <w:rPr>
          <w:b/>
          <w:i w:val="0"/>
          <w:color w:val="12324A"/>
          <w:sz w:val="20"/>
        </w:rPr>
        <w:t xml:space="preserve">EMENTA: </w:t>
      </w:r>
      <w:r>
        <w:rPr>
          <w:b/>
          <w:i w:val="0"/>
          <w:sz w:val="20"/>
        </w:rPr>
        <w:t xml:space="preserve">OUTSOURCING DE INFORMÁTICA. REGISTRO DE PREÇOS. PREGÃO ELETRÔNICO. LOTE ÚNICO. MENOR PREÇO GLOBAL. PESQUISA DE PREÇOS. HABILITAÇÃO. MODELO DE EXECUÇÃO. REAJUSTE. SANÇÕES. CÂMARA MUNICIPAL DE MARICÁ </w:t>
      </w:r>
      <w:r>
        <w:rPr>
          <w:b w:val="0"/>
          <w:i w:val="0"/>
          <w:sz w:val="20"/>
        </w:rPr>
        <w:t>Termo de Referência para registro de preços de outsourcing de equipamentos de informática da Câmara Municipal de Maricá. O documento tem boa estrutura formal e justificativa extensa para o lote único. Apresenta fragilidades: pesquisa de preços com cotações de empresas de ramo aparentemente alheio ao objeto, especificações técnicas remetidas ao ETP, modelo de execução centrado na entrega de bens, ausência de critério de reajuste e exigências de habilitação sem motivação ou sem amparo legal. O certame já foi homologado por R$ 2.500.800,00, valor cerca de 19,8% inferior à estimativa.</w:t>
      </w:r>
    </w:p>
    <w:p>
      <w:pPr>
        <w:spacing w:before="0" w:after="120" w:line="240" w:lineRule="auto"/>
        <w:ind w:firstLine="0"/>
        <w:jc w:val="both"/>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1F7A8C" w:space="0"/>
              <w:bottom w:val="nil"/>
              <w:right w:val="nil"/>
            </w:tcBorders>
            <w:shd w:val="clear" w:color="auto" w:fill="EEF4F6"/>
            <w:tcMar>
              <w:top w:w="170" w:type="dxa"/>
              <w:left w:w="170" w:type="dxa"/>
              <w:bottom w:w="170" w:type="dxa"/>
              <w:right w:w="170" w:type="dxa"/>
            </w:tcMar>
          </w:tcPr>
          <w:p>
            <w:pPr>
              <w:spacing w:before="0" w:after="80" w:line="264" w:lineRule="auto"/>
              <w:ind w:firstLine="0"/>
              <w:jc w:val="left"/>
            </w:pPr>
            <w:r>
              <w:rPr>
                <w:b/>
                <w:i w:val="0"/>
                <w:color w:val="1F7A8C"/>
                <w:sz w:val="18"/>
              </w:rPr>
              <w:t>NATUREZA OPINATIVA DESTE PARECER</w:t>
            </w:r>
          </w:p>
          <w:p>
            <w:pPr>
              <w:spacing w:before="0" w:after="80" w:line="276" w:lineRule="auto"/>
              <w:ind w:firstLine="0"/>
              <w:jc w:val="both"/>
            </w:pPr>
            <w:r>
              <w:rPr>
                <w:b w:val="0"/>
                <w:i w:val="0"/>
                <w:sz w:val="19"/>
              </w:rPr>
              <w:t>Este parecer técnico tem natureza exclusivamente opinativa. Ele expõe a análise de conformidade dos documentos examinados, aponta todos os aspectos identificados — dos críticos aos de baixa vulnerabilidade — e recomenda providências, mas não vincula quem o recebe.</w:t>
            </w:r>
          </w:p>
          <w:p>
            <w:pPr>
              <w:spacing w:before="0" w:after="80" w:line="276" w:lineRule="auto"/>
              <w:ind w:firstLine="0"/>
              <w:jc w:val="both"/>
            </w:pPr>
            <w:r>
              <w:rPr>
                <w:b w:val="0"/>
                <w:i w:val="0"/>
                <w:sz w:val="19"/>
              </w:rPr>
              <w:t>A decisão de adotar, total ou parcialmente, as recomendações, ou de manter o documento como está, é de competência e responsabilidade exclusivas do destinatário (o agente público, a autoridade competente ou o contratante), que deve ponderá-las com os demais elementos do processo.</w:t>
            </w:r>
          </w:p>
          <w:p>
            <w:pPr>
              <w:spacing w:before="0" w:after="80" w:line="276" w:lineRule="auto"/>
              <w:ind w:firstLine="0"/>
              <w:jc w:val="both"/>
            </w:pPr>
            <w:r>
              <w:rPr>
                <w:b w:val="0"/>
                <w:i w:val="0"/>
                <w:sz w:val="19"/>
              </w:rPr>
              <w:t>Fundamento: o Supremo Tribunal Federal distingue o parecer facultativo, o obrigatório e o vinculante; no parecer facultativo e no obrigatório não vinculante, a autoridade não fica adstrita à opinião emitida e responde pela decisão que tomar (STF, MS 24.631/DF, Plenário, rel. Min. Joaquim Barbosa, j. 9 ago. 2007). A distinção entre parecer vinculante e não vinculante também consta da Lei nº 9.784/1999 (art. 42, §§ 1º e 2º). A Lei de Introdução às Normas do Direito Brasileiro estabelece que o agente público responde pessoalmente por suas decisões ou opiniões técnicas em caso de dolo ou erro grosseiro (art. 28).</w:t>
            </w:r>
          </w:p>
          <w:p>
            <w:pPr>
              <w:spacing w:before="0" w:after="80" w:line="276" w:lineRule="auto"/>
              <w:ind w:firstLine="0"/>
              <w:jc w:val="both"/>
            </w:pPr>
            <w:r>
              <w:rPr>
                <w:b w:val="0"/>
                <w:i w:val="0"/>
                <w:sz w:val="19"/>
              </w:rPr>
              <w:t>Este parecer, contratado livremente e sem previsão legal que o torne obrigatório ou vinculante, não substitui o parecer jurídico de controle prévio de legalidade (art. 53 da Lei nº 14.133/2021) nem a manifestação dos órgãos de assessoramento e controle.</w:t>
            </w:r>
          </w:p>
        </w:tc>
      </w:tr>
    </w:tbl>
    <w:p>
      <w:pPr>
        <w:spacing w:before="0" w:after="120" w:line="240" w:lineRule="auto"/>
        <w:ind w:firstLine="0"/>
        <w:jc w:val="both"/>
      </w:pPr>
    </w:p>
    <w:p>
      <w:pPr>
        <w:pStyle w:val="Heading1"/>
        <w:keepNext/>
        <w:spacing w:before="360" w:after="160" w:line="360" w:lineRule="auto"/>
        <w:ind w:firstLine="0"/>
        <w:jc w:val="left"/>
      </w:pPr>
      <w:r>
        <w:rPr>
          <w:rFonts w:ascii="Arial" w:hAnsi="Arial"/>
          <w:b/>
          <w:i w:val="0"/>
          <w:color w:val="12324A"/>
          <w:sz w:val="24"/>
        </w:rPr>
        <w:t>2 RELATÓRIO</w:t>
      </w:r>
    </w:p>
    <w:p>
      <w:pPr>
        <w:spacing w:before="0" w:after="120" w:line="360" w:lineRule="auto"/>
        <w:ind w:firstLine="709"/>
        <w:jc w:val="both"/>
      </w:pPr>
      <w:r>
        <w:rPr>
          <w:b w:val="0"/>
          <w:i w:val="0"/>
        </w:rPr>
        <w:t>Trata-se de análise técnica de conformidade solicitada em relação ao processo PNCP 27772078000180-1-000021/2026, do Câmara Municipal de Maricá, cujo objeto é: Registro de preços para contratação de empresa especializada em outsourcing de equipamentos de informática (All in One, desktops, notebooks e impressoras multifuncionais coloridas), com assistência técnica, suprimentos e impressões/cópias coloridas, por 12 meses.</w:t>
      </w:r>
    </w:p>
    <w:p>
      <w:pPr>
        <w:spacing w:before="0" w:after="120" w:line="360" w:lineRule="auto"/>
        <w:ind w:firstLine="709"/>
        <w:jc w:val="both"/>
      </w:pPr>
      <w:r>
        <w:rPr>
          <w:b w:val="0"/>
          <w:i w:val="0"/>
        </w:rPr>
        <w:t>Foram examinados os seguintes documentos: Termo de Referência (https://pncp.gov.br/app/editais/27772078000180/2026/21, 26 páginas). O exame teve por parâmetro a Lei 14.133/2021, aplicando-se o roteiro de verificação Licitacon (versão 2026-10-29b), com 19 itens pertinentes ao caso.</w:t>
      </w:r>
    </w:p>
    <w:p>
      <w:pPr>
        <w:spacing w:before="0" w:after="120" w:line="360" w:lineRule="auto"/>
        <w:ind w:firstLine="709"/>
        <w:jc w:val="both"/>
      </w:pPr>
      <w:r>
        <w:rPr>
          <w:b w:val="0"/>
          <w:i w:val="0"/>
        </w:rPr>
        <w:t>O Termo de Referência (27 páginas) organiza-se segundo o art. 6º, XXIII, da Lei 14.133/2021 e traz objeto, fundamentação, requisitos, modelo de execução, gestão, medição e pagamento, seleção do fornecedor, estimativa de valor e dotação orçamentária. A estimativa é de R$ 3.118.717,20 (12 meses), adotando o valor do Banco de Preços, inferior à média das três cotações diretas (R$ 3.244.009,20). A contratação foi feita em lote único, por menor preço global, em registro de preços. As principais fragilidades são: (i) a especificação técnica mínima dos equipamentos não consta do TR, que a remete ao ETP, não enviado; (ii) o modelo de execução trata sobretudo da entrega de bens e deixa de detalhar o serviço continuado de suporte, SLA e suprimentos; (iii) não há cláusula de reajuste nem instrumento de medição por nível de serviço; (iv) a pesquisa de preços usa cotações de empresas cujas razões sociais não indicam atividade de TI, sem detalhamento das fontes; (v) as exigências de habilitação carecem de motivação circunstanciada, e algumas não têm previsão legal; (vi) há inconsistências internas e remanescentes de modelo. A análise de preços do sistema não obteve amostra suficiente para concluir sobre sobrepreço. O certame já foi homologado por R$ 2.500.800,00.</w:t>
      </w:r>
    </w:p>
    <w:p>
      <w:pPr>
        <w:spacing w:before="0" w:after="120" w:line="360" w:lineRule="auto"/>
        <w:ind w:firstLine="709"/>
        <w:jc w:val="both"/>
      </w:pPr>
      <w:r>
        <w:rPr>
          <w:b w:val="0"/>
          <w:i w:val="0"/>
        </w:rPr>
        <w:t>É o relatório. Passa-se à fundamentação.</w:t>
      </w:r>
    </w:p>
    <w:p>
      <w:pPr>
        <w:pStyle w:val="Heading1"/>
        <w:keepNext/>
        <w:spacing w:before="360" w:after="160" w:line="360" w:lineRule="auto"/>
        <w:ind w:firstLine="0"/>
        <w:jc w:val="left"/>
      </w:pPr>
      <w:r>
        <w:rPr>
          <w:rFonts w:ascii="Arial" w:hAnsi="Arial"/>
          <w:b/>
          <w:i w:val="0"/>
          <w:color w:val="12324A"/>
          <w:sz w:val="24"/>
        </w:rPr>
        <w:t>3 FUNDAMENTAÇÃO</w:t>
      </w:r>
    </w:p>
    <w:p>
      <w:pPr>
        <w:spacing w:before="0" w:after="120" w:line="360" w:lineRule="auto"/>
        <w:ind w:firstLine="709"/>
        <w:jc w:val="both"/>
      </w:pPr>
      <w:r>
        <w:rPr>
          <w:b w:val="0"/>
          <w:i w:val="0"/>
        </w:rPr>
        <w:t>Cada apontamento indica a constatação no documento, o dispositivo legal aplicável (transcrito do texto oficial vigente), a análise do caso, o risco de manutenção, a providência recomendada e os precedentes localizados na Biblioteca Licitacon.</w:t>
      </w:r>
    </w:p>
    <w:p>
      <w:pPr>
        <w:pStyle w:val="Heading2"/>
        <w:keepNext/>
        <w:spacing w:before="240" w:after="160" w:line="360" w:lineRule="auto"/>
        <w:ind w:firstLine="0"/>
        <w:jc w:val="left"/>
      </w:pPr>
      <w:r>
        <w:rPr>
          <w:rFonts w:ascii="Arial" w:hAnsi="Arial"/>
          <w:b/>
          <w:i w:val="0"/>
          <w:color w:val="12324A"/>
          <w:sz w:val="24"/>
        </w:rPr>
        <w:t>3.1 Forma e critérios de seleção do fornecedor</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Parcialmente conforme   ·   Termo de Referência, Itens 9.1, 9.5 e 9.16, [página 13], [página 16] e [página 18]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indica pregão eletrônico em registro de preços, menor preço global e modo aberto, e lista a habilitação jurídica, fiscal, econômica e técnica. Há justificativa para a qualificação técnica, mas ela é genérica. (i) Os atestados exigem 'preferencialmente' 30% do quantitativo (9.16.1) e, no item 9.16.2, 'no mínimo 6 (seis) meses de execução', sem indicar as parcelas de maior relevância ou valor significativo e sem esclarecer se o 30% é obrigatório ou mera preferência, nem a que quantitativo se aplica (380 equipamentos, 110.000 cópias ou cada item). (ii) A qualificação econômico-financeira exige índices ILG, ILC e SG ≥ 1 e patrimônio líquido de 10% do valor estimado (9.5.1 e 9.5.3) sem motivação. (iii) O item 9.5.1 exige balanço do 'último exercício social', e não dos dois últimos, ainda que seja condição menos gravosa. (iv) Há exigências sem amparo em lei e formalismo na apresentação de documentos, tratados em outros apontamentos. (v) O texto contém referências a 'Edital', 'Pregoeira' e 'original', herdadas de modelo.</w:t>
      </w:r>
    </w:p>
    <w:p>
      <w:pPr>
        <w:spacing w:before="0" w:after="120" w:line="360" w:lineRule="auto"/>
        <w:ind w:firstLine="709"/>
        <w:jc w:val="both"/>
      </w:pPr>
      <w:r>
        <w:rPr>
          <w:b w:val="0"/>
          <w:i w:val="0"/>
        </w:rPr>
        <w:t>O documento dispõe: “9.16.1. Serão aceitos atestados de capacidade técnica emitidos por pessoas jurídicas de direito” (Itens 9.1, 9.5 e 9.16, [página 13], [página 16] e [página 18]).</w:t>
      </w:r>
    </w:p>
    <w:p>
      <w:pPr>
        <w:spacing w:before="0" w:after="80" w:line="360" w:lineRule="auto"/>
        <w:ind w:firstLine="709"/>
        <w:jc w:val="both"/>
      </w:pPr>
      <w:r>
        <w:rPr>
          <w:b/>
          <w:i w:val="0"/>
          <w:color w:val="12324A"/>
        </w:rPr>
        <w:t xml:space="preserve">Dispositivo aplicável. </w:t>
      </w:r>
      <w:r>
        <w:rPr>
          <w:b w:val="0"/>
          <w:i w:val="0"/>
        </w:rPr>
        <w:t>A matéria é disciplinada pelo art. 6, inciso XXIII, alínea h e pelo art. 18, inciso IX, da Lei 14.133/2021, que assim dispõem:</w:t>
      </w:r>
    </w:p>
    <w:p>
      <w:pPr>
        <w:spacing w:before="80" w:after="200" w:line="240" w:lineRule="auto"/>
        <w:ind w:firstLine="0" w:left="2268"/>
        <w:jc w:val="both"/>
      </w:pPr>
      <w:r>
        <w:rPr>
          <w:b w:val="0"/>
          <w:i w:val="0"/>
          <w:sz w:val="20"/>
        </w:rPr>
        <w:t>termo de referência: documento necessário para a contratação de bens e serviços, que deve conter os seguintes parâmetros e elementos descritivos: […] forma e critérios de seleção do fornecedor;</w:t>
      </w:r>
      <w:r>
        <w:rPr>
          <w:b w:val="0"/>
          <w:i w:val="0"/>
          <w:sz w:val="20"/>
        </w:rPr>
        <w:t xml:space="preserve"> (BRASIL, 2021, art. 6, inciso XXIII, alínea h)</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motivação circunstanciada das condições do edital, tais como justificativa de exigências de qualificação técnica, mediante indicação das parcelas de maior relevância técnica ou valor significativo do objeto, e de qualificação econômico-financeira, justificativa dos critérios de pontuação e julgamento das propostas técnicas, nas licitações com julgamento por melhor técnica ou técnica e preço, e justificativa das regras pertinentes à participação de empresas em consórcio;</w:t>
      </w:r>
      <w:r>
        <w:rPr>
          <w:b w:val="0"/>
          <w:i w:val="0"/>
          <w:sz w:val="20"/>
        </w:rPr>
        <w:t xml:space="preserve"> (BRASIL, 2021, art. 18, inciso IX)</w:t>
      </w:r>
    </w:p>
    <w:p>
      <w:pPr>
        <w:spacing w:before="0" w:after="120" w:line="360" w:lineRule="auto"/>
        <w:ind w:firstLine="709"/>
        <w:jc w:val="both"/>
      </w:pPr>
      <w:r>
        <w:rPr>
          <w:b/>
          <w:i w:val="0"/>
          <w:color w:val="12324A"/>
        </w:rPr>
        <w:t xml:space="preserve">Análise. </w:t>
      </w:r>
      <w:r>
        <w:rPr>
          <w:b w:val="0"/>
          <w:i w:val="0"/>
        </w:rPr>
        <w:t>O art. 18, IX, exige motivação circunstanciada das exigências de qualificação técnica, com indicação das parcelas de maior relevância técnica ou valor significativo, e de qualificação econômico-financeira. Sem essa motivação, as exigências podem restringir a competição. A ambiguidade entre 'preferencialmente' e 'no mínimo' dificulta o julgamento objetivo e favorece recursos.</w:t>
      </w:r>
    </w:p>
    <w:p>
      <w:pPr>
        <w:spacing w:before="0" w:after="120" w:line="360" w:lineRule="auto"/>
        <w:ind w:firstLine="709"/>
        <w:jc w:val="both"/>
      </w:pPr>
      <w:r>
        <w:rPr>
          <w:b/>
          <w:i w:val="0"/>
          <w:color w:val="B23A48"/>
        </w:rPr>
        <w:t xml:space="preserve">Risco de manutenção. </w:t>
      </w:r>
      <w:r>
        <w:rPr>
          <w:b w:val="0"/>
          <w:i w:val="0"/>
        </w:rPr>
        <w:t>Impugnação ou representação por exigências de habilitação desproporcionais ou imotivadas, com restrição indevida à competição.</w:t>
      </w:r>
    </w:p>
    <w:p>
      <w:pPr>
        <w:spacing w:before="0" w:after="120" w:line="360" w:lineRule="auto"/>
        <w:ind w:firstLine="709"/>
        <w:jc w:val="both"/>
      </w:pPr>
      <w:r>
        <w:rPr>
          <w:b/>
          <w:i w:val="0"/>
          <w:color w:val="12324A"/>
        </w:rPr>
        <w:t xml:space="preserve">Providência recomendada. </w:t>
      </w:r>
      <w:r>
        <w:rPr>
          <w:b w:val="0"/>
          <w:i w:val="0"/>
        </w:rPr>
        <w:t>Em novos certames, motivar os índices e o patrimônio líquido com base nos riscos da contratação. Quanto aos atestados, indicar as parcelas de maior relevância (por exemplo, outsourcing de computadores e de impressoras), tornar claro se o percentual é obrigatório, a que quantitativo se refere e justificar o prazo mínimo de 6 meses, evitando limitação de tempo. Compatibilizar a exigência contábil com os dois últimos exercícios sociais, quando for o caso. Para o certame homologado, registrar a análise de que as exigências não restringiram a participação (número de licitantes e inabilitações).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 qualificação técnica será comprovada por atestado(s) que demonstrem a prestação de serviços de outsourcing de equipamentos de informática com, no mínimo, ... unidades (até 50% do quantitativo da parcela de maior relevância), sendo as parcelas de maior relevância: (i) computadores (desktops/AIO/notebooks); (ii) impressoras multifuncionais, cada uma com valor individual superior a 4% do valor estimado.</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 habilitação econômico-financeira em licitações sob a égide da Lei nº 14.133/2021 deve ser baseada em demonstrações contábeis dos dois últimos exercícios sociais</w:t>
      </w:r>
      <w:r>
        <w:rPr>
          <w:b w:val="0"/>
          <w:i w:val="0"/>
          <w:sz w:val="20"/>
        </w:rPr>
        <w:t xml:space="preserve"> (TCM-RJ, Voto 612/2026 · Proc. 040/103712/2026 · Enunciado 433)</w:t>
      </w:r>
      <w:r>
        <w:rPr>
          <w:b w:val="0"/>
          <w:i w:val="0"/>
          <w:sz w:val="20"/>
        </w:rPr>
        <w:t xml:space="preserve"> </w:t>
      </w:r>
      <w:hyperlink r:id="rId12">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3.2 Estimativa de valor com parâmetros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Parcialmente conforme   ·   Termo de Referência, Itens 3.4, 3.5, 3.7, 3.18 e 10, [página 3], [página 4], [página 7] e [página 18]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traz o valor total anual de R$ 3.118.717,20 e o valor mensal e anual por item, e a soma confere com o total. A aritmética é consistente (apenas há R$ 26.500,00 no item 3.5 e R$ 26.500,20 no item 10.1, e a média das cotações aparece como R$ 270.334,00, quando as propostas resultam em R$ 270.334,10). A fundamentação, porém, é frágil: (i) as três cotações diretas vêm de empresas cujas razões sociais não indicam atividade de TI ('Fab Locação e Serviços de Máquinas, Equipamentos e Veículos', 'Vibe Construções e Serviços' e um empresário individual), sem informar CNAE, datas e validade das propostas; (ii) as cotações são globais mensais, mas o item 3.18 usa 'preços unitários implícitos', sem demonstrar a origem; (iii) o Banco de Preços não tem fonte, data, nem quantidade ou critérios de amostra, nem tratamento de valores discrepantes, e foi usado no lugar da média das cotações sem explicar a escolha; (iv) os anexos e as memórias de cálculo estão no ETP, não enviado; (v) o valor homologado (R$ 2.500.800,00) é cerca de 19,8% inferior à estimativa e 23% a 32% inferior às cotações, o que indica estimativa acima do mercado ou cotações não representativas.</w:t>
      </w:r>
    </w:p>
    <w:p>
      <w:pPr>
        <w:spacing w:before="0" w:after="120" w:line="360" w:lineRule="auto"/>
        <w:ind w:firstLine="709"/>
        <w:jc w:val="both"/>
      </w:pPr>
      <w:r>
        <w:rPr>
          <w:b w:val="0"/>
          <w:i w:val="0"/>
        </w:rPr>
        <w:t>O documento dispõe: “seguintes ofertas mensais para o conjunto integrado do objeto: (i) Fab Locação e Serviços de” (Itens 3.4, 3.5, 3.7, 3.18 e 10, [página 3], [página 4], [página 7] e [página 18]).</w:t>
      </w:r>
    </w:p>
    <w:p>
      <w:pPr>
        <w:spacing w:before="0" w:after="80" w:line="360" w:lineRule="auto"/>
        <w:ind w:firstLine="709"/>
        <w:jc w:val="both"/>
      </w:pPr>
      <w:r>
        <w:rPr>
          <w:b/>
          <w:i w:val="0"/>
          <w:color w:val="12324A"/>
        </w:rPr>
        <w:t xml:space="preserve">Dispositivo aplicável. </w:t>
      </w:r>
      <w:r>
        <w:rPr>
          <w:b w:val="0"/>
          <w:i w:val="0"/>
        </w:rPr>
        <w:t>A matéria é disciplinada pelo art. 6, inciso XXIII, alínea i e pelo art. 23, § 1º, da Lei 14.133/2021, que assim dispõem:</w:t>
      </w:r>
    </w:p>
    <w:p>
      <w:pPr>
        <w:spacing w:before="80" w:after="200" w:line="240" w:lineRule="auto"/>
        <w:ind w:firstLine="0" w:left="2268"/>
        <w:jc w:val="both"/>
      </w:pPr>
      <w:r>
        <w:rPr>
          <w:b w:val="0"/>
          <w:i w:val="0"/>
          <w:sz w:val="20"/>
        </w:rPr>
        <w:t>termo de referência: documento necessário para a contratação de bens e serviços, que deve conter os seguintes parâmetros e elementos descritivos: […] estimativas do valor da contratação, acompanhadas dos preços unitários referenciais, das memórias de cálculo e dos documentos que lhe dão suporte, com os parâmetros utilizados para a obtenção dos preços e para os respectivos cálculos, que devem constar de documento separado e classificado;</w:t>
      </w:r>
      <w:r>
        <w:rPr>
          <w:b w:val="0"/>
          <w:i w:val="0"/>
          <w:sz w:val="20"/>
        </w:rPr>
        <w:t xml:space="preserve"> (BRASIL, 2021, art. 6, inciso XXIII, alínea i)</w:t>
      </w:r>
    </w:p>
    <w:p>
      <w:pPr>
        <w:spacing w:before="80" w:after="200" w:line="240" w:lineRule="auto"/>
        <w:ind w:firstLine="0" w:left="2268"/>
        <w:jc w:val="both"/>
      </w:pPr>
      <w:r>
        <w:rPr>
          <w:b w:val="0"/>
          <w:i w:val="0"/>
          <w:sz w:val="20"/>
        </w:rPr>
        <w:t>No processo licitatório para aquisição de bens e contratação de serviços em geral, conforme regulamento, o valor estimado será definido com base no melhor preço aferido por meio da utilização dos seguintes parâmetros, adotados de forma combinada ou não: […]</w:t>
      </w:r>
      <w:r>
        <w:rPr>
          <w:b w:val="0"/>
          <w:i w:val="0"/>
          <w:sz w:val="20"/>
        </w:rPr>
        <w:t xml:space="preserve"> (BRASIL, 2021, art. 23, § 1º)</w:t>
      </w:r>
    </w:p>
    <w:p>
      <w:pPr>
        <w:spacing w:before="0" w:after="120" w:line="360" w:lineRule="auto"/>
        <w:ind w:firstLine="709"/>
        <w:jc w:val="both"/>
      </w:pPr>
      <w:r>
        <w:rPr>
          <w:b/>
          <w:i w:val="0"/>
          <w:color w:val="12324A"/>
        </w:rPr>
        <w:t xml:space="preserve">Análise. </w:t>
      </w:r>
      <w:r>
        <w:rPr>
          <w:b w:val="0"/>
          <w:i w:val="0"/>
        </w:rPr>
        <w:t>O art. 6º, XXIII, 'i', e o art. 23, § 1º, exigem que o valor estimado seja demonstrado por parâmetros, memórias de cálculo e documentos de suporte, com o melhor preço aferido por fontes combinadas. Cotações de empresas de outro ramo e uma cesta de preços não documentada não demonstram a compatibilidade com o mercado. A análise automática do sistema não teve amostra suficiente (0 compatíveis, 2 sem amostra), de modo que não se conclui por sobrepreço, mas a fragilidade do método é um ponto de alta relevância.</w:t>
      </w:r>
    </w:p>
    <w:p>
      <w:pPr>
        <w:spacing w:before="0" w:after="120" w:line="360" w:lineRule="auto"/>
        <w:ind w:firstLine="709"/>
        <w:jc w:val="both"/>
      </w:pPr>
      <w:r>
        <w:rPr>
          <w:b/>
          <w:i w:val="0"/>
          <w:color w:val="B23A48"/>
        </w:rPr>
        <w:t xml:space="preserve">Risco de manutenção. </w:t>
      </w:r>
      <w:r>
        <w:rPr>
          <w:b w:val="0"/>
          <w:i w:val="0"/>
        </w:rPr>
        <w:t>Orçamento de referência sem lastro, com risco de sobrepreço no preço de referência ou de utilização de cotações pouco representativas.</w:t>
      </w:r>
    </w:p>
    <w:p>
      <w:pPr>
        <w:spacing w:before="0" w:after="120" w:line="360" w:lineRule="auto"/>
        <w:ind w:firstLine="709"/>
        <w:jc w:val="both"/>
      </w:pPr>
      <w:r>
        <w:rPr>
          <w:b/>
          <w:i w:val="0"/>
          <w:color w:val="12324A"/>
        </w:rPr>
        <w:t xml:space="preserve">Providência recomendada. </w:t>
      </w:r>
      <w:r>
        <w:rPr>
          <w:b w:val="0"/>
          <w:i w:val="0"/>
        </w:rPr>
        <w:t>Juntar ao processo a documentação completa da pesquisa (propostas com data e CNAE, relatório do Banco de Preços com fontes, datas e critérios de exclusão, memória de cálculo). Incluir outras fontes do art. 23, § 1º (contratações similares de outros órgãos, base de notas fiscais). Justificar a adoção do valor do Banco de Preços. Corrigir as divergências numéricas. Em execução, usar o valor homologado como referência para eventuais prorrogações e para os próximos registros de preços, aferindo a vantajosidade (art. 84).</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 estimativa adotou a mediana dos preços obtidos em: (a) contratações similares homologadas nos últimos 12 meses (Banco de Preços/PNCP), (b) no mínimo três propostas de fornecedores do ramo de TI (CNAE ...), com validade de ... dias, descartados valores superiores a ...% da mediana mediante justificativa.</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3.3 Lote único e menor preço global em registro de preços, com justificativa de não parcelamento pouco conclusiva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Apontamento adicional   ·   Termo de Referência, Itens 3.6 a 3.19, [página 4] a [página 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agrupa seis itens de natureza distinta (computadores, notebooks, impressoras e serviço de impressão) em lote único e justifica a decisão pela 'natureza integrada e indivisível' (3.8 a 3.19). O argumento comparativo (3.18) é pouco conclusivo: compara dois preços unitários 'implícitos' que superam o Banco de Preços (All in One R$ 821,38 contra R$ 800,46; Desktop R$ 530,00 contra R$ 430,12) e não apresenta estudo quantitativo de custo do parcelamento, que a própria Nota Técnica citada (item 6.3.2) exigiria. A tese de indivisibilidade é contraditória com o fato de o registro de preços ser executado 'de forma unitária', por item e conforme a demanda (3.6 e 5.10), e com a lista de riscos de incompatibilidade entre fornecedores (3.13), que se refere a equipamentos de uso comum, como desktops e notebooks, itens facilmente adquiríveis separadamente.</w:t>
      </w:r>
    </w:p>
    <w:p>
      <w:pPr>
        <w:spacing w:before="0" w:after="120" w:line="360" w:lineRule="auto"/>
        <w:ind w:firstLine="709"/>
        <w:jc w:val="both"/>
      </w:pPr>
      <w:r>
        <w:rPr>
          <w:b w:val="0"/>
          <w:i w:val="0"/>
        </w:rPr>
        <w:t>O documento dispõe: “análise individualizada dos preços unitários implícitos em cada proposta evidencia que nenhuma das” (Itens 3.6 a 3.19, [página 4] a [página 8]).</w:t>
      </w:r>
    </w:p>
    <w:p>
      <w:pPr>
        <w:spacing w:before="0" w:after="80" w:line="360" w:lineRule="auto"/>
        <w:ind w:firstLine="709"/>
        <w:jc w:val="both"/>
      </w:pPr>
      <w:r>
        <w:rPr>
          <w:b/>
          <w:i w:val="0"/>
          <w:color w:val="12324A"/>
        </w:rPr>
        <w:t xml:space="preserve">Dispositivo aplicável. </w:t>
      </w:r>
      <w:r>
        <w:rPr>
          <w:b w:val="0"/>
          <w:i w:val="0"/>
        </w:rPr>
        <w:t>A matéria é disciplinada pelo art. 40, inciso V e pelo art. 18, § 1º, da Lei 14.133/2021, que assim dispõem:</w:t>
      </w:r>
    </w:p>
    <w:p>
      <w:pPr>
        <w:spacing w:before="80" w:after="200" w:line="240" w:lineRule="auto"/>
        <w:ind w:firstLine="0" w:left="2268"/>
        <w:jc w:val="both"/>
      </w:pPr>
      <w:r>
        <w:rPr>
          <w:b w:val="0"/>
          <w:i w:val="0"/>
          <w:sz w:val="20"/>
        </w:rPr>
        <w:t>O planejamento de compras deverá considerar a expectativa de consumo anual e observar o seguinte: […] atendimento aos princípios: […]</w:t>
      </w:r>
      <w:r>
        <w:rPr>
          <w:b w:val="0"/>
          <w:i w:val="0"/>
          <w:sz w:val="20"/>
        </w:rPr>
        <w:t xml:space="preserve"> (BRASIL, 2021, art. 40, inciso V)</w:t>
      </w:r>
    </w:p>
    <w:p>
      <w:pPr>
        <w:spacing w:before="80" w:after="200" w:line="240" w:lineRule="auto"/>
        <w:ind w:firstLine="0" w:left="2268"/>
        <w:jc w:val="both"/>
      </w:pPr>
      <w:r>
        <w:rPr>
          <w:b w:val="0"/>
          <w:i w:val="0"/>
          <w:sz w:val="20"/>
        </w:rPr>
        <w:t>O estudo técnico preliminar a que se refere o inciso I do caput deste artigo deverá evidenciar o problema a ser resolvido e a sua melhor solução, de modo a permitir a avaliação da viabilidade técnica e econômica da contratação, e conterá os seguintes elementos: […]</w:t>
      </w:r>
      <w:r>
        <w:rPr>
          <w:b w:val="0"/>
          <w:i w:val="0"/>
          <w:sz w:val="20"/>
        </w:rPr>
        <w:t xml:space="preserve"> (BRASIL, 2021, art. 18, § 1º)</w:t>
      </w:r>
    </w:p>
    <w:p>
      <w:pPr>
        <w:spacing w:before="0" w:after="120" w:line="360" w:lineRule="auto"/>
        <w:ind w:firstLine="709"/>
        <w:jc w:val="both"/>
      </w:pPr>
      <w:r>
        <w:rPr>
          <w:b/>
          <w:i w:val="0"/>
          <w:color w:val="12324A"/>
        </w:rPr>
        <w:t xml:space="preserve">Análise. </w:t>
      </w:r>
      <w:r>
        <w:rPr>
          <w:b w:val="0"/>
          <w:i w:val="0"/>
        </w:rPr>
        <w:t>O parcelamento é a regra quando é tecnicamente viável e economicamente vantajoso (art. 40, V), e a opção pelo lote único exige demonstração concreta. Itens de mercado amplo reunidos em lote único com serviços podem restringir a participação de empresas que poderiam atender parte do objeto, e a justificativa deve ser lastreada em estudo comparativo.</w:t>
      </w:r>
    </w:p>
    <w:p>
      <w:pPr>
        <w:spacing w:before="0" w:after="120" w:line="360" w:lineRule="auto"/>
        <w:ind w:firstLine="709"/>
        <w:jc w:val="both"/>
      </w:pPr>
      <w:r>
        <w:rPr>
          <w:b/>
          <w:i w:val="0"/>
          <w:color w:val="B23A48"/>
        </w:rPr>
        <w:t xml:space="preserve">Risco de manutenção. </w:t>
      </w:r>
      <w:r>
        <w:rPr>
          <w:b w:val="0"/>
          <w:i w:val="0"/>
        </w:rPr>
        <w:t>Restrição da competitividade, com possível contratação por preço superior ao que a disputa por item obteria.</w:t>
      </w:r>
    </w:p>
    <w:p>
      <w:pPr>
        <w:spacing w:before="0" w:after="120" w:line="360" w:lineRule="auto"/>
        <w:ind w:firstLine="709"/>
        <w:jc w:val="both"/>
      </w:pPr>
      <w:r>
        <w:rPr>
          <w:b/>
          <w:i w:val="0"/>
          <w:color w:val="12324A"/>
        </w:rPr>
        <w:t xml:space="preserve">Providência recomendada. </w:t>
      </w:r>
      <w:r>
        <w:rPr>
          <w:b w:val="0"/>
          <w:i w:val="0"/>
        </w:rPr>
        <w:t>Para a execução da ata, documentar o resultado da disputa (número de licitantes, descontos por item) para demonstrar a ausência de prejuízo. Nos próximos registros de preços, avaliar o parcelamento (ao menos separar computadores, impressoras e serviço de impressão) ou apresentar comparativo numérico com propostas por item, e explicar como a ata permitirá contratação parcial.</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3.4 Definição do objeto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Termo de Referência, Itens 1.2, 1.4, 1.4.1 e 3.3, [página 1], [página 2] e [página 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objeto tem natureza (outsourcing, solução integrada), itens e quantidades (380 equipamentos), prazo de 12 meses e previsão de prorrogação. Há, porém, inconsistências. A tabela do item 1.2 indica 1.000 para 'Impressões/Cópias Coloridas A4 - mensal' e, na linha seguinte, 'COTA TOTAL MENSAL 110.000', sem explicar a relação (1.000 por impressora × 110 impressoras?). O item 1.1 trata da prestação de serviços e fornecimento, o 2.1.4 chama a solução de 'locação' e o 5 trata como 'entrega de bens'. O item 3.3 afirma que a vigência inicial pode ser de até cinco anos, enquanto o 1.4.1 fixa 12 meses.</w:t>
      </w:r>
    </w:p>
    <w:p>
      <w:pPr>
        <w:spacing w:before="0" w:after="120" w:line="360" w:lineRule="auto"/>
        <w:ind w:firstLine="709"/>
        <w:jc w:val="both"/>
      </w:pPr>
      <w:r>
        <w:rPr>
          <w:b w:val="0"/>
          <w:i w:val="0"/>
        </w:rPr>
        <w:t>O documento dispõe: “Impressões/Cópias Coloridas A4 - mensal” (Itens 1.2, 1.4, 1.4.1 e 3.3, [página 1], [página 2] e [página 3]).</w:t>
      </w:r>
    </w:p>
    <w:p>
      <w:pPr>
        <w:spacing w:before="0" w:after="80" w:line="360" w:lineRule="auto"/>
        <w:ind w:firstLine="709"/>
        <w:jc w:val="both"/>
      </w:pPr>
      <w:r>
        <w:rPr>
          <w:b/>
          <w:i w:val="0"/>
          <w:color w:val="12324A"/>
        </w:rPr>
        <w:t xml:space="preserve">Dispositivo aplicável. </w:t>
      </w:r>
      <w:r>
        <w:rPr>
          <w:b w:val="0"/>
          <w:i w:val="0"/>
        </w:rPr>
        <w:t>A matéria é disciplinada pelo art. 6, inciso XXIII, alínea a, da Lei 14.133/2021, que assim dispõe:</w:t>
      </w:r>
    </w:p>
    <w:p>
      <w:pPr>
        <w:spacing w:before="80" w:after="200" w:line="240" w:lineRule="auto"/>
        <w:ind w:firstLine="0" w:left="2268"/>
        <w:jc w:val="both"/>
      </w:pPr>
      <w:r>
        <w:rPr>
          <w:b w:val="0"/>
          <w:i w:val="0"/>
          <w:sz w:val="20"/>
        </w:rPr>
        <w:t>termo de referência: documento necessário para a contratação de bens e serviços, que deve conter os seguintes parâmetros e elementos descritivos: […] definição do objeto, incluídos sua natureza, os quantitativos, o prazo do contrato e, se for o caso, a possibilidade de sua prorrogação;</w:t>
      </w:r>
      <w:r>
        <w:rPr>
          <w:b w:val="0"/>
          <w:i w:val="0"/>
          <w:sz w:val="20"/>
        </w:rPr>
        <w:t xml:space="preserve"> (BRASIL, 2021, art. 6, inciso XXIII, alínea a)</w:t>
      </w:r>
    </w:p>
    <w:p>
      <w:pPr>
        <w:spacing w:before="0" w:after="120" w:line="360" w:lineRule="auto"/>
        <w:ind w:firstLine="709"/>
        <w:jc w:val="both"/>
      </w:pPr>
      <w:r>
        <w:rPr>
          <w:b/>
          <w:i w:val="0"/>
          <w:color w:val="12324A"/>
        </w:rPr>
        <w:t xml:space="preserve">Análise. </w:t>
      </w:r>
      <w:r>
        <w:rPr>
          <w:b w:val="0"/>
          <w:i w:val="0"/>
        </w:rPr>
        <w:t>O art. 6º, XXIII, 'a', exige definição precisa do objeto, com quantitativos e prazo. A ambiguidade sobre a unidade da cota de impressão e sobre a natureza do ajuste (locação, serviço, fornecimento) prejudica a comparação das propostas e a medição.</w:t>
      </w:r>
    </w:p>
    <w:p>
      <w:pPr>
        <w:spacing w:before="0" w:after="120" w:line="360" w:lineRule="auto"/>
        <w:ind w:firstLine="709"/>
        <w:jc w:val="both"/>
      </w:pPr>
      <w:r>
        <w:rPr>
          <w:b/>
          <w:i w:val="0"/>
          <w:color w:val="C9781E"/>
        </w:rPr>
        <w:t xml:space="preserve">Risco de manutenção. </w:t>
      </w:r>
      <w:r>
        <w:rPr>
          <w:b w:val="0"/>
          <w:i w:val="0"/>
        </w:rPr>
        <w:t>Pagamentos divergentes da expectativa da Administração e propostas não comparáveis. Isso é relevante agora, na execução da ata, para a medição das impressões.</w:t>
      </w:r>
    </w:p>
    <w:p>
      <w:pPr>
        <w:spacing w:before="0" w:after="120" w:line="360" w:lineRule="auto"/>
        <w:ind w:firstLine="709"/>
        <w:jc w:val="both"/>
      </w:pPr>
      <w:r>
        <w:rPr>
          <w:b/>
          <w:i w:val="0"/>
          <w:color w:val="12324A"/>
        </w:rPr>
        <w:t xml:space="preserve">Providência recomendada. </w:t>
      </w:r>
      <w:r>
        <w:rPr>
          <w:b w:val="0"/>
          <w:i w:val="0"/>
        </w:rPr>
        <w:t>Esclarecer a unidade e a origem da cota de impressão (franquia por equipamento ou global; tratamento de excedentes). Uniformizar a denominação do objeto (locação de equipamentos com serviços). Esclarecer a vigência contratual (12 meses, prorrogáveis) e corrigir o item 3.3.</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 cota de impressão/cópia colorida A4 é de 110.000 páginas/mês no total (média de 1.000 por impressora), computada de forma global; as páginas excedentes serão remuneradas pelo valor unitário registrado em ata, até o limite de ... .</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 definição precisa e suficiente do objeto licitado constitui regra indispensável da competição, até mesmo como pressuposto do postulado de igualdade entre os licitantes, do qual é subsidiário o princípio da publicidade, que envolve o conhecimento, pelos concorrentes potenciais das condições básicas da licitação, constituindo, na hipótese particular da licitação para compra, a quantidade demandada uma das especificações mínimas e essenciais à definição do objeto do pregão. (Súmula vigente, aprovada na Ata nº 80/1982 do Plenário; data indicada = ano de aprovação.)</w:t>
      </w:r>
      <w:r>
        <w:rPr>
          <w:b w:val="0"/>
          <w:i w:val="0"/>
          <w:sz w:val="20"/>
        </w:rPr>
        <w:t xml:space="preserve"> (TCU, Súmula TCU 177)</w:t>
      </w:r>
      <w:r>
        <w:rPr>
          <w:b w:val="0"/>
          <w:i w:val="0"/>
          <w:sz w:val="20"/>
        </w:rPr>
        <w:t xml:space="preserve"> </w:t>
      </w:r>
      <w:hyperlink r:id="rId13">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3.5 Requisitos da contratação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Termo de Referência, Itens 4.1, 4.2 e 4.5, [página 8] e [página 9]</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seção de requisitos tem o título 'Possíveis Impactos Ambientais (Sustentabilidade)', mas só remete ao tópico 16 do ETP, sem conteúdo próprio. O TR não traz as especificações mínimas (processador, memória, armazenamento, telas, velocidade e resolução das impressoras) nem os índices Passmark exigidos no item 4.5.1; tudo é remetido ao ETP, não enviado. A vedação de subcontratação (4.2) tem justificativa genérica ('objeto comum'), embora o objeto inclua assistência técnica on-site e home office. Há remanescentes de modelo de outros objetos nas obrigações (uniformes e crachás no 11.11, 'reconstruir' no 7.12, 'solidez e segurança' no 5.9).</w:t>
      </w:r>
    </w:p>
    <w:p>
      <w:pPr>
        <w:spacing w:before="0" w:after="120" w:line="360" w:lineRule="auto"/>
        <w:ind w:firstLine="709"/>
        <w:jc w:val="both"/>
      </w:pPr>
      <w:r>
        <w:rPr>
          <w:b w:val="0"/>
          <w:i w:val="0"/>
        </w:rPr>
        <w:t>O documento dispõe: “Os Requisitos da contratação como um todo encontra-se pormenorizada no tópico 16 do Estudo” (Itens 4.1, 4.2 e 4.5, [página 8] e [página 9]).</w:t>
      </w:r>
    </w:p>
    <w:p>
      <w:pPr>
        <w:spacing w:before="0" w:after="80" w:line="360" w:lineRule="auto"/>
        <w:ind w:firstLine="709"/>
        <w:jc w:val="both"/>
      </w:pPr>
      <w:r>
        <w:rPr>
          <w:b/>
          <w:i w:val="0"/>
          <w:color w:val="12324A"/>
        </w:rPr>
        <w:t xml:space="preserve">Dispositivo aplicável. </w:t>
      </w:r>
      <w:r>
        <w:rPr>
          <w:b w:val="0"/>
          <w:i w:val="0"/>
        </w:rPr>
        <w:t>A matéria é disciplinada pelo art. 6, inciso XXIII, alínea d, da Lei 14.133/2021, que assim dispõe:</w:t>
      </w:r>
    </w:p>
    <w:p>
      <w:pPr>
        <w:spacing w:before="80" w:after="200" w:line="240" w:lineRule="auto"/>
        <w:ind w:firstLine="0" w:left="2268"/>
        <w:jc w:val="both"/>
      </w:pPr>
      <w:r>
        <w:rPr>
          <w:b w:val="0"/>
          <w:i w:val="0"/>
          <w:sz w:val="20"/>
        </w:rPr>
        <w:t>termo de referência: documento necessário para a contratação de bens e serviços, que deve conter os seguintes parâmetros e elementos descritivos: […] requisitos da contratação;</w:t>
      </w:r>
      <w:r>
        <w:rPr>
          <w:b w:val="0"/>
          <w:i w:val="0"/>
          <w:sz w:val="20"/>
        </w:rPr>
        <w:t xml:space="preserve"> (BRASIL, 2021, art. 6, inciso XXIII, alínea d)</w:t>
      </w:r>
    </w:p>
    <w:p>
      <w:pPr>
        <w:spacing w:before="0" w:after="120" w:line="360" w:lineRule="auto"/>
        <w:ind w:firstLine="709"/>
        <w:jc w:val="both"/>
      </w:pPr>
      <w:r>
        <w:rPr>
          <w:b/>
          <w:i w:val="0"/>
          <w:color w:val="12324A"/>
        </w:rPr>
        <w:t xml:space="preserve">Análise. </w:t>
      </w:r>
      <w:r>
        <w:rPr>
          <w:b w:val="0"/>
          <w:i w:val="0"/>
        </w:rPr>
        <w:t>O art. 6º, XXIII, 'd', exige requisitos da contratação definidos e compatíveis com o ETP. Sem as especificações no TR, não é possível verificar a compatibilidade nem a ausência de exigência restritiva, e os licitantes dependem de documento externo. Exigências de modelo incompatíveis com a natureza do objeto geram insegurança.</w:t>
      </w:r>
    </w:p>
    <w:p>
      <w:pPr>
        <w:spacing w:before="0" w:after="120" w:line="360" w:lineRule="auto"/>
        <w:ind w:firstLine="709"/>
        <w:jc w:val="both"/>
      </w:pPr>
      <w:r>
        <w:rPr>
          <w:b/>
          <w:i w:val="0"/>
          <w:color w:val="C9781E"/>
        </w:rPr>
        <w:t xml:space="preserve">Risco de manutenção. </w:t>
      </w:r>
      <w:r>
        <w:rPr>
          <w:b w:val="0"/>
          <w:i w:val="0"/>
        </w:rPr>
        <w:t>Impugnação por especificação não acessível, divergência entre ETP e TR e dificuldade de recusar equipamentos que não atendam ao mínimo pretendido.</w:t>
      </w:r>
    </w:p>
    <w:p>
      <w:pPr>
        <w:spacing w:before="0" w:after="120" w:line="360" w:lineRule="auto"/>
        <w:ind w:firstLine="709"/>
        <w:jc w:val="both"/>
      </w:pPr>
      <w:r>
        <w:rPr>
          <w:b/>
          <w:i w:val="0"/>
          <w:color w:val="12324A"/>
        </w:rPr>
        <w:t xml:space="preserve">Providência recomendada. </w:t>
      </w:r>
      <w:r>
        <w:rPr>
          <w:b w:val="0"/>
          <w:i w:val="0"/>
        </w:rPr>
        <w:t>Transcrever no TR (ou anexo vinculado) as especificações mínimas e os índices Passmark, e explicitar os critérios de sustentabilidade. Motivar tecnicamente a vedação de subcontratação, ou admiti-la para a assistência técnica autorizada. Retirar do TR as obrigações não pertinentes ao objeto. Esclarecer a exigência de que o Passmark tenha 'data de emissão a partir da data da primeira solicitação de proposta'.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4.1. A CONTRATADA deverá observar os critérios de sustentabilidade previstos no tópico 16 do ETP, em especial: equipamentos com certificação de eficiência energética, descarte de resíduos e logística reversa de suprimentos (cartuchos/toners), nos termos ... .</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 definição dos "requisitos da contratação" no termo de referência (art. 6º, inciso XXIII, alínea d, da Lei 14.133/2021) deve manter fidelidade às reais características do objeto pretendido, de modo a evitar a inclusão de exigências incompatíveis com a real natureza dos serviços licitados, a exemplo da existência de informações no termo de referência indicando que um contrato de serviços continuados de engenharia abrange gestão de projetos de grande porte.</w:t>
      </w:r>
      <w:r>
        <w:rPr>
          <w:b w:val="0"/>
          <w:i w:val="0"/>
          <w:sz w:val="20"/>
        </w:rPr>
        <w:t xml:space="preserve"> (TCU, Acórdão 2666/2025-Plenário)</w:t>
      </w:r>
      <w:r>
        <w:rPr>
          <w:b w:val="0"/>
          <w:i w:val="0"/>
          <w:sz w:val="20"/>
        </w:rPr>
        <w:t xml:space="preserve"> </w:t>
      </w:r>
      <w:hyperlink r:id="rId14">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3.6 Modelo de execução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Termo de Referência, Itens 5, 8.1 e 11.23, [página 9], [página 12] e [página 21]</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seção 5 trata da entrega dos bens: prazo de 30 dias, locais, comunicação prévia, recebimento provisório e definitivo. Não descreve a execução do serviço continuado por 12 meses: instalação e configuração, imagem padrão e software, horário e canais de atendimento on-site e home office, rotina de manutenção preventiva, reposição periódica de suprimentos e papel, forma de apuração das cópias e SLA. O tempo de atendimento é 'fixado de acordo com os interesses operacionais da CONTRATANTE' (11.23), sem parâmetro objetivo. Os prazos são inconsistentes: substituição de bens em 10 dias (5.7) e em 10 dias úteis (8.1.II); recebimento provisório em 15 dias (5.6), contados da ordem de serviço (8.1.I); recebimento definitivo tácito pelo decurso do prazo (5.8.1 e 8.1.IV). O item 5.5 prevê 'sem ônus de frete à Contratada' (deveria ser à Contratante). Os itens 5.1 e 5.4 não esclarecem como se darão entregas parceladas decorrentes da ata, com marco inicial e escalonamento.</w:t>
      </w:r>
    </w:p>
    <w:p>
      <w:pPr>
        <w:spacing w:before="0" w:after="120" w:line="360" w:lineRule="auto"/>
        <w:ind w:firstLine="709"/>
        <w:jc w:val="both"/>
      </w:pPr>
      <w:r>
        <w:rPr>
          <w:b w:val="0"/>
          <w:i w:val="0"/>
        </w:rPr>
        <w:t>O documento dispõe: “5.1. O prazo de entrega dos equipamentos é de 30 (trinta) dias corridos, contados a partir da assinatura” (Itens 5, 8.1 e 11.23, [página 9], [página 12] e [página 21]).</w:t>
      </w:r>
    </w:p>
    <w:p>
      <w:pPr>
        <w:spacing w:before="0" w:after="80" w:line="360" w:lineRule="auto"/>
        <w:ind w:firstLine="709"/>
        <w:jc w:val="both"/>
      </w:pPr>
      <w:r>
        <w:rPr>
          <w:b/>
          <w:i w:val="0"/>
          <w:color w:val="12324A"/>
        </w:rPr>
        <w:t xml:space="preserve">Dispositivo aplicável. </w:t>
      </w:r>
      <w:r>
        <w:rPr>
          <w:b w:val="0"/>
          <w:i w:val="0"/>
        </w:rPr>
        <w:t>A matéria é disciplinada pelo art. 6, inciso XXIII, alínea e, da Lei 14.133/2021, que assim dispõe:</w:t>
      </w:r>
    </w:p>
    <w:p>
      <w:pPr>
        <w:spacing w:before="80" w:after="200" w:line="240" w:lineRule="auto"/>
        <w:ind w:firstLine="0" w:left="2268"/>
        <w:jc w:val="both"/>
      </w:pPr>
      <w:r>
        <w:rPr>
          <w:b w:val="0"/>
          <w:i w:val="0"/>
          <w:sz w:val="20"/>
        </w:rPr>
        <w:t>termo de referência: documento necessário para a contratação de bens e serviços, que deve conter os seguintes parâmetros e elementos descritivos: […] modelo de execução do objeto, que consiste na definição de como o contrato deverá produzir os resultados pretendidos desde o seu início até o seu encerramento;</w:t>
      </w:r>
      <w:r>
        <w:rPr>
          <w:b w:val="0"/>
          <w:i w:val="0"/>
          <w:sz w:val="20"/>
        </w:rPr>
        <w:t xml:space="preserve"> (BRASIL, 2021, art. 6, inciso XXIII, alínea e)</w:t>
      </w:r>
    </w:p>
    <w:p>
      <w:pPr>
        <w:spacing w:before="0" w:after="120" w:line="360" w:lineRule="auto"/>
        <w:ind w:firstLine="709"/>
        <w:jc w:val="both"/>
      </w:pPr>
      <w:r>
        <w:rPr>
          <w:b/>
          <w:i w:val="0"/>
          <w:color w:val="12324A"/>
        </w:rPr>
        <w:t xml:space="preserve">Análise. </w:t>
      </w:r>
      <w:r>
        <w:rPr>
          <w:b w:val="0"/>
          <w:i w:val="0"/>
        </w:rPr>
        <w:t>O art. 6º, XXIII, 'e', exige a definição de como o contrato produzirá os resultados do início ao encerramento. Sem modelo para a parte de serviço, a fiscalização não tem parâmetro e a contratada não sabe o que entregar. O recebimento definitivo tácito enfraquece o controle de qualidade.</w:t>
      </w:r>
    </w:p>
    <w:p>
      <w:pPr>
        <w:spacing w:before="0" w:after="120" w:line="360" w:lineRule="auto"/>
        <w:ind w:firstLine="709"/>
        <w:jc w:val="both"/>
      </w:pPr>
      <w:r>
        <w:rPr>
          <w:b/>
          <w:i w:val="0"/>
          <w:color w:val="C9781E"/>
        </w:rPr>
        <w:t xml:space="preserve">Risco de manutenção. </w:t>
      </w:r>
      <w:r>
        <w:rPr>
          <w:b w:val="0"/>
          <w:i w:val="0"/>
        </w:rPr>
        <w:t>Descumprimentos sem base objetiva para glosa, conflitos na execução da ata e responsabilização do fiscal por recebimento sem verificação efetiva.</w:t>
      </w:r>
    </w:p>
    <w:p>
      <w:pPr>
        <w:spacing w:before="0" w:after="120" w:line="360" w:lineRule="auto"/>
        <w:ind w:firstLine="709"/>
        <w:jc w:val="both"/>
      </w:pPr>
      <w:r>
        <w:rPr>
          <w:b/>
          <w:i w:val="0"/>
          <w:color w:val="12324A"/>
        </w:rPr>
        <w:t xml:space="preserve">Providência recomendada. </w:t>
      </w:r>
      <w:r>
        <w:rPr>
          <w:b w:val="0"/>
          <w:i w:val="0"/>
        </w:rPr>
        <w:t>Complementar o modelo de execução com cronograma de implantação, rotinas de manutenção e suporte (horários, canais, níveis de severidade e prazos), reposição de suprimentos e apuração de cópias. Padronizar os prazos de recebimento e rejeição e corrigir o item 5.5. Revisar a previsão de recebimento definitivo tácito.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 suporte técnico será prestado em dias úteis, das 8h às 18h, por central telefônica/web e atendimento presencial, com tempo máximo de início de atendimento de 2 horas para incidentes que paralisem o usuário e 6 horas para os demais, e solução em até ... horas. Os suprimentos serão repostos em até ... horas da abertura do chamado ou do alerta de nível mínimo.</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3.7 Modelo de gestão e fiscalização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Termo de Referência, Item 7, [página 11] e [página 12]</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define os papéis de fiscal técnico, fiscal administrativo e gestor, as notificações por irregularidade, a comunicação de ocorrências e a verificação das condições de habilitação. Faltam instrumentos de registro e controle da execução: reunião inicial, relatórios mensais de chamados e SLA, inventário/patrimônio dos equipamentos, conferência de contadores de impressão, check-list de recebimento. Faltam também os requisitos de designação dos fiscais (art. 7º) e as regras de substituição. Os itens 7.1 e 7.2 ('poderá convocar') são genéricos. Não há previsão de como a gestão se articula com os órgãos que contratem pela ata.</w:t>
      </w:r>
    </w:p>
    <w:p>
      <w:pPr>
        <w:spacing w:before="0" w:after="120" w:line="360" w:lineRule="auto"/>
        <w:ind w:firstLine="709"/>
        <w:jc w:val="both"/>
      </w:pPr>
      <w:r>
        <w:rPr>
          <w:b w:val="0"/>
          <w:i w:val="0"/>
        </w:rPr>
        <w:t>O documento dispõe: “7.5. O fiscal técnico acompanhará a execução do serviço, para que sejam cumpridas todas as” (Item 7, [página 11] e [página 12]).</w:t>
      </w:r>
    </w:p>
    <w:p>
      <w:pPr>
        <w:spacing w:before="0" w:after="80" w:line="360" w:lineRule="auto"/>
        <w:ind w:firstLine="709"/>
        <w:jc w:val="both"/>
      </w:pPr>
      <w:r>
        <w:rPr>
          <w:b/>
          <w:i w:val="0"/>
          <w:color w:val="12324A"/>
        </w:rPr>
        <w:t xml:space="preserve">Dispositivo aplicável. </w:t>
      </w:r>
      <w:r>
        <w:rPr>
          <w:b w:val="0"/>
          <w:i w:val="0"/>
        </w:rPr>
        <w:t>A matéria é disciplinada pelo art. 6, inciso XXIII, alínea f e pelo art. 117, da Lei 14.133/2021, que assim dispõem:</w:t>
      </w:r>
    </w:p>
    <w:p>
      <w:pPr>
        <w:spacing w:before="80" w:after="200" w:line="240" w:lineRule="auto"/>
        <w:ind w:firstLine="0" w:left="2268"/>
        <w:jc w:val="both"/>
      </w:pPr>
      <w:r>
        <w:rPr>
          <w:b w:val="0"/>
          <w:i w:val="0"/>
          <w:sz w:val="20"/>
        </w:rPr>
        <w:t>termo de referência: documento necessário para a contratação de bens e serviços, que deve conter os seguintes parâmetros e elementos descritivos: […] modelo de gestão do contrato, que descreve como a execução do objeto será acompanhada e fiscalizada pelo órgão ou entidade;</w:t>
      </w:r>
      <w:r>
        <w:rPr>
          <w:b w:val="0"/>
          <w:i w:val="0"/>
          <w:sz w:val="20"/>
        </w:rPr>
        <w:t xml:space="preserve"> (BRASIL, 2021, art. 6, inciso XXIII, alínea f)</w:t>
      </w:r>
    </w:p>
    <w:p>
      <w:pPr>
        <w:spacing w:before="80" w:after="200" w:line="240" w:lineRule="auto"/>
        <w:ind w:firstLine="0" w:left="2268"/>
        <w:jc w:val="both"/>
      </w:pPr>
      <w:r>
        <w:rPr>
          <w:b w:val="0"/>
          <w:i w:val="0"/>
          <w:sz w:val="20"/>
        </w:rPr>
        <w:t>A execução do contrato deverá ser acompanhada e fiscalizada por 1 (um) ou mais fiscais do contrato, representantes da Administração especialmente designados conforme requisitos estabelecidos no art. 7º desta Lei, ou pelos respectivos substitutos, permitida a contratação de terceiros para assisti-los e subsidiá-los com informações pertinentes a essa atribuição.</w:t>
      </w:r>
      <w:r>
        <w:rPr>
          <w:b w:val="0"/>
          <w:i w:val="0"/>
          <w:sz w:val="20"/>
        </w:rPr>
        <w:t xml:space="preserve"> (BRASIL, 2021, art. 117)</w:t>
      </w:r>
    </w:p>
    <w:p>
      <w:pPr>
        <w:spacing w:before="0" w:after="120" w:line="360" w:lineRule="auto"/>
        <w:ind w:firstLine="709"/>
        <w:jc w:val="both"/>
      </w:pPr>
      <w:r>
        <w:rPr>
          <w:b/>
          <w:i w:val="0"/>
          <w:color w:val="12324A"/>
        </w:rPr>
        <w:t xml:space="preserve">Análise. </w:t>
      </w:r>
      <w:r>
        <w:rPr>
          <w:b w:val="0"/>
          <w:i w:val="0"/>
        </w:rPr>
        <w:t>O art. 6º, XXIII, 'f', e o art. 117 exigem a descrição de como a execução será acompanhada e fiscalizada. Sem rotina e instrumentos, o ateste pode se limitar à conferência documental, o que gera risco de pagamento por serviço não prestado.</w:t>
      </w:r>
    </w:p>
    <w:p>
      <w:pPr>
        <w:spacing w:before="0" w:after="120" w:line="360" w:lineRule="auto"/>
        <w:ind w:firstLine="709"/>
        <w:jc w:val="both"/>
      </w:pPr>
      <w:r>
        <w:rPr>
          <w:b/>
          <w:i w:val="0"/>
          <w:color w:val="C9781E"/>
        </w:rPr>
        <w:t xml:space="preserve">Risco de manutenção. </w:t>
      </w:r>
      <w:r>
        <w:rPr>
          <w:b w:val="0"/>
          <w:i w:val="0"/>
        </w:rPr>
        <w:t>Ateste sem verificação material da prestação e responsabilização do fiscal.</w:t>
      </w:r>
    </w:p>
    <w:p>
      <w:pPr>
        <w:spacing w:before="0" w:after="120" w:line="360" w:lineRule="auto"/>
        <w:ind w:firstLine="709"/>
        <w:jc w:val="both"/>
      </w:pPr>
      <w:r>
        <w:rPr>
          <w:b/>
          <w:i w:val="0"/>
          <w:color w:val="12324A"/>
        </w:rPr>
        <w:t xml:space="preserve">Providência recomendada. </w:t>
      </w:r>
      <w:r>
        <w:rPr>
          <w:b w:val="0"/>
          <w:i w:val="0"/>
        </w:rPr>
        <w:t>Complementar o modelo de gestão com reunião de alinhamento inicial, relatório mensal de atendimentos e SLA, procedimento de conferência de equipamentos instalados e de cópias efetivamente produzidas, e designação formal de fiscais e substitutos com capacitação compatível. Isso deve constar do termo de designação da fiscalização.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Mensalmente, a CONTRATADA entregará relatório com chamados abertos/fechados, tempos de atendimento, equipamentos em operação e contadores de impressão por equipamento, que serão conferidos pelo fiscal técnico por amostragem em campo antes do ateste da nota fiscal.</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É conferido ao fiscal do contrato, por meio do ordenamento jurídico, a responsabilidade de verificar a real execução dos serviços licitados, e não apenas realizar a conferência documental.</w:t>
      </w:r>
      <w:r>
        <w:rPr>
          <w:b w:val="0"/>
          <w:i w:val="0"/>
          <w:sz w:val="20"/>
        </w:rPr>
        <w:t xml:space="preserve"> (TCE-RJ, Acórdão 61660/2024 – Processo 118.385-1/2023)</w:t>
      </w:r>
      <w:r>
        <w:rPr>
          <w:b w:val="0"/>
          <w:i w:val="0"/>
          <w:sz w:val="20"/>
        </w:rPr>
        <w:t xml:space="preserve"> </w:t>
      </w:r>
      <w:hyperlink r:id="rId15">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3.8 Critérios de medição e pagamento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Termo de Referência, Itens 3.6, 8.1 e 8.2, [página 4], [página 12] e [página 13]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Há prazo de pagamento, critério de recebimento e medição por quantitativos efetivamente disponibilizados e em operação, por valores unitários (8.2.V). Faltam: (i) cláusula de reajuste (índice, data-base e periodicidade) e de atualização monetária; o único trecho sobre o tema é o item 14.4, que afasta o reajuste da ata; (ii) instrumento de medição por resultado/SLA, com faixas de glosa proporcionais ao descumprimento, embora o item 11.23 fixe tempos de atendimento; (iii) forma de medição das cópias (franquia mensal ou consumo apurado), necessária porque o valor mensal de R$ 40.700,00 está associado à cota de 110.000; (iv) coerência entre o julgamento por 'menor preço global' e a execução por 'preço unitário', que o item 3.6 mistura citando dispositivos de regime de empreitada. O prazo de 30 dias úteis (cerca de 42 corridos) é longo.</w:t>
      </w:r>
    </w:p>
    <w:p>
      <w:pPr>
        <w:spacing w:before="0" w:after="120" w:line="360" w:lineRule="auto"/>
        <w:ind w:firstLine="709"/>
        <w:jc w:val="both"/>
      </w:pPr>
      <w:r>
        <w:rPr>
          <w:b w:val="0"/>
          <w:i w:val="0"/>
        </w:rPr>
        <w:t>O documento dispõe: “I. O pagamento será efetuado no prazo de até 30 (trinta) dias úteis contados do recebimento da” (Itens 3.6, 8.1 e 8.2, [página 4], [página 12] e [página 13]).</w:t>
      </w:r>
    </w:p>
    <w:p>
      <w:pPr>
        <w:spacing w:before="0" w:after="80" w:line="360" w:lineRule="auto"/>
        <w:ind w:firstLine="709"/>
        <w:jc w:val="both"/>
      </w:pPr>
      <w:r>
        <w:rPr>
          <w:b/>
          <w:i w:val="0"/>
          <w:color w:val="12324A"/>
        </w:rPr>
        <w:t xml:space="preserve">Dispositivo aplicável. </w:t>
      </w:r>
      <w:r>
        <w:rPr>
          <w:b w:val="0"/>
          <w:i w:val="0"/>
        </w:rPr>
        <w:t>A matéria é disciplinada pelo art. 6, inciso XXIII, alínea g e pelo art. 92, inciso V, da Lei 14.133/2021, que assim dispõem:</w:t>
      </w:r>
    </w:p>
    <w:p>
      <w:pPr>
        <w:spacing w:before="80" w:after="200" w:line="240" w:lineRule="auto"/>
        <w:ind w:firstLine="0" w:left="2268"/>
        <w:jc w:val="both"/>
      </w:pPr>
      <w:r>
        <w:rPr>
          <w:b w:val="0"/>
          <w:i w:val="0"/>
          <w:sz w:val="20"/>
        </w:rPr>
        <w:t>termo de referência: documento necessário para a contratação de bens e serviços, que deve conter os seguintes parâmetros e elementos descritivos: […] critérios de medição e de pagamento;</w:t>
      </w:r>
      <w:r>
        <w:rPr>
          <w:b w:val="0"/>
          <w:i w:val="0"/>
          <w:sz w:val="20"/>
        </w:rPr>
        <w:t xml:space="preserve"> (BRASIL, 2021, art. 6, inciso XXIII, alínea g)</w:t>
      </w:r>
    </w:p>
    <w:p>
      <w:pPr>
        <w:spacing w:before="80" w:after="200" w:line="240" w:lineRule="auto"/>
        <w:ind w:firstLine="0" w:left="2268"/>
        <w:jc w:val="both"/>
      </w:pPr>
      <w:r>
        <w:rPr>
          <w:b w:val="0"/>
          <w:i w:val="0"/>
          <w:sz w:val="20"/>
        </w:rPr>
        <w:t>São necessárias em todo contrato cláusulas que estabeleçam: […] o preço e as condições de pagamento, os critérios, a data-base e a periodicidade do reajustamento de preços e os critérios de atualização monetária entre a data do adimplemento das obrigações e a do efetivo pagamento;</w:t>
      </w:r>
      <w:r>
        <w:rPr>
          <w:b w:val="0"/>
          <w:i w:val="0"/>
          <w:sz w:val="20"/>
        </w:rPr>
        <w:t xml:space="preserve"> (BRASIL, 2021, art. 92, inciso V)</w:t>
      </w:r>
    </w:p>
    <w:p>
      <w:pPr>
        <w:spacing w:before="0" w:after="120" w:line="360" w:lineRule="auto"/>
        <w:ind w:firstLine="709"/>
        <w:jc w:val="both"/>
      </w:pPr>
      <w:r>
        <w:rPr>
          <w:b/>
          <w:i w:val="0"/>
          <w:color w:val="12324A"/>
        </w:rPr>
        <w:t xml:space="preserve">Análise. </w:t>
      </w:r>
      <w:r>
        <w:rPr>
          <w:b w:val="0"/>
          <w:i w:val="0"/>
        </w:rPr>
        <w:t>O art. 6º, XXIII, 'g', exige critérios de medição e pagamento, e o art. 92, V, exige cláusulas de condições de pagamento, critérios, data-base e periodicidade de reajuste e atualização monetária. Para serviço contínuo prorrogável por até 10 anos, a ausência de reajuste e de IMR compromete o equilíbrio econômico e o controle sobre a qualidade.</w:t>
      </w:r>
    </w:p>
    <w:p>
      <w:pPr>
        <w:spacing w:before="0" w:after="120" w:line="360" w:lineRule="auto"/>
        <w:ind w:firstLine="709"/>
        <w:jc w:val="both"/>
      </w:pPr>
      <w:r>
        <w:rPr>
          <w:b/>
          <w:i w:val="0"/>
          <w:color w:val="C9781E"/>
        </w:rPr>
        <w:t xml:space="preserve">Risco de manutenção. </w:t>
      </w:r>
      <w:r>
        <w:rPr>
          <w:b w:val="0"/>
          <w:i w:val="0"/>
        </w:rPr>
        <w:t>Desequilíbrio contratual na prorrogação, contestação de glosas e pagamentos sem relação com o desempenho.</w:t>
      </w:r>
    </w:p>
    <w:p>
      <w:pPr>
        <w:spacing w:before="0" w:after="120" w:line="360" w:lineRule="auto"/>
        <w:ind w:firstLine="709"/>
        <w:jc w:val="both"/>
      </w:pPr>
      <w:r>
        <w:rPr>
          <w:b/>
          <w:i w:val="0"/>
          <w:color w:val="12324A"/>
        </w:rPr>
        <w:t xml:space="preserve">Providência recomendada. </w:t>
      </w:r>
      <w:r>
        <w:rPr>
          <w:b w:val="0"/>
          <w:i w:val="0"/>
        </w:rPr>
        <w:t>Prever, no contrato/ata, índice de reajuste (por exemplo, IPCA) com data-base na proposta e periodicidade anual, e atualização financeira em caso de atraso. Instituir IMR/SLA com glosa. Definir a medição das cópias. Esclarecer que o julgamento é global, mas o pagamento é por valor unitário de cada item registrado. Avaliar a redução do prazo de pagamento para 30 dias corridos.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Os preços serão reajustados após 12 meses, contados da data-base da proposta, pela variação do IPCA/IBGE. A medição das cópias será feita pelo contador de cada equipamento, pago o excedente à franquia mensal pelo preço unitário contratado. O atendimento fora do SLA ensejará glosa de ...% do valor mensal do equipamento afetado.</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3.9 Compras: especificação, entrega e garantia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Termo de Referência, Itens 1.1, 5.3 e 6, [página 1], [página 9] e [página 10]</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Há prazo e locais de entrega e uma seção de garantia e assistência técnica detalhada (substituição em 24 horas, peças, suprimentos, garantia legal complementar). A especificação dos produtos não consta do TR, que a remete ao ETP: não há configuração mínima de computadores e impressoras (velocidade, resolução, duplex etc.) nem especificação do papel (gramatura, formato). A garantia de fábrica de 'no mínimo 12 meses, podendo ser estendida' é ambígua em relação à vigência de 12 meses e eventual prorrogação. Não ficam claros os critérios do suporte aos notebooks em home office (6.1 e 1.4). A exigência de suprimentos 'originais do fabricante' (6.2.VII) não está justificada.</w:t>
      </w:r>
    </w:p>
    <w:p>
      <w:pPr>
        <w:spacing w:before="0" w:after="120" w:line="360" w:lineRule="auto"/>
        <w:ind w:firstLine="709"/>
        <w:jc w:val="both"/>
      </w:pPr>
      <w:r>
        <w:rPr>
          <w:b w:val="0"/>
          <w:i w:val="0"/>
        </w:rPr>
        <w:t>O documento dispõe: “II. A garantia de fábrica dos equipamentos será de, no mínimo, 12 (doze) meses, podendo ser” (Itens 1.1, 5.3 e 6, [página 1], [página 9] e [página 10]).</w:t>
      </w:r>
    </w:p>
    <w:p>
      <w:pPr>
        <w:spacing w:before="0" w:after="80" w:line="360" w:lineRule="auto"/>
        <w:ind w:firstLine="709"/>
        <w:jc w:val="both"/>
      </w:pPr>
      <w:r>
        <w:rPr>
          <w:b/>
          <w:i w:val="0"/>
          <w:color w:val="12324A"/>
        </w:rPr>
        <w:t xml:space="preserve">Dispositivo aplicável. </w:t>
      </w:r>
      <w:r>
        <w:rPr>
          <w:b w:val="0"/>
          <w:i w:val="0"/>
        </w:rPr>
        <w:t>A matéria é disciplinada pelo art. 40, § 1º, da Lei 14.133/2021, que assim dispõe:</w:t>
      </w:r>
    </w:p>
    <w:p>
      <w:pPr>
        <w:spacing w:before="80" w:after="200" w:line="240" w:lineRule="auto"/>
        <w:ind w:firstLine="0" w:left="2268"/>
        <w:jc w:val="both"/>
      </w:pPr>
      <w:r>
        <w:rPr>
          <w:b w:val="0"/>
          <w:i w:val="0"/>
          <w:sz w:val="20"/>
        </w:rPr>
        <w:t>O termo de referência deverá conter os elementos previstos no inciso XXIII do caput do art. 6º desta Lei, além das seguintes informações: […]</w:t>
      </w:r>
      <w:r>
        <w:rPr>
          <w:b w:val="0"/>
          <w:i w:val="0"/>
          <w:sz w:val="20"/>
        </w:rPr>
        <w:t xml:space="preserve"> (BRASIL, 2021, art. 40, § 1º)</w:t>
      </w:r>
    </w:p>
    <w:p>
      <w:pPr>
        <w:spacing w:before="0" w:after="120" w:line="360" w:lineRule="auto"/>
        <w:ind w:firstLine="709"/>
        <w:jc w:val="both"/>
      </w:pPr>
      <w:r>
        <w:rPr>
          <w:b/>
          <w:i w:val="0"/>
          <w:color w:val="12324A"/>
        </w:rPr>
        <w:t xml:space="preserve">Análise. </w:t>
      </w:r>
      <w:r>
        <w:rPr>
          <w:b w:val="0"/>
          <w:i w:val="0"/>
        </w:rPr>
        <w:t>O art. 40, § 1º, e o art. 6º, XXIII, exigem o detalhamento do objeto, de modo que a especificação incompleta permite a entrega de produto inadequado, sem base para recusa, e dificulta a conferência no recebimento.</w:t>
      </w:r>
    </w:p>
    <w:p>
      <w:pPr>
        <w:spacing w:before="0" w:after="120" w:line="360" w:lineRule="auto"/>
        <w:ind w:firstLine="709"/>
        <w:jc w:val="both"/>
      </w:pPr>
      <w:r>
        <w:rPr>
          <w:b/>
          <w:i w:val="0"/>
          <w:color w:val="C9781E"/>
        </w:rPr>
        <w:t xml:space="preserve">Risco de manutenção. </w:t>
      </w:r>
      <w:r>
        <w:rPr>
          <w:b w:val="0"/>
          <w:i w:val="0"/>
        </w:rPr>
        <w:t>Recebimento de equipamentos abaixo do esperado, sem critério objetivo para rejeição, e discussão sobre cobertura de garantia na prorrogação.</w:t>
      </w:r>
    </w:p>
    <w:p>
      <w:pPr>
        <w:spacing w:before="0" w:after="120" w:line="360" w:lineRule="auto"/>
        <w:ind w:firstLine="709"/>
        <w:jc w:val="both"/>
      </w:pPr>
      <w:r>
        <w:rPr>
          <w:b/>
          <w:i w:val="0"/>
          <w:color w:val="12324A"/>
        </w:rPr>
        <w:t xml:space="preserve">Providência recomendada. </w:t>
      </w:r>
      <w:r>
        <w:rPr>
          <w:b w:val="0"/>
          <w:i w:val="0"/>
        </w:rPr>
        <w:t>Incluir ou anexar ao TR a especificação mínima de cada item e do papel. Esclarecer que a garantia e o suporte cobrem toda a vigência, inclusive prorrogações. Definir como será o atendimento aos notebooks em trabalho remoto. Justificar a exigência de suprimentos originais ou admitir equivalentes de desempenho comprovado.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3.10 Exigências de habilitação sem previsão legal e formalismo na apresentação de documentos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Termo de Referência, Itens 9.4.11, 9.4.12 e 9.10, [página 15] e [página 17]</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exige, na habilitação fiscal, certidão negativa de improbidade e inelegibilidade do CNJ e certidão negativa de inidoneidade do TCU (9.4.11 e 9.4.12), documentos que não integram o rol legal e podem ser consultados pelo agente de contratação nos cadastros públicos. Exige ainda cópias autenticadas por tabelião ou conferidas com o original (9.10), em pregão eletrônico, em contraste com a faculdade de comprovar autenticidade perante agente da Administração.</w:t>
      </w:r>
    </w:p>
    <w:p>
      <w:pPr>
        <w:spacing w:before="0" w:after="120" w:line="360" w:lineRule="auto"/>
        <w:ind w:firstLine="709"/>
        <w:jc w:val="both"/>
      </w:pPr>
      <w:r>
        <w:rPr>
          <w:b w:val="0"/>
          <w:i w:val="0"/>
        </w:rPr>
        <w:t>O documento dispõe: “9.4.11. Certidão negativa de Improbidade administrativa e inelegibilidade emitida pelo Conselho” (Itens 9.4.11, 9.4.12 e 9.10, [página 15] e [página 17]).</w:t>
      </w:r>
    </w:p>
    <w:p>
      <w:pPr>
        <w:spacing w:before="0" w:after="80" w:line="360" w:lineRule="auto"/>
        <w:ind w:firstLine="709"/>
        <w:jc w:val="both"/>
      </w:pPr>
      <w:r>
        <w:rPr>
          <w:b/>
          <w:i w:val="0"/>
          <w:color w:val="12324A"/>
        </w:rPr>
        <w:t xml:space="preserve">Dispositivo aplicável. </w:t>
      </w:r>
      <w:r>
        <w:rPr>
          <w:b w:val="0"/>
          <w:i w:val="0"/>
        </w:rPr>
        <w:t>A matéria é disciplinada pelo art. 12, inciso IV e pelo art. 68, da Lei 14.133/2021, que assim dispõem:</w:t>
      </w:r>
    </w:p>
    <w:p>
      <w:pPr>
        <w:spacing w:before="80" w:after="200" w:line="240" w:lineRule="auto"/>
        <w:ind w:firstLine="0" w:left="2268"/>
        <w:jc w:val="both"/>
      </w:pPr>
      <w:r>
        <w:rPr>
          <w:b w:val="0"/>
          <w:i w:val="0"/>
          <w:sz w:val="20"/>
        </w:rPr>
        <w:t>No processo licitatório, observar-se-á o seguinte: […] a prova de autenticidade de cópia de documento público ou particular poderá ser feita perante agente da Administração, mediante apresentação de original ou de declaração de autenticidade por advogado, sob sua responsabilidade pessoal;</w:t>
      </w:r>
      <w:r>
        <w:rPr>
          <w:b w:val="0"/>
          <w:i w:val="0"/>
          <w:sz w:val="20"/>
        </w:rPr>
        <w:t xml:space="preserve"> (BRASIL, 2021, art. 12, inciso IV)</w:t>
      </w:r>
    </w:p>
    <w:p>
      <w:pPr>
        <w:spacing w:before="80" w:after="200" w:line="240" w:lineRule="auto"/>
        <w:ind w:firstLine="0" w:left="2268"/>
        <w:jc w:val="both"/>
      </w:pPr>
      <w:r>
        <w:rPr>
          <w:b w:val="0"/>
          <w:i w:val="0"/>
          <w:sz w:val="20"/>
        </w:rPr>
        <w:t>As habilitações fiscal, social e trabalhista serão aferidas mediante a verificação dos seguintes requisitos: […]</w:t>
      </w:r>
      <w:r>
        <w:rPr>
          <w:b w:val="0"/>
          <w:i w:val="0"/>
          <w:sz w:val="20"/>
        </w:rPr>
        <w:t xml:space="preserve"> (BRASIL, 2021, art. 68)</w:t>
      </w:r>
    </w:p>
    <w:p>
      <w:pPr>
        <w:spacing w:before="0" w:after="120" w:line="360" w:lineRule="auto"/>
        <w:ind w:firstLine="709"/>
        <w:jc w:val="both"/>
      </w:pPr>
      <w:r>
        <w:rPr>
          <w:b/>
          <w:i w:val="0"/>
          <w:color w:val="12324A"/>
        </w:rPr>
        <w:t xml:space="preserve">Análise. </w:t>
      </w:r>
      <w:r>
        <w:rPr>
          <w:b w:val="0"/>
          <w:i w:val="0"/>
        </w:rPr>
        <w:t>A habilitação deve se limitar às exigências legais, e o excesso formal afasta potenciais licitantes. A autenticação por tabelião e a exigência de original são desnecessárias num procedimento eletrônico, em que a Administração pode checar a autenticidade pelos meios disponíveis.</w:t>
      </w:r>
    </w:p>
    <w:p>
      <w:pPr>
        <w:spacing w:before="0" w:after="120" w:line="360" w:lineRule="auto"/>
        <w:ind w:firstLine="709"/>
        <w:jc w:val="both"/>
      </w:pPr>
      <w:r>
        <w:rPr>
          <w:b/>
          <w:i w:val="0"/>
          <w:color w:val="C9781E"/>
        </w:rPr>
        <w:t xml:space="preserve">Risco de manutenção. </w:t>
      </w:r>
      <w:r>
        <w:rPr>
          <w:b w:val="0"/>
          <w:i w:val="0"/>
        </w:rPr>
        <w:t>Inabilitação por formalismo e afastamento de licitantes.</w:t>
      </w:r>
    </w:p>
    <w:p>
      <w:pPr>
        <w:spacing w:before="0" w:after="120" w:line="360" w:lineRule="auto"/>
        <w:ind w:firstLine="709"/>
        <w:jc w:val="both"/>
      </w:pPr>
      <w:r>
        <w:rPr>
          <w:b/>
          <w:i w:val="0"/>
          <w:color w:val="12324A"/>
        </w:rPr>
        <w:t xml:space="preserve">Providência recomendada. </w:t>
      </w:r>
      <w:r>
        <w:rPr>
          <w:b w:val="0"/>
          <w:i w:val="0"/>
        </w:rPr>
        <w:t>Substituir as certidões por consulta pelo agente de contratação aos cadastros oficiais (CEIS, CNEP, CNJ, TCU) e admitir documentos digitais e cópias sem autenticação, com verificação da autenticidade. Em execução da ata, não exigir tais documentos na assinatura ou prorrogação, salvo previsão legal.</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3.11 Limites das multas contratuais e escalonamento sem teto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Termo de Referência, Item 15.3, [página 23] e [página 24]</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multa do item 15.3.2 varia de 0,1% a 10% do valor da parcela, e a do 15.3.4 é de 0,2% a 3,2% por dia sobre o valor mensal, sem teto global. Isso é incompatível com o piso de 0,5% e com o teto de 30% do valor do contrato, previstos na lei. Há ainda trechos ilegíveis ou incompletos (15.3, 15.5 e 15.6).</w:t>
      </w:r>
    </w:p>
    <w:p>
      <w:pPr>
        <w:spacing w:before="0" w:after="120" w:line="360" w:lineRule="auto"/>
        <w:ind w:firstLine="709"/>
        <w:jc w:val="both"/>
      </w:pPr>
      <w:r>
        <w:rPr>
          <w:b w:val="0"/>
          <w:i w:val="0"/>
        </w:rPr>
        <w:t>O documento dispõe: “15.3.2. 0,1% (um décimo por cento) até 10% (dez por cento) sobre o valor da parcela em atraso do” (Item 15.3, [página 23] e [página 24]).</w:t>
      </w:r>
    </w:p>
    <w:p>
      <w:pPr>
        <w:spacing w:before="0" w:after="80" w:line="360" w:lineRule="auto"/>
        <w:ind w:firstLine="709"/>
        <w:jc w:val="both"/>
      </w:pPr>
      <w:r>
        <w:rPr>
          <w:b/>
          <w:i w:val="0"/>
          <w:color w:val="12324A"/>
        </w:rPr>
        <w:t xml:space="preserve">Dispositivo aplicável. </w:t>
      </w:r>
      <w:r>
        <w:rPr>
          <w:b w:val="0"/>
          <w:i w:val="0"/>
        </w:rPr>
        <w:t>A matéria é disciplinada pelo art. 156, § 3º, da Lei 14.133/2021, que assim dispõe:</w:t>
      </w:r>
    </w:p>
    <w:p>
      <w:pPr>
        <w:spacing w:before="80" w:after="200" w:line="240" w:lineRule="auto"/>
        <w:ind w:firstLine="0" w:left="2268"/>
        <w:jc w:val="both"/>
      </w:pPr>
      <w:r>
        <w:rPr>
          <w:b w:val="0"/>
          <w:i w:val="0"/>
          <w:sz w:val="20"/>
        </w:rPr>
        <w:t>A sanção prevista no inciso II do caput deste artigo, calculada na forma do edital ou do contrato, não poderá ser inferior a 0,5% (cinco décimos por cento) nem superior a 30% (trinta por cento) do valor do contrato licitado ou celebrado com contratação direta e será aplicada ao responsável por qualquer das infrações administrativas previstas no art. 155 desta Lei.</w:t>
      </w:r>
      <w:r>
        <w:rPr>
          <w:b w:val="0"/>
          <w:i w:val="0"/>
          <w:sz w:val="20"/>
        </w:rPr>
        <w:t xml:space="preserve"> (BRASIL, 2021, art. 156, § 3º)</w:t>
      </w:r>
    </w:p>
    <w:p>
      <w:pPr>
        <w:spacing w:before="0" w:after="120" w:line="360" w:lineRule="auto"/>
        <w:ind w:firstLine="709"/>
        <w:jc w:val="both"/>
      </w:pPr>
      <w:r>
        <w:rPr>
          <w:b/>
          <w:i w:val="0"/>
          <w:color w:val="12324A"/>
        </w:rPr>
        <w:t xml:space="preserve">Análise. </w:t>
      </w:r>
      <w:r>
        <w:rPr>
          <w:b w:val="0"/>
          <w:i w:val="0"/>
        </w:rPr>
        <w:t>A lei estabelece faixa mínima e máxima para a multa compensatória. Faixas fora do intervalo e a ausência de teto fragilizam a aplicação da sanção e podem levar à sua anulação ou a excessos.</w:t>
      </w:r>
    </w:p>
    <w:p>
      <w:pPr>
        <w:spacing w:before="0" w:after="120" w:line="360" w:lineRule="auto"/>
        <w:ind w:firstLine="709"/>
        <w:jc w:val="both"/>
      </w:pPr>
      <w:r>
        <w:rPr>
          <w:b/>
          <w:i w:val="0"/>
          <w:color w:val="C9781E"/>
        </w:rPr>
        <w:t xml:space="preserve">Risco de manutenção. </w:t>
      </w:r>
      <w:r>
        <w:rPr>
          <w:b w:val="0"/>
          <w:i w:val="0"/>
        </w:rPr>
        <w:t>Contestação das multas aplicadas e perda de poder dissuasório da penalidade.</w:t>
      </w:r>
    </w:p>
    <w:p>
      <w:pPr>
        <w:spacing w:before="0" w:after="120" w:line="360" w:lineRule="auto"/>
        <w:ind w:firstLine="709"/>
        <w:jc w:val="both"/>
      </w:pPr>
      <w:r>
        <w:rPr>
          <w:b/>
          <w:i w:val="0"/>
          <w:color w:val="12324A"/>
        </w:rPr>
        <w:t xml:space="preserve">Providência recomendada. </w:t>
      </w:r>
      <w:r>
        <w:rPr>
          <w:b w:val="0"/>
          <w:i w:val="0"/>
        </w:rPr>
        <w:t>Ajustar os percentuais da multa de 15.3.2 ao piso de 0,5%, limitar a soma das multas a 30% do valor do contrato e recompor os itens 15.3, 15.5 e 15.6, que estão sem texto. Esclarecer a diferença entre multa moratória diária e multa compensatória.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3.12 Quantitativos de impressoras e de cópias sem memória de cálculo no TR</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Termo de Referência, Itens 1.2, 2.1.2 e 10.2, [página 1], [página 2] e [página 19]</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prevê 110 impressoras multifuncionais coloridas para 322 servidores ativos e 22 aprovados em concurso, mais 21 gabinetes, e uma cota de 110.000 cópias coloridas por mês. A justificativa (2.1.2 e 2.1.3) fala em aumento da demanda, mas não traz memória de cálculo, histórico de consumo do contrato anterior nem justificativa do uso de cor em toda a cota; o item 10.2 remete ao ETP, que não foi enviado.</w:t>
      </w:r>
    </w:p>
    <w:p>
      <w:pPr>
        <w:spacing w:before="0" w:after="120" w:line="360" w:lineRule="auto"/>
        <w:ind w:firstLine="709"/>
        <w:jc w:val="both"/>
      </w:pPr>
      <w:r>
        <w:rPr>
          <w:b w:val="0"/>
          <w:i w:val="0"/>
        </w:rPr>
        <w:t>O documento dispõe: “10.2. As memórias de cálculo para a definição dos quantitativos e valores constantes no Estudo” (Itens 1.2, 2.1.2 e 10.2, [página 1], [página 2] e [página 19]).</w:t>
      </w:r>
    </w:p>
    <w:p>
      <w:pPr>
        <w:spacing w:before="0" w:after="80" w:line="360" w:lineRule="auto"/>
        <w:ind w:firstLine="709"/>
        <w:jc w:val="both"/>
      </w:pPr>
      <w:r>
        <w:rPr>
          <w:b/>
          <w:i w:val="0"/>
          <w:color w:val="12324A"/>
        </w:rPr>
        <w:t xml:space="preserve">Dispositivo aplicável. </w:t>
      </w:r>
      <w:r>
        <w:rPr>
          <w:b w:val="0"/>
          <w:i w:val="0"/>
        </w:rPr>
        <w:t>A matéria é disciplinada pelo art. 6, inciso XXIII, alínea a, da Lei 14.133/2021, que assim dispõe:</w:t>
      </w:r>
    </w:p>
    <w:p>
      <w:pPr>
        <w:spacing w:before="80" w:after="200" w:line="240" w:lineRule="auto"/>
        <w:ind w:firstLine="0" w:left="2268"/>
        <w:jc w:val="both"/>
      </w:pPr>
      <w:r>
        <w:rPr>
          <w:b w:val="0"/>
          <w:i w:val="0"/>
          <w:sz w:val="20"/>
        </w:rPr>
        <w:t>termo de referência: documento necessário para a contratação de bens e serviços, que deve conter os seguintes parâmetros e elementos descritivos: […] definição do objeto, incluídos sua natureza, os quantitativos, o prazo do contrato e, se for o caso, a possibilidade de sua prorrogação;</w:t>
      </w:r>
      <w:r>
        <w:rPr>
          <w:b w:val="0"/>
          <w:i w:val="0"/>
          <w:sz w:val="20"/>
        </w:rPr>
        <w:t xml:space="preserve"> (BRASIL, 2021, art. 6, inciso XXIII, alínea a)</w:t>
      </w:r>
    </w:p>
    <w:p>
      <w:pPr>
        <w:spacing w:before="0" w:after="120" w:line="360" w:lineRule="auto"/>
        <w:ind w:firstLine="709"/>
        <w:jc w:val="both"/>
      </w:pPr>
      <w:r>
        <w:rPr>
          <w:b/>
          <w:i w:val="0"/>
          <w:color w:val="12324A"/>
        </w:rPr>
        <w:t xml:space="preserve">Análise. </w:t>
      </w:r>
      <w:r>
        <w:rPr>
          <w:b w:val="0"/>
          <w:i w:val="0"/>
        </w:rPr>
        <w:t>Quantitativos sem memória de cálculo podem esconder superdimensionamento, que encarece a contratação e a ata. Como a ata é de registro de preços, o limite do que pode ser demandado também precisa ser verificável.</w:t>
      </w:r>
    </w:p>
    <w:p>
      <w:pPr>
        <w:spacing w:before="0" w:after="120" w:line="360" w:lineRule="auto"/>
        <w:ind w:firstLine="709"/>
        <w:jc w:val="both"/>
      </w:pPr>
      <w:r>
        <w:rPr>
          <w:b/>
          <w:i w:val="0"/>
          <w:color w:val="C9781E"/>
        </w:rPr>
        <w:t xml:space="preserve">Risco de manutenção. </w:t>
      </w:r>
      <w:r>
        <w:rPr>
          <w:b w:val="0"/>
          <w:i w:val="0"/>
        </w:rPr>
        <w:t>Gasto desnecessário, com possível desperdício, se os quantitativos excederem a necessidade real.</w:t>
      </w:r>
    </w:p>
    <w:p>
      <w:pPr>
        <w:spacing w:before="0" w:after="120" w:line="360" w:lineRule="auto"/>
        <w:ind w:firstLine="709"/>
        <w:jc w:val="both"/>
      </w:pPr>
      <w:r>
        <w:rPr>
          <w:b/>
          <w:i w:val="0"/>
          <w:color w:val="12324A"/>
        </w:rPr>
        <w:t xml:space="preserve">Providência recomendada. </w:t>
      </w:r>
      <w:r>
        <w:rPr>
          <w:b w:val="0"/>
          <w:i w:val="0"/>
        </w:rPr>
        <w:t>Anexar ao processo a memória de cálculo (consumo histórico de impressões por setor, relação de equipamento por servidor, ocupação prevista) e justificar a proporção de equipamentos e o uso de cor. Para a execução da ata, só solicitar a quantidade efetivamente necessária.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3.13 Descrição da solução considerando o ciclo de vida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Termo de Referência, Itens 3.10 e 3.14, [página 5]</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invoca o Custo Total de Propriedade e lista vantagens do outsourcing (escala, ausência de imobilização, atualização tecnológica). A análise é qualitativa: não há comparativo numérico entre locação com serviços e aquisição, nem custos de ciclo de vida (manutenção, reposição, suprimentos, descarte). Não há previsão do destino dos equipamentos e da higienização de dados ao fim do contrato (devolução, formatação, logística reversa, LGPD). O item 11.6 cuida apenas do descarte de peças substituídas.</w:t>
      </w:r>
    </w:p>
    <w:p>
      <w:pPr>
        <w:spacing w:before="0" w:after="120" w:line="360" w:lineRule="auto"/>
        <w:ind w:firstLine="709"/>
        <w:jc w:val="both"/>
      </w:pPr>
      <w:r>
        <w:rPr>
          <w:b w:val="0"/>
          <w:i w:val="0"/>
        </w:rPr>
        <w:t>O documento dispõe: “vantajosidade fundamenta-se no conceito de Custo Total de Propriedade (Total Cost of Ownership —” (Itens 3.10 e 3.14, [página 5]).</w:t>
      </w:r>
    </w:p>
    <w:p>
      <w:pPr>
        <w:spacing w:before="0" w:after="80" w:line="360" w:lineRule="auto"/>
        <w:ind w:firstLine="709"/>
        <w:jc w:val="both"/>
      </w:pPr>
      <w:r>
        <w:rPr>
          <w:b/>
          <w:i w:val="0"/>
          <w:color w:val="12324A"/>
        </w:rPr>
        <w:t xml:space="preserve">Dispositivo aplicável. </w:t>
      </w:r>
      <w:r>
        <w:rPr>
          <w:b w:val="0"/>
          <w:i w:val="0"/>
        </w:rPr>
        <w:t>A matéria é disciplinada pelo art. 6, inciso XXIII, alínea c, da Lei 14.133/2021, que assim dispõe:</w:t>
      </w:r>
    </w:p>
    <w:p>
      <w:pPr>
        <w:spacing w:before="80" w:after="200" w:line="240" w:lineRule="auto"/>
        <w:ind w:firstLine="0" w:left="2268"/>
        <w:jc w:val="both"/>
      </w:pPr>
      <w:r>
        <w:rPr>
          <w:b w:val="0"/>
          <w:i w:val="0"/>
          <w:sz w:val="20"/>
        </w:rPr>
        <w:t>termo de referência: documento necessário para a contratação de bens e serviços, que deve conter os seguintes parâmetros e elementos descritivos: […] descrição da solução como um todo, considerado todo o ciclo de vida do objeto;</w:t>
      </w:r>
      <w:r>
        <w:rPr>
          <w:b w:val="0"/>
          <w:i w:val="0"/>
          <w:sz w:val="20"/>
        </w:rPr>
        <w:t xml:space="preserve"> (BRASIL, 2021, art. 6, inciso XXIII, alínea c)</w:t>
      </w:r>
    </w:p>
    <w:p>
      <w:pPr>
        <w:spacing w:before="0" w:after="120" w:line="360" w:lineRule="auto"/>
        <w:ind w:firstLine="709"/>
        <w:jc w:val="both"/>
      </w:pPr>
      <w:r>
        <w:rPr>
          <w:b/>
          <w:i w:val="0"/>
          <w:color w:val="12324A"/>
        </w:rPr>
        <w:t xml:space="preserve">Análise. </w:t>
      </w:r>
      <w:r>
        <w:rPr>
          <w:b w:val="0"/>
          <w:i w:val="0"/>
        </w:rPr>
        <w:t>O art. 6º, XXIII, 'c', exige a descrição da solução como um todo, considerado todo o ciclo de vida do objeto. O próprio TR cita a Nota Técnica do TCE-RJ, que pede estudos comparativos, mas não os traz.</w:t>
      </w:r>
    </w:p>
    <w:p>
      <w:pPr>
        <w:spacing w:before="0" w:after="120" w:line="360" w:lineRule="auto"/>
        <w:ind w:firstLine="709"/>
        <w:jc w:val="both"/>
      </w:pPr>
      <w:r>
        <w:rPr>
          <w:b/>
          <w:i w:val="0"/>
          <w:color w:val="3D8FA6"/>
        </w:rPr>
        <w:t xml:space="preserve">Risco de manutenção. </w:t>
      </w:r>
      <w:r>
        <w:rPr>
          <w:b w:val="0"/>
          <w:i w:val="0"/>
        </w:rPr>
        <w:t>Decisão pela locação sem demonstração numérica de vantajosidade e risco de vazamento de dados no encerramento.</w:t>
      </w:r>
    </w:p>
    <w:p>
      <w:pPr>
        <w:spacing w:before="0" w:after="120" w:line="360" w:lineRule="auto"/>
        <w:ind w:firstLine="709"/>
        <w:jc w:val="both"/>
      </w:pPr>
      <w:r>
        <w:rPr>
          <w:b/>
          <w:i w:val="0"/>
          <w:color w:val="12324A"/>
        </w:rPr>
        <w:t xml:space="preserve">Providência recomendada. </w:t>
      </w:r>
      <w:r>
        <w:rPr>
          <w:b w:val="0"/>
          <w:i w:val="0"/>
        </w:rPr>
        <w:t>Anexar ao processo (ETP) o comparativo quantitativo de TCO entre locação/outsourcing e aquisição. Prever, na ata/contrato, as obrigações de fim de vigência (retirada dos equipamentos, sanitização de dados, destinação ambientalmente adequada).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Ao término da vigência, a CONTRATADA retirará os equipamentos, devendo apagar de forma segura (sanitização) todos os dados das unidades de armazenamento, emitindo certificado, e dar destinação ambientalmente adequada aos resíduos, nos termos da legislação aplicável.</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No estudo técnico preliminar de licitação para locação de veículos, deve ser realizada análise do custo-benefício da opção de locação em comparação com a de aquisição, bem como exame do custo do ciclo de vida do objeto e avaliação das alternativas tecnológicas possíveis (como estudo comparativo entre veículos a combustão e híbridos), em cumprimento ao disposto no art. 11, inciso I, da Lei 14.133/2021.</w:t>
      </w:r>
      <w:r>
        <w:rPr>
          <w:b w:val="0"/>
          <w:i w:val="0"/>
          <w:sz w:val="20"/>
        </w:rPr>
        <w:t xml:space="preserve"> (TCU, Acórdão 2450/2025-Plenário)</w:t>
      </w:r>
      <w:r>
        <w:rPr>
          <w:b w:val="0"/>
          <w:i w:val="0"/>
          <w:sz w:val="20"/>
        </w:rPr>
        <w:t xml:space="preserve"> </w:t>
      </w:r>
      <w:hyperlink r:id="rId16">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3.14 Inconsistência sobre vigência e prorrogação (arts. 84, 106 e 107)</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Termo de Referência, Itens 1.4, 1.4.1 e 3.3, [página 2] e [página 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item 1.4.1 fixa vigência de 12 meses e o item 3.3 afirma que a lei 'permite vigência inicial de até cinco anos e prorrogação sucessiva até o limite máximo de 10 anos (art. 106, § 2º)'. O item 1.4 diz que o prazo de 12 meses atende ao art. 106, § 2º, 'justificando a vigência mais longa', embora 12 meses seja prazo curto. A ata tem vigência de 12 meses, prorrogável por igual período (1.4.1.2 e 14.3).</w:t>
      </w:r>
    </w:p>
    <w:p>
      <w:pPr>
        <w:spacing w:before="0" w:after="120" w:line="360" w:lineRule="auto"/>
        <w:ind w:firstLine="709"/>
        <w:jc w:val="both"/>
      </w:pPr>
      <w:r>
        <w:rPr>
          <w:b w:val="0"/>
          <w:i w:val="0"/>
        </w:rPr>
        <w:t>O documento dispõe: “3.3. Contratos de 12 (doze) meses para serviços e fornecimentos contínuos podem ser prorrogados” (Itens 1.4, 1.4.1 e 3.3, [página 2] e [página 3]).</w:t>
      </w:r>
    </w:p>
    <w:p>
      <w:pPr>
        <w:spacing w:before="0" w:after="80" w:line="360" w:lineRule="auto"/>
        <w:ind w:firstLine="709"/>
        <w:jc w:val="both"/>
      </w:pPr>
      <w:r>
        <w:rPr>
          <w:b/>
          <w:i w:val="0"/>
          <w:color w:val="12324A"/>
        </w:rPr>
        <w:t xml:space="preserve">Dispositivo aplicável. </w:t>
      </w:r>
      <w:r>
        <w:rPr>
          <w:b w:val="0"/>
          <w:i w:val="0"/>
        </w:rPr>
        <w:t>A matéria é disciplinada pelo art. 106, pelo art. 107 e pelo art. 84, da Lei 14.133/2021, que assim dispõem:</w:t>
      </w:r>
    </w:p>
    <w:p>
      <w:pPr>
        <w:spacing w:before="80" w:after="200" w:line="240" w:lineRule="auto"/>
        <w:ind w:firstLine="0" w:left="2268"/>
        <w:jc w:val="both"/>
      </w:pPr>
      <w:r>
        <w:rPr>
          <w:b w:val="0"/>
          <w:i w:val="0"/>
          <w:sz w:val="20"/>
        </w:rPr>
        <w:t>A Administração poderá celebrar contratos com prazo de até 5 (cinco) anos nas hipóteses de serviços e fornecimentos contínuos, observadas as seguintes diretrizes: […]</w:t>
      </w:r>
      <w:r>
        <w:rPr>
          <w:b w:val="0"/>
          <w:i w:val="0"/>
          <w:sz w:val="20"/>
        </w:rPr>
        <w:t xml:space="preserve"> (BRASIL, 2021, art. 106)</w:t>
      </w:r>
    </w:p>
    <w:p>
      <w:pPr>
        <w:spacing w:before="80" w:after="200" w:line="240" w:lineRule="auto"/>
        <w:ind w:firstLine="0" w:left="2268"/>
        <w:jc w:val="both"/>
      </w:pPr>
      <w:r>
        <w:rPr>
          <w:b w:val="0"/>
          <w:i w:val="0"/>
          <w:sz w:val="20"/>
        </w:rPr>
        <w:t>Os contratos de serviços e fornecimentos contínuos poderão ser prorrogados sucessivamente, respeitada a vigência máxima decenal, desde que haja previsão em edital e que a autoridade competente ateste que as condições e os preços permanecem vantajosos para a Administração, permitida a negociação com o contratado ou a extinção contratual sem ônus para qualquer das partes.</w:t>
      </w:r>
      <w:r>
        <w:rPr>
          <w:b w:val="0"/>
          <w:i w:val="0"/>
          <w:sz w:val="20"/>
        </w:rPr>
        <w:t xml:space="preserve"> (BRASIL, 2021, art. 107)</w:t>
      </w:r>
    </w:p>
    <w:p>
      <w:pPr>
        <w:spacing w:before="80" w:after="200" w:line="240" w:lineRule="auto"/>
        <w:ind w:firstLine="0" w:left="2268"/>
        <w:jc w:val="both"/>
      </w:pPr>
      <w:r>
        <w:rPr>
          <w:b w:val="0"/>
          <w:i w:val="0"/>
          <w:sz w:val="20"/>
        </w:rPr>
        <w:t>O prazo de vigência da ata de registro de preços será de 1 (um) ano e poderá ser prorrogado, por igual período, desde que comprovado o preço vantajoso.</w:t>
      </w:r>
      <w:r>
        <w:rPr>
          <w:b w:val="0"/>
          <w:i w:val="0"/>
          <w:sz w:val="20"/>
        </w:rPr>
        <w:t xml:space="preserve"> (BRASIL, 2021, art. 84)</w:t>
      </w:r>
    </w:p>
    <w:p>
      <w:pPr>
        <w:spacing w:before="0" w:after="120" w:line="360" w:lineRule="auto"/>
        <w:ind w:firstLine="709"/>
        <w:jc w:val="both"/>
      </w:pPr>
      <w:r>
        <w:rPr>
          <w:b/>
          <w:i w:val="0"/>
          <w:color w:val="12324A"/>
        </w:rPr>
        <w:t xml:space="preserve">Análise. </w:t>
      </w:r>
      <w:r>
        <w:rPr>
          <w:b w:val="0"/>
          <w:i w:val="0"/>
        </w:rPr>
        <w:t>A confusão entre o prazo inicial do contrato, o limite de prorrogação e a vigência da ata cria dúvida sobre o prazo a ser fixado e sobre a base legal da prorrogação.</w:t>
      </w:r>
    </w:p>
    <w:p>
      <w:pPr>
        <w:spacing w:before="0" w:after="120" w:line="360" w:lineRule="auto"/>
        <w:ind w:firstLine="709"/>
        <w:jc w:val="both"/>
      </w:pPr>
      <w:r>
        <w:rPr>
          <w:b/>
          <w:i w:val="0"/>
          <w:color w:val="3D8FA6"/>
        </w:rPr>
        <w:t xml:space="preserve">Risco de manutenção. </w:t>
      </w:r>
      <w:r>
        <w:rPr>
          <w:b w:val="0"/>
          <w:i w:val="0"/>
        </w:rPr>
        <w:t>Prorrogação sem base clara e questionamentos sobre o prazo total.</w:t>
      </w:r>
    </w:p>
    <w:p>
      <w:pPr>
        <w:spacing w:before="0" w:after="120" w:line="360" w:lineRule="auto"/>
        <w:ind w:firstLine="709"/>
        <w:jc w:val="both"/>
      </w:pPr>
      <w:r>
        <w:rPr>
          <w:b/>
          <w:i w:val="0"/>
          <w:color w:val="12324A"/>
        </w:rPr>
        <w:t xml:space="preserve">Providência recomendada. </w:t>
      </w:r>
      <w:r>
        <w:rPr>
          <w:b w:val="0"/>
          <w:i w:val="0"/>
        </w:rPr>
        <w:t>Uniformizar o texto: contrato por 12 meses, prorrogável nos termos do art. 107 até o limite legal, mediante comprovação da vantajosidade; ata de registro de preços de 12 meses, prorrogável nos termos do art. 84. Corrigir as remissões aos dispositivos.</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3.15 Erros materiais e remanescentes de modelo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Termo de Referência, Itens 4.1, 4.4, 5.5, 9.7.1, 11.4, 11.11, 15 e 16, diversas páginas</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traz trechos de outros instrumentos ou com erro: 'frete à Contratada' (5.5); 'Edital' e 'cotação' no corpo do TR (9.2, 9.4.15, 13.3 e 16.1); 'Pregoeira'; referência à 'União' (11.4); uniformes e crachás (11.11); 'solidez e segurança do serviço' (5.9); 'EIRELI', extinta; referência ao 'Anexo VIII' inexistente (9.7.1); título da seção 4.1 sem conteúdo; 'garantia será devolvida aos licitantes do prazo de 10 dias úteis' (4.4); itens 15.3, 15.5 e 15.6 incompletos; divergência de R$ 26.500,00 e R$ 26.500,20 entre os itens 3.5 e 10.1.</w:t>
      </w:r>
    </w:p>
    <w:p>
      <w:pPr>
        <w:spacing w:before="0" w:after="120" w:line="360" w:lineRule="auto"/>
        <w:ind w:firstLine="709"/>
        <w:jc w:val="both"/>
      </w:pPr>
      <w:r>
        <w:rPr>
          <w:b w:val="0"/>
          <w:i w:val="0"/>
        </w:rPr>
        <w:t>O documento dispõe: “5.5. A carga e descarga serão custeadas pela contratada, sem ônus de frete à Contratada.” (Itens 4.1, 4.4, 5.5, 9.7.1, 11.4, 11.11, 15 e 16, diversas páginas).</w:t>
      </w:r>
    </w:p>
    <w:p>
      <w:pPr>
        <w:spacing w:before="0" w:after="80" w:line="360" w:lineRule="auto"/>
        <w:ind w:firstLine="709"/>
        <w:jc w:val="both"/>
      </w:pPr>
      <w:r>
        <w:rPr>
          <w:b/>
          <w:i w:val="0"/>
          <w:color w:val="12324A"/>
        </w:rPr>
        <w:t xml:space="preserve">Dispositivo aplicável. </w:t>
      </w:r>
      <w:r>
        <w:rPr>
          <w:b w:val="0"/>
          <w:i w:val="0"/>
        </w:rPr>
        <w:t>Não há dispositivo legal específico; o apontamento decorre da coerência e da boa instrução do processo.</w:t>
      </w:r>
    </w:p>
    <w:p>
      <w:pPr>
        <w:spacing w:before="0" w:after="120" w:line="360" w:lineRule="auto"/>
        <w:ind w:firstLine="709"/>
        <w:jc w:val="both"/>
      </w:pPr>
      <w:r>
        <w:rPr>
          <w:b/>
          <w:i w:val="0"/>
          <w:color w:val="12324A"/>
        </w:rPr>
        <w:t xml:space="preserve">Análise. </w:t>
      </w:r>
      <w:r>
        <w:rPr>
          <w:b w:val="0"/>
          <w:i w:val="0"/>
        </w:rPr>
        <w:t>Erros e textos de modelo geram dúvidas de interpretação, ambiguidade nas obrigações e risco de discussão na execução.</w:t>
      </w:r>
    </w:p>
    <w:p>
      <w:pPr>
        <w:spacing w:before="0" w:after="120" w:line="360" w:lineRule="auto"/>
        <w:ind w:firstLine="709"/>
        <w:jc w:val="both"/>
      </w:pPr>
      <w:r>
        <w:rPr>
          <w:b/>
          <w:i w:val="0"/>
          <w:color w:val="3D8FA6"/>
        </w:rPr>
        <w:t xml:space="preserve">Risco de manutenção. </w:t>
      </w:r>
      <w:r>
        <w:rPr>
          <w:b w:val="0"/>
          <w:i w:val="0"/>
        </w:rPr>
        <w:t>Interpretações divergentes e dificuldade de aplicar cláusulas na execução.</w:t>
      </w:r>
    </w:p>
    <w:p>
      <w:pPr>
        <w:spacing w:before="0" w:after="120" w:line="360" w:lineRule="auto"/>
        <w:ind w:firstLine="709"/>
        <w:jc w:val="both"/>
      </w:pPr>
      <w:r>
        <w:rPr>
          <w:b/>
          <w:i w:val="0"/>
          <w:color w:val="12324A"/>
        </w:rPr>
        <w:t xml:space="preserve">Providência recomendada. </w:t>
      </w:r>
      <w:r>
        <w:rPr>
          <w:b w:val="0"/>
          <w:i w:val="0"/>
        </w:rPr>
        <w:t>Revisar o TR e o contrato/ata, corrigindo as remissões, as denominações, as obrigações não pertinentes e as divergências numéricas, e republicar, se necessário, o documento saneado.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1"/>
        <w:keepNext/>
        <w:spacing w:before="360" w:after="160" w:line="360" w:lineRule="auto"/>
        <w:ind w:firstLine="0"/>
        <w:jc w:val="left"/>
      </w:pPr>
      <w:r>
        <w:rPr>
          <w:rFonts w:ascii="Arial" w:hAnsi="Arial"/>
          <w:b/>
          <w:i w:val="0"/>
          <w:color w:val="12324A"/>
          <w:sz w:val="24"/>
        </w:rPr>
        <w:t>4 ANÁLISE DE PREÇOS</w:t>
      </w:r>
    </w:p>
    <w:p>
      <w:pPr>
        <w:spacing w:before="0" w:after="120" w:line="360" w:lineRule="auto"/>
        <w:ind w:firstLine="709"/>
        <w:jc w:val="both"/>
      </w:pPr>
      <w:r>
        <w:rPr>
          <w:b w:val="0"/>
          <w:i w:val="0"/>
        </w:rPr>
        <w:t>O orçamento estimado foi confrontado com preços de contratações similares publicadas no Portal Nacional de Contratações Públicas (PNCP), conforme o parâmetro do art. 23, § 1º, II, da Lei nº 14.133/2021. Critérios adotados: objeto equivalente (descrição compatível e mesma unidade de medida); contratações homologadas nos 365 dias anteriores a 29/10/2026; órgãos e entidades localizados no estado (RJ); contratações regidas pela Lei nº 14.133/2021; preço de comparação igual ao valor unitário homologado. Calcula-se a mediana de, no mínimo, 3 preços, após o descarte de valores extremos pelo intervalo interquartil. Considera-se indício de sobrepreço o valor estimado superior à mediana em mais de 25%, e ponto de atenção o excesso entre 10% e 25%.</w:t>
      </w:r>
    </w:p>
    <w:p>
      <w:pPr>
        <w:spacing w:before="0" w:after="120" w:line="360" w:lineRule="auto"/>
        <w:ind w:firstLine="709"/>
        <w:jc w:val="both"/>
      </w:pPr>
      <w:r>
        <w:rPr>
          <w:b w:val="0"/>
          <w:i w:val="0"/>
        </w:rPr>
        <w:t>Foram analisados 2 dos 2 itens do orçamento, que representam 100% do valor estimado. Não foi identificado indício de sobrepreço nos itens com amostra suficiente.</w:t>
      </w:r>
    </w:p>
    <w:tbl>
      <w:tblPr>
        <w:tblW w:type="auto" w:w="0"/>
        <w:jc w:val="center"/>
        <w:tblLook w:firstColumn="1" w:firstRow="1" w:lastColumn="0" w:lastRow="0" w:noHBand="0" w:noVBand="1" w:val="04A0"/>
        <w:tblLayout w:type="fixed"/>
      </w:tblPr>
      <w:tblGrid>
        <w:gridCol w:w="567"/>
        <w:gridCol w:w="3515"/>
        <w:gridCol w:w="1360"/>
        <w:gridCol w:w="1360"/>
        <w:gridCol w:w="793"/>
        <w:gridCol w:w="1474"/>
      </w:tblGrid>
      <w:tr>
        <w:tc>
          <w:tcPr>
            <w:tcW w:type="dxa" w:w="567"/>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ITEM</w:t>
            </w:r>
          </w:p>
        </w:tc>
        <w:tc>
          <w:tcPr>
            <w:tcW w:type="dxa" w:w="3515"/>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DESCRIÇÃO</w:t>
            </w:r>
          </w:p>
        </w:tc>
        <w:tc>
          <w:tcPr>
            <w:tcW w:type="dxa" w:w="1361"/>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ESTIMADO</w:t>
            </w:r>
          </w:p>
        </w:tc>
        <w:tc>
          <w:tcPr>
            <w:tcW w:type="dxa" w:w="1361"/>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MEDIANA</w:t>
            </w:r>
          </w:p>
        </w:tc>
        <w:tc>
          <w:tcPr>
            <w:tcW w:type="dxa" w:w="794"/>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DESVIO</w:t>
            </w:r>
          </w:p>
        </w:tc>
        <w:tc>
          <w:tcPr>
            <w:tcW w:type="dxa" w:w="1474"/>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SITUAÇÃO</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1</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All in One</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R$ 800,46</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i w:val="0"/>
                <w:color w:val="B8C2C8"/>
                <w:sz w:val="16"/>
              </w:rPr>
              <w:t>Amostra insuficiente (0)</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2</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Desktop completo</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R$ 430,12</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i w:val="0"/>
                <w:color w:val="B8C2C8"/>
                <w:sz w:val="16"/>
              </w:rPr>
              <w:t>Amostra insuficiente (0)</w:t>
            </w:r>
          </w:p>
        </w:tc>
      </w:tr>
    </w:tbl>
    <w:p>
      <w:pPr>
        <w:spacing w:before="80" w:after="160" w:line="360" w:lineRule="auto"/>
        <w:ind w:firstLine="0"/>
        <w:jc w:val="both"/>
      </w:pPr>
      <w:r>
        <w:rPr>
          <w:b w:val="0"/>
          <w:i/>
          <w:color w:val="66757F"/>
          <w:sz w:val="17"/>
        </w:rPr>
        <w:t>Entre parênteses, o número de preços comparáveis encontrados. Amostra insuficiente (menos de três preços) ou heterogênea (coeficiente de variação acima de 0,5, o que sugere especificações diferentes) não permite concluir sobre sobrepreço.</w:t>
      </w:r>
    </w:p>
    <w:p>
      <w:pPr>
        <w:spacing w:before="120" w:after="120" w:line="360" w:lineRule="auto"/>
        <w:ind w:firstLine="0"/>
        <w:jc w:val="both"/>
      </w:pPr>
      <w:r>
        <w:rPr>
          <w:b w:val="0"/>
          <w:i/>
          <w:color w:val="66757F"/>
          <w:sz w:val="17"/>
        </w:rPr>
        <w:t>A análise de preços é indicativa e calculada por programa a partir de dados públicos do PNCP; a comparação depende da equivalência das especificações e não substitui a pesquisa de preços do processo (art. 23 da Lei nº 14.133/2021).</w:t>
      </w:r>
    </w:p>
    <w:p>
      <w:pPr>
        <w:pStyle w:val="Heading1"/>
        <w:keepNext/>
        <w:spacing w:before="360" w:after="160" w:line="360" w:lineRule="auto"/>
        <w:ind w:firstLine="0"/>
        <w:jc w:val="left"/>
      </w:pPr>
      <w:r>
        <w:rPr>
          <w:rFonts w:ascii="Arial" w:hAnsi="Arial"/>
          <w:b/>
          <w:i w:val="0"/>
          <w:color w:val="12324A"/>
          <w:sz w:val="24"/>
        </w:rPr>
        <w:t>5 RECOMENDAÇÕES DE MELHORIA</w:t>
      </w:r>
    </w:p>
    <w:p>
      <w:pPr>
        <w:spacing w:before="0" w:after="120" w:line="360" w:lineRule="auto"/>
        <w:ind w:firstLine="709"/>
        <w:jc w:val="both"/>
      </w:pPr>
      <w:r>
        <w:rPr>
          <w:b w:val="0"/>
          <w:i w:val="0"/>
        </w:rPr>
        <w:t>Os pontos a seguir não configuram irregularidade, mas podem ser aperfeiçoados para dar mais segurança ao processo:</w:t>
      </w:r>
    </w:p>
    <w:p>
      <w:pPr>
        <w:spacing w:before="0" w:after="120" w:line="360" w:lineRule="auto"/>
        <w:ind w:left="425" w:hanging="425"/>
        <w:jc w:val="both"/>
      </w:pPr>
      <w:r>
        <w:rPr>
          <w:b/>
          <w:i w:val="0"/>
          <w:color w:val="1F7A8C"/>
        </w:rPr>
        <w:t xml:space="preserve">a) </w:t>
      </w:r>
      <w:r>
        <w:rPr>
          <w:b/>
          <w:i w:val="0"/>
        </w:rPr>
        <w:t xml:space="preserve">Fundamentação com referência ao ETP: </w:t>
      </w:r>
      <w:r>
        <w:rPr>
          <w:b w:val="0"/>
          <w:i w:val="0"/>
        </w:rPr>
        <w:t>Identificar o ETP por número e data de aprovação, para rastreabilidade. Cuidar para que o TR não contenha dados que contradigam o ETP, como a vantajosidade e a pesquisa de preços reproduzidas em duplicidade (3.4 e 10.1). O ETP não foi enviado para conferência. (art. 6, inciso XXIII, alínea b, da Lei 14.133/2021).</w:t>
      </w:r>
    </w:p>
    <w:p>
      <w:pPr>
        <w:spacing w:before="0" w:after="120" w:line="360" w:lineRule="auto"/>
        <w:ind w:left="425" w:hanging="425"/>
        <w:jc w:val="both"/>
      </w:pPr>
      <w:r>
        <w:rPr>
          <w:b/>
          <w:i w:val="0"/>
          <w:color w:val="1F7A8C"/>
        </w:rPr>
        <w:t xml:space="preserve">b) </w:t>
      </w:r>
      <w:r>
        <w:rPr>
          <w:b/>
          <w:i w:val="0"/>
        </w:rPr>
        <w:t xml:space="preserve">Adequação orçamentária: </w:t>
      </w:r>
      <w:r>
        <w:rPr>
          <w:b w:val="0"/>
          <w:i w:val="0"/>
        </w:rPr>
        <w:t>Informar o exercício da dotação e o saldo reservado. Como a vigência de 12 meses e a prorrogação ultrapassam o exercício, registrar a previsão de recursos no exercício seguinte (art. 105) no ato de contratação. Em registro de preços, a indicação dos créditos deve constar no momento de cada contratação. (art. 6, inciso XXIII, alínea j, da Lei 14.133/2021; art. 150, da Lei 14.133/2021).</w:t>
      </w:r>
    </w:p>
    <w:p>
      <w:pPr>
        <w:spacing w:before="0" w:after="120" w:line="360" w:lineRule="auto"/>
        <w:ind w:left="425" w:hanging="425"/>
        <w:jc w:val="both"/>
      </w:pPr>
      <w:r>
        <w:rPr>
          <w:b/>
          <w:i w:val="0"/>
          <w:color w:val="1F7A8C"/>
        </w:rPr>
        <w:t xml:space="preserve">c) </w:t>
      </w:r>
      <w:r>
        <w:rPr>
          <w:b/>
          <w:i w:val="0"/>
        </w:rPr>
        <w:t xml:space="preserve">Vistoria prévia substituível por declaração: </w:t>
      </w:r>
      <w:r>
        <w:rPr>
          <w:b w:val="0"/>
          <w:i w:val="0"/>
        </w:rPr>
        <w:t>Explicitar que a licitante pode apresentar, em lugar da declaração de vistoria, declaração formal assinada pelo responsável técnico de que conhece as condições, e informar o procedimento de agendamento, se a vistoria for ofertada. (art. 63, § 2º, da Lei 14.133/2021; art. 63, § 3º, da Lei 14.133/2021).</w:t>
      </w:r>
    </w:p>
    <w:p>
      <w:pPr>
        <w:pStyle w:val="Heading1"/>
        <w:keepNext/>
        <w:spacing w:before="360" w:after="160" w:line="360" w:lineRule="auto"/>
        <w:ind w:firstLine="0"/>
        <w:jc w:val="left"/>
      </w:pPr>
      <w:r>
        <w:rPr>
          <w:rFonts w:ascii="Arial" w:hAnsi="Arial"/>
          <w:b/>
          <w:i w:val="0"/>
          <w:color w:val="12324A"/>
          <w:sz w:val="24"/>
        </w:rPr>
        <w:t>6 CONCLUSÃO</w:t>
      </w:r>
    </w:p>
    <w:p>
      <w:pPr>
        <w:spacing w:before="0" w:after="120" w:line="360" w:lineRule="auto"/>
        <w:ind w:firstLine="709"/>
        <w:jc w:val="both"/>
      </w:pPr>
      <w:r>
        <w:rPr>
          <w:b w:val="0"/>
          <w:i w:val="0"/>
        </w:rPr>
        <w:t>O TR cumpre formalmente a maior parte dos elementos do art. 6º, XXIII, mas exige ajustes. Como o certame já foi homologado, as providências se dirigem à ata e ao contrato, à fiscalização da execução e aos próximos certames. Recomenda-se: (a) sanear, em contrato ou termo de ajuste, as lacunas sobre especificações técnicas, SLA, reajuste, medição das impressões e prazos de recebimento; (b) arquivar no processo as memórias da pesquisa de preços, com fontes, datas e CNAE dos cotantes, e confrontar a estimativa com o valor homologado, 19,8% inferior; (c) revisar as exigências de habilitação (justificativa de índices e atestados, certidões sem previsão legal, autenticação de cópias) e as sanções de multa; (d) revisar a justificativa de lote único em novos registros de preços, com comparativo quantitativo; (e) corrigir os erros materiais e o texto herdado de modelo. As conclusões sobre o ETP e sobre a pesquisa de preços dependem dos anexos, que não foram enviados. Este parecer é opinativo; a decisão de corrigir ou manter cada ponto cabe à autoridade competente.</w:t>
      </w:r>
    </w:p>
    <w:p>
      <w:pPr>
        <w:spacing w:before="0" w:after="80" w:line="360" w:lineRule="auto"/>
        <w:ind w:firstLine="709"/>
        <w:jc w:val="both"/>
      </w:pPr>
      <w:r>
        <w:rPr>
          <w:b w:val="0"/>
          <w:i w:val="0"/>
        </w:rPr>
        <w:t>Recomendam-se, por ordem de prioridade, as seguintes providências:</w:t>
      </w:r>
    </w:p>
    <w:p>
      <w:pPr>
        <w:spacing w:before="0" w:after="80" w:line="360" w:lineRule="auto"/>
        <w:ind w:left="425" w:hanging="425"/>
        <w:jc w:val="both"/>
      </w:pPr>
      <w:r>
        <w:rPr>
          <w:b/>
          <w:i w:val="0"/>
          <w:color w:val="B23A48"/>
        </w:rPr>
        <w:t xml:space="preserve">1. </w:t>
      </w:r>
      <w:r>
        <w:rPr>
          <w:b/>
          <w:i w:val="0"/>
        </w:rPr>
        <w:t xml:space="preserve">Forma e critérios de seleção do fornecedor </w:t>
      </w:r>
      <w:r>
        <w:rPr>
          <w:b w:val="0"/>
          <w:i w:val="0"/>
          <w:color w:val="B23A48"/>
        </w:rPr>
        <w:t xml:space="preserve">(gravidade alta, item 3.1): </w:t>
      </w:r>
      <w:r>
        <w:rPr>
          <w:b w:val="0"/>
          <w:i w:val="0"/>
        </w:rPr>
        <w:t>Em novos certames, motivar os índices e o patrimônio líquido com base nos riscos da contratação. Quanto aos atestados, indicar as parcelas de maior relevância (por exemplo, outsourcing de computadores e de impressoras), tornar claro se o percentual é obrigatório, a que quantitativo se refere e justificar o prazo mínimo de 6 meses, evitando limitação de tempo. Compatibilizar a exigência contábil com os dois últimos exercícios sociais, quando for o caso. Para o certame homologado, registrar a análise de que as exigências não restringiram a participação (número de licitantes e inabilitações).</w:t>
      </w:r>
    </w:p>
    <w:p>
      <w:pPr>
        <w:spacing w:before="0" w:after="80" w:line="360" w:lineRule="auto"/>
        <w:ind w:left="425" w:hanging="425"/>
        <w:jc w:val="both"/>
      </w:pPr>
      <w:r>
        <w:rPr>
          <w:b/>
          <w:i w:val="0"/>
          <w:color w:val="B23A48"/>
        </w:rPr>
        <w:t xml:space="preserve">2. </w:t>
      </w:r>
      <w:r>
        <w:rPr>
          <w:b/>
          <w:i w:val="0"/>
        </w:rPr>
        <w:t xml:space="preserve">Estimativa de valor com parâmetros </w:t>
      </w:r>
      <w:r>
        <w:rPr>
          <w:b w:val="0"/>
          <w:i w:val="0"/>
          <w:color w:val="B23A48"/>
        </w:rPr>
        <w:t xml:space="preserve">(gravidade alta, item 3.2): </w:t>
      </w:r>
      <w:r>
        <w:rPr>
          <w:b w:val="0"/>
          <w:i w:val="0"/>
        </w:rPr>
        <w:t>Juntar ao processo a documentação completa da pesquisa (propostas com data e CNAE, relatório do Banco de Preços com fontes, datas e critérios de exclusão, memória de cálculo). Incluir outras fontes do art. 23, § 1º (contratações similares de outros órgãos, base de notas fiscais). Justificar a adoção do valor do Banco de Preços. Corrigir as divergências numéricas. Em execução, usar o valor homologado como referência para eventuais prorrogações e para os próximos registros de preços, aferindo a vantajosidade (art. 84).</w:t>
      </w:r>
    </w:p>
    <w:p>
      <w:pPr>
        <w:spacing w:before="0" w:after="80" w:line="360" w:lineRule="auto"/>
        <w:ind w:left="425" w:hanging="425"/>
        <w:jc w:val="both"/>
      </w:pPr>
      <w:r>
        <w:rPr>
          <w:b/>
          <w:i w:val="0"/>
          <w:color w:val="B23A48"/>
        </w:rPr>
        <w:t xml:space="preserve">3. </w:t>
      </w:r>
      <w:r>
        <w:rPr>
          <w:b/>
          <w:i w:val="0"/>
        </w:rPr>
        <w:t xml:space="preserve">Lote único e menor preço global em registro de preços, com justificativa de não parcelamento pouco conclusiva </w:t>
      </w:r>
      <w:r>
        <w:rPr>
          <w:b w:val="0"/>
          <w:i w:val="0"/>
          <w:color w:val="B23A48"/>
        </w:rPr>
        <w:t xml:space="preserve">(gravidade alta, item 3.3): </w:t>
      </w:r>
      <w:r>
        <w:rPr>
          <w:b w:val="0"/>
          <w:i w:val="0"/>
        </w:rPr>
        <w:t>Para a execução da ata, documentar o resultado da disputa (número de licitantes, descontos por item) para demonstrar a ausência de prejuízo. Nos próximos registros de preços, avaliar o parcelamento (ao menos separar computadores, impressoras e serviço de impressão) ou apresentar comparativo numérico com propostas por item, e explicar como a ata permitirá contratação parcial.</w:t>
      </w:r>
    </w:p>
    <w:p>
      <w:pPr>
        <w:spacing w:before="0" w:after="80" w:line="360" w:lineRule="auto"/>
        <w:ind w:left="425" w:hanging="425"/>
        <w:jc w:val="both"/>
      </w:pPr>
      <w:r>
        <w:rPr>
          <w:b/>
          <w:i w:val="0"/>
          <w:color w:val="C9781E"/>
        </w:rPr>
        <w:t xml:space="preserve">4. </w:t>
      </w:r>
      <w:r>
        <w:rPr>
          <w:b/>
          <w:i w:val="0"/>
        </w:rPr>
        <w:t xml:space="preserve">Definição do objeto </w:t>
      </w:r>
      <w:r>
        <w:rPr>
          <w:b w:val="0"/>
          <w:i w:val="0"/>
          <w:color w:val="C9781E"/>
        </w:rPr>
        <w:t xml:space="preserve">(gravidade média, item 3.4): </w:t>
      </w:r>
      <w:r>
        <w:rPr>
          <w:b w:val="0"/>
          <w:i w:val="0"/>
        </w:rPr>
        <w:t>Esclarecer a unidade e a origem da cota de impressão (franquia por equipamento ou global; tratamento de excedentes). Uniformizar a denominação do objeto (locação de equipamentos com serviços). Esclarecer a vigência contratual (12 meses, prorrogáveis) e corrigir o item 3.3.</w:t>
      </w:r>
    </w:p>
    <w:p>
      <w:pPr>
        <w:spacing w:before="0" w:after="80" w:line="360" w:lineRule="auto"/>
        <w:ind w:left="425" w:hanging="425"/>
        <w:jc w:val="both"/>
      </w:pPr>
      <w:r>
        <w:rPr>
          <w:b/>
          <w:i w:val="0"/>
          <w:color w:val="C9781E"/>
        </w:rPr>
        <w:t xml:space="preserve">5. </w:t>
      </w:r>
      <w:r>
        <w:rPr>
          <w:b/>
          <w:i w:val="0"/>
        </w:rPr>
        <w:t xml:space="preserve">Requisitos da contratação </w:t>
      </w:r>
      <w:r>
        <w:rPr>
          <w:b w:val="0"/>
          <w:i w:val="0"/>
          <w:color w:val="C9781E"/>
        </w:rPr>
        <w:t xml:space="preserve">(gravidade média, item 3.5): </w:t>
      </w:r>
      <w:r>
        <w:rPr>
          <w:b w:val="0"/>
          <w:i w:val="0"/>
        </w:rPr>
        <w:t>Transcrever no TR (ou anexo vinculado) as especificações mínimas e os índices Passmark, e explicitar os critérios de sustentabilidade. Motivar tecnicamente a vedação de subcontratação, ou admiti-la para a assistência técnica autorizada. Retirar do TR as obrigações não pertinentes ao objeto. Esclarecer a exigência de que o Passmark tenha 'data de emissão a partir da data da primeira solicitação de proposta'.</w:t>
      </w:r>
    </w:p>
    <w:p>
      <w:pPr>
        <w:spacing w:before="0" w:after="80" w:line="360" w:lineRule="auto"/>
        <w:ind w:left="425" w:hanging="425"/>
        <w:jc w:val="both"/>
      </w:pPr>
      <w:r>
        <w:rPr>
          <w:b/>
          <w:i w:val="0"/>
          <w:color w:val="C9781E"/>
        </w:rPr>
        <w:t xml:space="preserve">6. </w:t>
      </w:r>
      <w:r>
        <w:rPr>
          <w:b/>
          <w:i w:val="0"/>
        </w:rPr>
        <w:t xml:space="preserve">Modelo de execução </w:t>
      </w:r>
      <w:r>
        <w:rPr>
          <w:b w:val="0"/>
          <w:i w:val="0"/>
          <w:color w:val="C9781E"/>
        </w:rPr>
        <w:t xml:space="preserve">(gravidade média, item 3.6): </w:t>
      </w:r>
      <w:r>
        <w:rPr>
          <w:b w:val="0"/>
          <w:i w:val="0"/>
        </w:rPr>
        <w:t>Complementar o modelo de execução com cronograma de implantação, rotinas de manutenção e suporte (horários, canais, níveis de severidade e prazos), reposição de suprimentos e apuração de cópias. Padronizar os prazos de recebimento e rejeição e corrigir o item 5.5. Revisar a previsão de recebimento definitivo tácito.</w:t>
      </w:r>
    </w:p>
    <w:p>
      <w:pPr>
        <w:spacing w:before="0" w:after="80" w:line="360" w:lineRule="auto"/>
        <w:ind w:left="425" w:hanging="425"/>
        <w:jc w:val="both"/>
      </w:pPr>
      <w:r>
        <w:rPr>
          <w:b/>
          <w:i w:val="0"/>
          <w:color w:val="C9781E"/>
        </w:rPr>
        <w:t xml:space="preserve">7. </w:t>
      </w:r>
      <w:r>
        <w:rPr>
          <w:b/>
          <w:i w:val="0"/>
        </w:rPr>
        <w:t xml:space="preserve">Modelo de gestão e fiscalização </w:t>
      </w:r>
      <w:r>
        <w:rPr>
          <w:b w:val="0"/>
          <w:i w:val="0"/>
          <w:color w:val="C9781E"/>
        </w:rPr>
        <w:t xml:space="preserve">(gravidade média, item 3.7): </w:t>
      </w:r>
      <w:r>
        <w:rPr>
          <w:b w:val="0"/>
          <w:i w:val="0"/>
        </w:rPr>
        <w:t>Complementar o modelo de gestão com reunião de alinhamento inicial, relatório mensal de atendimentos e SLA, procedimento de conferência de equipamentos instalados e de cópias efetivamente produzidas, e designação formal de fiscais e substitutos com capacitação compatível. Isso deve constar do termo de designação da fiscalização.</w:t>
      </w:r>
    </w:p>
    <w:p>
      <w:pPr>
        <w:spacing w:before="0" w:after="80" w:line="360" w:lineRule="auto"/>
        <w:ind w:left="425" w:hanging="425"/>
        <w:jc w:val="both"/>
      </w:pPr>
      <w:r>
        <w:rPr>
          <w:b/>
          <w:i w:val="0"/>
          <w:color w:val="C9781E"/>
        </w:rPr>
        <w:t xml:space="preserve">8. </w:t>
      </w:r>
      <w:r>
        <w:rPr>
          <w:b/>
          <w:i w:val="0"/>
        </w:rPr>
        <w:t xml:space="preserve">Critérios de medição e pagamento </w:t>
      </w:r>
      <w:r>
        <w:rPr>
          <w:b w:val="0"/>
          <w:i w:val="0"/>
          <w:color w:val="C9781E"/>
        </w:rPr>
        <w:t xml:space="preserve">(gravidade média, item 3.8): </w:t>
      </w:r>
      <w:r>
        <w:rPr>
          <w:b w:val="0"/>
          <w:i w:val="0"/>
        </w:rPr>
        <w:t>Prever, no contrato/ata, índice de reajuste (por exemplo, IPCA) com data-base na proposta e periodicidade anual, e atualização financeira em caso de atraso. Instituir IMR/SLA com glosa. Definir a medição das cópias. Esclarecer que o julgamento é global, mas o pagamento é por valor unitário de cada item registrado. Avaliar a redução do prazo de pagamento para 30 dias corridos.</w:t>
      </w:r>
    </w:p>
    <w:p>
      <w:pPr>
        <w:spacing w:before="0" w:after="80" w:line="360" w:lineRule="auto"/>
        <w:ind w:left="425" w:hanging="425"/>
        <w:jc w:val="both"/>
      </w:pPr>
      <w:r>
        <w:rPr>
          <w:b/>
          <w:i w:val="0"/>
          <w:color w:val="C9781E"/>
        </w:rPr>
        <w:t xml:space="preserve">9. </w:t>
      </w:r>
      <w:r>
        <w:rPr>
          <w:b/>
          <w:i w:val="0"/>
        </w:rPr>
        <w:t xml:space="preserve">Compras: especificação, entrega e garantia </w:t>
      </w:r>
      <w:r>
        <w:rPr>
          <w:b w:val="0"/>
          <w:i w:val="0"/>
          <w:color w:val="C9781E"/>
        </w:rPr>
        <w:t xml:space="preserve">(gravidade média, item 3.9): </w:t>
      </w:r>
      <w:r>
        <w:rPr>
          <w:b w:val="0"/>
          <w:i w:val="0"/>
        </w:rPr>
        <w:t>Incluir ou anexar ao TR a especificação mínima de cada item e do papel. Esclarecer que a garantia e o suporte cobrem toda a vigência, inclusive prorrogações. Definir como será o atendimento aos notebooks em trabalho remoto. Justificar a exigência de suprimentos originais ou admitir equivalentes de desempenho comprovado.</w:t>
      </w:r>
    </w:p>
    <w:p>
      <w:pPr>
        <w:spacing w:before="0" w:after="80" w:line="360" w:lineRule="auto"/>
        <w:ind w:left="425" w:hanging="425"/>
        <w:jc w:val="both"/>
      </w:pPr>
      <w:r>
        <w:rPr>
          <w:b/>
          <w:i w:val="0"/>
          <w:color w:val="C9781E"/>
        </w:rPr>
        <w:t xml:space="preserve">10. </w:t>
      </w:r>
      <w:r>
        <w:rPr>
          <w:b/>
          <w:i w:val="0"/>
        </w:rPr>
        <w:t xml:space="preserve">Exigências de habilitação sem previsão legal e formalismo na apresentação de documentos </w:t>
      </w:r>
      <w:r>
        <w:rPr>
          <w:b w:val="0"/>
          <w:i w:val="0"/>
          <w:color w:val="C9781E"/>
        </w:rPr>
        <w:t xml:space="preserve">(gravidade média, item 3.10): </w:t>
      </w:r>
      <w:r>
        <w:rPr>
          <w:b w:val="0"/>
          <w:i w:val="0"/>
        </w:rPr>
        <w:t>Substituir as certidões por consulta pelo agente de contratação aos cadastros oficiais (CEIS, CNEP, CNJ, TCU) e admitir documentos digitais e cópias sem autenticação, com verificação da autenticidade. Em execução da ata, não exigir tais documentos na assinatura ou prorrogação, salvo previsão legal.</w:t>
      </w:r>
    </w:p>
    <w:p>
      <w:pPr>
        <w:spacing w:before="0" w:after="80" w:line="360" w:lineRule="auto"/>
        <w:ind w:left="425" w:hanging="425"/>
        <w:jc w:val="both"/>
      </w:pPr>
      <w:r>
        <w:rPr>
          <w:b/>
          <w:i w:val="0"/>
          <w:color w:val="C9781E"/>
        </w:rPr>
        <w:t xml:space="preserve">11. </w:t>
      </w:r>
      <w:r>
        <w:rPr>
          <w:b/>
          <w:i w:val="0"/>
        </w:rPr>
        <w:t xml:space="preserve">Limites das multas contratuais e escalonamento sem teto </w:t>
      </w:r>
      <w:r>
        <w:rPr>
          <w:b w:val="0"/>
          <w:i w:val="0"/>
          <w:color w:val="C9781E"/>
        </w:rPr>
        <w:t xml:space="preserve">(gravidade média, item 3.11): </w:t>
      </w:r>
      <w:r>
        <w:rPr>
          <w:b w:val="0"/>
          <w:i w:val="0"/>
        </w:rPr>
        <w:t>Ajustar os percentuais da multa de 15.3.2 ao piso de 0,5%, limitar a soma das multas a 30% do valor do contrato e recompor os itens 15.3, 15.5 e 15.6, que estão sem texto. Esclarecer a diferença entre multa moratória diária e multa compensatória.</w:t>
      </w:r>
    </w:p>
    <w:p>
      <w:pPr>
        <w:spacing w:before="0" w:after="80" w:line="360" w:lineRule="auto"/>
        <w:ind w:left="425" w:hanging="425"/>
        <w:jc w:val="both"/>
      </w:pPr>
      <w:r>
        <w:rPr>
          <w:b/>
          <w:i w:val="0"/>
          <w:color w:val="C9781E"/>
        </w:rPr>
        <w:t xml:space="preserve">12. </w:t>
      </w:r>
      <w:r>
        <w:rPr>
          <w:b/>
          <w:i w:val="0"/>
        </w:rPr>
        <w:t xml:space="preserve">Quantitativos de impressoras e de cópias sem memória de cálculo no TR </w:t>
      </w:r>
      <w:r>
        <w:rPr>
          <w:b w:val="0"/>
          <w:i w:val="0"/>
          <w:color w:val="C9781E"/>
        </w:rPr>
        <w:t xml:space="preserve">(gravidade média, item 3.12): </w:t>
      </w:r>
      <w:r>
        <w:rPr>
          <w:b w:val="0"/>
          <w:i w:val="0"/>
        </w:rPr>
        <w:t>Anexar ao processo a memória de cálculo (consumo histórico de impressões por setor, relação de equipamento por servidor, ocupação prevista) e justificar a proporção de equipamentos e o uso de cor. Para a execução da ata, só solicitar a quantidade efetivamente necessária.</w:t>
      </w:r>
    </w:p>
    <w:p>
      <w:pPr>
        <w:spacing w:before="0" w:after="80" w:line="360" w:lineRule="auto"/>
        <w:ind w:left="425" w:hanging="425"/>
        <w:jc w:val="both"/>
      </w:pPr>
      <w:r>
        <w:rPr>
          <w:b/>
          <w:i w:val="0"/>
          <w:color w:val="3D8FA6"/>
        </w:rPr>
        <w:t xml:space="preserve">13. </w:t>
      </w:r>
      <w:r>
        <w:rPr>
          <w:b/>
          <w:i w:val="0"/>
        </w:rPr>
        <w:t xml:space="preserve">Descrição da solução considerando o ciclo de vida </w:t>
      </w:r>
      <w:r>
        <w:rPr>
          <w:b w:val="0"/>
          <w:i w:val="0"/>
          <w:color w:val="3D8FA6"/>
        </w:rPr>
        <w:t xml:space="preserve">(gravidade baixa, item 3.13): </w:t>
      </w:r>
      <w:r>
        <w:rPr>
          <w:b w:val="0"/>
          <w:i w:val="0"/>
        </w:rPr>
        <w:t>Anexar ao processo (ETP) o comparativo quantitativo de TCO entre locação/outsourcing e aquisição. Prever, na ata/contrato, as obrigações de fim de vigência (retirada dos equipamentos, sanitização de dados, destinação ambientalmente adequada).</w:t>
      </w:r>
    </w:p>
    <w:p>
      <w:pPr>
        <w:spacing w:before="0" w:after="80" w:line="360" w:lineRule="auto"/>
        <w:ind w:left="425" w:hanging="425"/>
        <w:jc w:val="both"/>
      </w:pPr>
      <w:r>
        <w:rPr>
          <w:b/>
          <w:i w:val="0"/>
          <w:color w:val="3D8FA6"/>
        </w:rPr>
        <w:t xml:space="preserve">14. </w:t>
      </w:r>
      <w:r>
        <w:rPr>
          <w:b/>
          <w:i w:val="0"/>
        </w:rPr>
        <w:t xml:space="preserve">Inconsistência sobre vigência e prorrogação (arts. 84, 106 e 107) </w:t>
      </w:r>
      <w:r>
        <w:rPr>
          <w:b w:val="0"/>
          <w:i w:val="0"/>
          <w:color w:val="3D8FA6"/>
        </w:rPr>
        <w:t xml:space="preserve">(gravidade baixa, item 3.14): </w:t>
      </w:r>
      <w:r>
        <w:rPr>
          <w:b w:val="0"/>
          <w:i w:val="0"/>
        </w:rPr>
        <w:t>Uniformizar o texto: contrato por 12 meses, prorrogável nos termos do art. 107 até o limite legal, mediante comprovação da vantajosidade; ata de registro de preços de 12 meses, prorrogável nos termos do art. 84. Corrigir as remissões aos dispositivos.</w:t>
      </w:r>
    </w:p>
    <w:p>
      <w:pPr>
        <w:spacing w:before="0" w:after="80" w:line="360" w:lineRule="auto"/>
        <w:ind w:left="425" w:hanging="425"/>
        <w:jc w:val="both"/>
      </w:pPr>
      <w:r>
        <w:rPr>
          <w:b/>
          <w:i w:val="0"/>
          <w:color w:val="3D8FA6"/>
        </w:rPr>
        <w:t xml:space="preserve">15. </w:t>
      </w:r>
      <w:r>
        <w:rPr>
          <w:b/>
          <w:i w:val="0"/>
        </w:rPr>
        <w:t xml:space="preserve">Erros materiais e remanescentes de modelo </w:t>
      </w:r>
      <w:r>
        <w:rPr>
          <w:b w:val="0"/>
          <w:i w:val="0"/>
          <w:color w:val="3D8FA6"/>
        </w:rPr>
        <w:t xml:space="preserve">(gravidade baixa, item 3.15): </w:t>
      </w:r>
      <w:r>
        <w:rPr>
          <w:b w:val="0"/>
          <w:i w:val="0"/>
        </w:rPr>
        <w:t>Revisar o TR e o contrato/ata, corrigindo as remissões, as denominações, as obrigações não pertinentes e as divergências numéricas, e republicar, se necessário, o documento saneado.</w:t>
      </w:r>
    </w:p>
    <w:p>
      <w:pPr>
        <w:spacing w:before="120" w:after="120" w:line="360" w:lineRule="auto"/>
        <w:ind w:firstLine="709"/>
        <w:jc w:val="both"/>
      </w:pPr>
      <w:r>
        <w:rPr>
          <w:b w:val="0"/>
          <w:i w:val="0"/>
        </w:rPr>
        <w:t>Todos os aspectos identificados foram informados, inclusive os de baixa vulnerabilidade, para que o destinatário disponha de visão completa do processo. Trata-se de parecer técnico de natureza opinativa: as recomendações não o vinculam, e a decisão de promover os ajustes ou manter os documentos como estão compete exclusivamente a quem recebe este parecer, sob sua responsabilidade (STF, MS 24.631/DF; art. 28 do Decreto-Lei nº 4.657/1942). Este parecer não substitui o parecer jurídico de controle prévio de legalidade (art. 53 da Lei nº 14.133/2021).</w:t>
      </w:r>
    </w:p>
    <w:p>
      <w:pPr>
        <w:spacing w:before="0" w:after="360" w:line="360" w:lineRule="auto"/>
        <w:ind w:firstLine="709"/>
        <w:jc w:val="both"/>
      </w:pPr>
      <w:r>
        <w:rPr>
          <w:b w:val="0"/>
          <w:i w:val="0"/>
        </w:rPr>
        <w:t>É o parecer técnico, de caráter opinativo, salvo melhor juízo.</w:t>
      </w:r>
    </w:p>
    <w:p>
      <w:pPr>
        <w:spacing w:before="0" w:after="720" w:line="360" w:lineRule="auto"/>
        <w:ind w:firstLine="0"/>
        <w:jc w:val="right"/>
      </w:pPr>
      <w:r>
        <w:rPr>
          <w:b w:val="0"/>
          <w:i w:val="0"/>
        </w:rPr>
        <w:t>Maricá (RJ), 29 de outubro de 2026.</w:t>
      </w:r>
    </w:p>
    <w:p>
      <w:pPr>
        <w:spacing w:before="0" w:after="0" w:line="240" w:lineRule="auto"/>
        <w:ind w:firstLine="0"/>
        <w:jc w:val="center"/>
      </w:pPr>
      <w:r>
        <w:rPr>
          <w:b w:val="0"/>
          <w:i w:val="0"/>
          <w:color w:val="D9DEE2"/>
        </w:rPr>
        <w:t>__________________________________________</w:t>
      </w:r>
    </w:p>
    <w:p>
      <w:pPr>
        <w:spacing w:before="0" w:after="0" w:line="276" w:lineRule="auto"/>
        <w:ind w:firstLine="0"/>
        <w:jc w:val="center"/>
      </w:pPr>
      <w:r>
        <w:rPr>
          <w:b/>
          <w:i w:val="0"/>
          <w:sz w:val="22"/>
        </w:rPr>
        <w:t>Agente Licitacon</w:t>
      </w:r>
    </w:p>
    <w:p>
      <w:pPr>
        <w:spacing w:before="0" w:after="0" w:line="276" w:lineRule="auto"/>
        <w:ind w:firstLine="0"/>
        <w:jc w:val="center"/>
      </w:pPr>
      <w:r>
        <w:rPr>
          <w:b w:val="0"/>
          <w:i w:val="0"/>
          <w:color w:val="66757F"/>
          <w:sz w:val="19"/>
        </w:rPr>
        <w:t>Análise técnica automatizada em licitações e contratos</w:t>
      </w:r>
    </w:p>
    <w:p>
      <w:r>
        <w:br w:type="page"/>
      </w:r>
    </w:p>
    <w:p>
      <w:pPr>
        <w:pStyle w:val="Heading1"/>
        <w:keepNext/>
        <w:spacing w:before="360" w:after="160" w:line="360" w:lineRule="auto"/>
        <w:ind w:firstLine="0"/>
        <w:jc w:val="center"/>
      </w:pPr>
      <w:r>
        <w:rPr>
          <w:rFonts w:ascii="Arial" w:hAnsi="Arial"/>
          <w:b/>
          <w:i w:val="0"/>
          <w:color w:val="12324A"/>
          <w:sz w:val="24"/>
        </w:rPr>
        <w:t>REFERÊNCIAS</w:t>
      </w:r>
    </w:p>
    <w:p>
      <w:pPr>
        <w:spacing w:before="0" w:after="240" w:line="240" w:lineRule="auto"/>
        <w:ind w:firstLine="0"/>
        <w:jc w:val="left"/>
      </w:pPr>
      <w:r>
        <w:rPr>
          <w:b w:val="0"/>
          <w:i w:val="0"/>
          <w:sz w:val="22"/>
        </w:rPr>
        <w:t>BRASIL. Decreto-Lei nº 4.657, de 4 de setembro de 1942. Lei de Introdução às Normas do Direito Brasileiro. Redação dada pela Lei nº 13.655, de 25 de abril de 2018. Disponível em: https://www.planalto.gov.br/ccivil_03/decreto-lei/del4657compilado.htm. Acesso em: 29 out. 2026.</w:t>
      </w:r>
    </w:p>
    <w:p>
      <w:pPr>
        <w:spacing w:before="0" w:after="240" w:line="240" w:lineRule="auto"/>
        <w:ind w:firstLine="0"/>
        <w:jc w:val="left"/>
      </w:pPr>
      <w:r>
        <w:rPr>
          <w:b w:val="0"/>
          <w:i w:val="0"/>
          <w:sz w:val="22"/>
        </w:rPr>
        <w:t>BRASIL. Lei nº 14.133, de 1º de abril de 2021. Lei de Licitações e Contratos Administrativos. Diário Oficial da União: seção 1, Brasília, DF, 1 abr. 2021. Disponível em: https://www.planalto.gov.br/ccivil_03/_ato2019-2022/2021/lei/l14133.htm. Acesso em: 29 out. 2026.</w:t>
      </w:r>
    </w:p>
    <w:p>
      <w:pPr>
        <w:spacing w:before="0" w:after="240" w:line="240" w:lineRule="auto"/>
        <w:ind w:firstLine="0"/>
        <w:jc w:val="left"/>
      </w:pPr>
      <w:r>
        <w:rPr>
          <w:b w:val="0"/>
          <w:i w:val="0"/>
          <w:sz w:val="22"/>
        </w:rPr>
        <w:t>BRASIL. Lei nº 9.784, de 29 de janeiro de 1999. Regula o processo administrativo no âmbito da Administração Pública Federal. Disponível em: https://www.planalto.gov.br/ccivil_03/leis/l9784.htm. Acesso em: 29 out. 2026.</w:t>
      </w:r>
    </w:p>
    <w:p>
      <w:pPr>
        <w:spacing w:before="0" w:after="240" w:line="240" w:lineRule="auto"/>
        <w:ind w:firstLine="0"/>
        <w:jc w:val="left"/>
      </w:pPr>
      <w:r>
        <w:rPr>
          <w:b w:val="0"/>
          <w:i w:val="0"/>
          <w:sz w:val="22"/>
        </w:rPr>
        <w:t>BRASIL. Supremo Tribunal Federal (Plenário). Mandado de Segurança nº 24.631/DF. Relator: Min. Joaquim Barbosa. Julgado em 9 ago. 2007. Diário da Justiça, Brasília, DF, 1 fev. 2008.</w:t>
      </w:r>
    </w:p>
    <w:p>
      <w:pPr>
        <w:spacing w:before="0" w:after="240" w:line="240" w:lineRule="auto"/>
        <w:ind w:firstLine="0"/>
        <w:jc w:val="left"/>
      </w:pPr>
      <w:r>
        <w:rPr>
          <w:b w:val="0"/>
          <w:i w:val="0"/>
          <w:sz w:val="22"/>
        </w:rPr>
        <w:t>BRASIL. Tribunal de Contas da União (Plenário). Acórdão 2450/2025-Plenário. Relator: Ministro(a) Jorge Oliveira. Julgado em 22 out. 2025. TCU – Jurisprudência Selecionada (Informativo de Licitações e Contratos nº 517 de 18/11/2025 BJ nº 563 de 10/11/2025). Disponível em: https://pesquisa.apps.tcu.gov.br/documento/jurisprudencia-selecionada/*/KEY%253AJURISPRUDENCIA-SELECIONADA-192007/score%2520desc/0. Acesso em: 29 out. 2026.</w:t>
      </w:r>
    </w:p>
    <w:p>
      <w:pPr>
        <w:spacing w:before="0" w:after="240" w:line="240" w:lineRule="auto"/>
        <w:ind w:firstLine="0"/>
        <w:jc w:val="left"/>
      </w:pPr>
      <w:r>
        <w:rPr>
          <w:b w:val="0"/>
          <w:i w:val="0"/>
          <w:sz w:val="22"/>
        </w:rPr>
        <w:t>BRASIL. Tribunal de Contas da União (Plenário). Acórdão 2666/2025-Plenário. Relator: Ministro(a) Antonio Anastasia. Julgado em 12 nov. 2025. TCU – Jurisprudência Selecionada (Informativo de Licitações e Contratos nº 518 de 09/12/2025 BJ nº 566 de 08/12/2025). Disponível em: https://pesquisa.apps.tcu.gov.br/documento/jurisprudencia-selecionada/*/KEY%253AJURISPRUDENCIA-SELECIONADA-193051/score%2520desc/0. Acesso em: 29 out. 2026.</w:t>
      </w:r>
    </w:p>
    <w:p>
      <w:pPr>
        <w:spacing w:before="0" w:after="240" w:line="240" w:lineRule="auto"/>
        <w:ind w:firstLine="0"/>
        <w:jc w:val="left"/>
      </w:pPr>
      <w:r>
        <w:rPr>
          <w:b w:val="0"/>
          <w:i w:val="0"/>
          <w:sz w:val="22"/>
        </w:rPr>
        <w:t>BRASIL. Tribunal de Contas da União (Plenário). Súmula TCU 177. Relator: Ministro(a) Octávio Gallotti. Julgado em 1 jan. 1982. TCU – Súmulas. Disponível em: https://pesquisa.apps.tcu.gov.br/documento/sumula/*/KEY%253ASUMULA-LEGADA-181/score%2520desc/0. Acesso em: 29 out. 2026.</w:t>
      </w:r>
    </w:p>
    <w:p>
      <w:pPr>
        <w:spacing w:before="0" w:after="240" w:line="240" w:lineRule="auto"/>
        <w:ind w:firstLine="0"/>
        <w:jc w:val="left"/>
      </w:pPr>
      <w:r>
        <w:rPr>
          <w:b w:val="0"/>
          <w:i w:val="0"/>
          <w:sz w:val="22"/>
        </w:rPr>
        <w:t>CÂMARA MUNICIPAL DE MARICÁ. Termo de Referência — PNCP 27772078000180-1-000021/2026. Disponível em: https://pncp.gov.br/app/editais/27772078000180/2026/21. Acesso em: 29 out. 2026.</w:t>
      </w:r>
    </w:p>
    <w:p>
      <w:pPr>
        <w:spacing w:before="0" w:after="240" w:line="240" w:lineRule="auto"/>
        <w:ind w:firstLine="0"/>
        <w:jc w:val="left"/>
      </w:pPr>
      <w:r>
        <w:rPr>
          <w:b w:val="0"/>
          <w:i w:val="0"/>
          <w:sz w:val="22"/>
        </w:rPr>
        <w:t>RIO DE JANEIRO (Estado). Tribunal de Contas do Estado do Rio de Janeiro (Plenário). Acórdão 61660/2024 – Processo 118.385-1/2023. Relator: Conselheiro José Maurício de Lima Nolasco. Julgado em 22 jul. 2024. TCE-RJ – Jurisprudência Selecionada. Disponível em: https://www.tcerj.tc.br/cadastro-publicacoes/public/jurisprudencia-selecionada. Acesso em: 29 out. 2026.</w:t>
      </w:r>
    </w:p>
    <w:p>
      <w:pPr>
        <w:spacing w:before="0" w:after="240" w:line="240" w:lineRule="auto"/>
        <w:ind w:firstLine="0"/>
        <w:jc w:val="left"/>
      </w:pPr>
      <w:r>
        <w:rPr>
          <w:b w:val="0"/>
          <w:i w:val="0"/>
          <w:sz w:val="22"/>
        </w:rPr>
        <w:t>RIO DE JANEIRO (Município). Tribunal de Contas do Município do Rio de Janeiro (Plenário). Voto 612/2026 · Proc. 040/103712/2026 · Enunciado 433. Relator: Conselheiro David Carlos Pereira Neto. Julgado em 16 set. 2026. TCM-RJ – TCMJuris (decisões selecionadas). Disponível em: https://etcm.tcmrio.tc.br/Processo/Ficha?ctid=2486277. Acesso em: 29 out. 2026.</w:t>
      </w:r>
    </w:p>
    <w:p>
      <w:r>
        <w:br w:type="page"/>
      </w:r>
    </w:p>
    <w:p>
      <w:pPr>
        <w:pStyle w:val="Heading1"/>
        <w:keepNext/>
        <w:spacing w:before="360" w:after="160" w:line="360" w:lineRule="auto"/>
        <w:ind w:firstLine="0"/>
        <w:jc w:val="center"/>
      </w:pPr>
      <w:r>
        <w:rPr>
          <w:rFonts w:ascii="Arial" w:hAnsi="Arial"/>
          <w:b/>
          <w:i w:val="0"/>
          <w:color w:val="12324A"/>
          <w:sz w:val="24"/>
        </w:rPr>
        <w:t>APÊNDICE A – LISTA DE VERIFICAÇÃO</w:t>
      </w:r>
    </w:p>
    <w:p>
      <w:pPr>
        <w:spacing w:before="0" w:after="120" w:line="360" w:lineRule="auto"/>
        <w:ind w:firstLine="0"/>
        <w:jc w:val="both"/>
      </w:pPr>
      <w:r>
        <w:rPr>
          <w:b w:val="0"/>
          <w:i/>
          <w:color w:val="66757F"/>
          <w:sz w:val="20"/>
        </w:rPr>
        <w:t>Todos os itens do roteiro aplicados a este processo.</w:t>
      </w:r>
    </w:p>
    <w:tbl>
      <w:tblPr>
        <w:tblW w:type="auto" w:w="0"/>
        <w:jc w:val="center"/>
        <w:tblLook w:firstColumn="1" w:firstRow="1" w:lastColumn="0" w:lastRow="0" w:noHBand="0" w:noVBand="1" w:val="04A0"/>
      </w:tblPr>
      <w:tblGrid>
        <w:gridCol w:w="3515"/>
        <w:gridCol w:w="1701"/>
        <w:gridCol w:w="1587"/>
        <w:gridCol w:w="2268"/>
      </w:tblGrid>
      <w:tr>
        <w:tc>
          <w:tcPr>
            <w:tcW w:type="dxa" w:w="3515"/>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ITEM</w:t>
            </w:r>
          </w:p>
        </w:tc>
        <w:tc>
          <w:tcPr>
            <w:tcW w:type="dxa" w:w="1701"/>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DOCUMENTO</w:t>
            </w:r>
          </w:p>
        </w:tc>
        <w:tc>
          <w:tcPr>
            <w:tcW w:type="dxa" w:w="1587"/>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RESULTADO</w:t>
            </w:r>
          </w:p>
        </w:tc>
        <w:tc>
          <w:tcPr>
            <w:tcW w:type="dxa" w:w="2268"/>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FUNDAMENTO</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Definição do objeto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 inciso XXIII, alínea a</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Descrição da solução considerando o ciclo de vida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 inciso XXIII, alínea c</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Requisitos da contratação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 inciso XXIII, alínea d</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Modelo de execução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 inciso XXIII, alínea e</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Modelo de gestão e fiscalização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 inciso XXIII, alínea f; art. 117</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Critérios de medição e pagamento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 inciso XXIII, alínea g; art. 92, inciso V</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Forma e critérios de seleção do fornecedor</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 inciso XXIII, alínea h; art. 18, inciso IX</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Estimativa de valor com parâmetros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 inciso XXIII, alínea i; art. 23, § 1º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Compras: especificação, entrega e garantia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40,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Lote único e menor preço global em registro de preços, com justificativa de não parcelamento pouco conclusiva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40, inciso V; art. 18, § 1º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Exigências de habilitação sem previsão legal e formalismo na apresentação de documentos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12, inciso IV; art. 68</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Limites das multas contratuais e escalonamento sem teto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156, § 3º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Quantitativos de impressoras e de cópias sem memória de cálculo no TR</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 inciso XXIII, alínea a</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Inconsistência sobre vigência e prorrogação (arts. 84, 106 e 107)</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106; art. 107; art. 84</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Erros materiais e remanescentes de modelo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Fundamentação com referência ao ETP</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 inciso XXIII, alínea b</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Adequação orçamentária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 inciso XXIII, alínea j; art. 150</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Vistoria prévia substituível por declaração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63, § 2º; art. 63, § 3º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Indicação de marca ou vedação de marca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41, inciso I; art. 41, inciso III</w:t>
            </w:r>
          </w:p>
        </w:tc>
      </w:tr>
    </w:tbl>
    <w:p>
      <w:pPr>
        <w:spacing w:before="0" w:after="120" w:line="360" w:lineRule="auto"/>
        <w:ind w:firstLine="0"/>
        <w:jc w:val="both"/>
      </w:pPr>
    </w:p>
    <w:p>
      <w:pPr>
        <w:pStyle w:val="Heading1"/>
        <w:keepNext/>
        <w:spacing w:before="360" w:after="160" w:line="360" w:lineRule="auto"/>
        <w:ind w:firstLine="0"/>
        <w:jc w:val="center"/>
      </w:pPr>
      <w:r>
        <w:rPr>
          <w:rFonts w:ascii="Arial" w:hAnsi="Arial"/>
          <w:b/>
          <w:i w:val="0"/>
          <w:color w:val="12324A"/>
          <w:sz w:val="24"/>
        </w:rPr>
        <w:t>APÊNDICE B – METODOLOGIA E LIMITES</w:t>
      </w:r>
    </w:p>
    <w:p>
      <w:pPr>
        <w:spacing w:before="0" w:after="120" w:line="360" w:lineRule="auto"/>
        <w:ind w:left="425" w:hanging="425"/>
        <w:jc w:val="both"/>
      </w:pPr>
      <w:r>
        <w:rPr>
          <w:b/>
          <w:i w:val="0"/>
          <w:color w:val="1F7A8C"/>
        </w:rPr>
        <w:t xml:space="preserve">a) </w:t>
      </w:r>
      <w:r>
        <w:rPr>
          <w:b w:val="0"/>
          <w:i w:val="0"/>
        </w:rPr>
        <w:t>Cada item do roteiro de verificação foi conferido nos documentos enviados; o trecho transcrito indica onde a constatação foi feita.</w:t>
      </w:r>
    </w:p>
    <w:p>
      <w:pPr>
        <w:spacing w:before="0" w:after="120" w:line="360" w:lineRule="auto"/>
        <w:ind w:left="425" w:hanging="425"/>
        <w:jc w:val="both"/>
      </w:pPr>
      <w:r>
        <w:rPr>
          <w:b/>
          <w:i w:val="0"/>
          <w:color w:val="1F7A8C"/>
        </w:rPr>
        <w:t xml:space="preserve">b) </w:t>
      </w:r>
      <w:r>
        <w:rPr>
          <w:b w:val="0"/>
          <w:i w:val="0"/>
        </w:rPr>
        <w:t>Os dispositivos legais reproduzem o texto oficial vigente constante da base normativa do Licitacon na data da análise, conferido automaticamente quanto à existência, revogação e veto.</w:t>
      </w:r>
    </w:p>
    <w:p>
      <w:pPr>
        <w:spacing w:before="0" w:after="120" w:line="360" w:lineRule="auto"/>
        <w:ind w:left="425" w:hanging="425"/>
        <w:jc w:val="both"/>
      </w:pPr>
      <w:r>
        <w:rPr>
          <w:b/>
          <w:i w:val="0"/>
          <w:color w:val="1F7A8C"/>
        </w:rPr>
        <w:t xml:space="preserve">c) </w:t>
      </w:r>
      <w:r>
        <w:rPr>
          <w:b w:val="0"/>
          <w:i w:val="0"/>
        </w:rPr>
        <w:t>Os precedentes provêm exclusivamente da Biblioteca Licitacon, com indicação da fonte oficial; a ausência de precedente listado não significa ausência de jurisprudência.</w:t>
      </w:r>
    </w:p>
    <w:p>
      <w:pPr>
        <w:spacing w:before="0" w:after="120" w:line="360" w:lineRule="auto"/>
        <w:ind w:left="425" w:hanging="425"/>
        <w:jc w:val="both"/>
      </w:pPr>
      <w:r>
        <w:rPr>
          <w:b/>
          <w:i w:val="0"/>
          <w:color w:val="1F7A8C"/>
        </w:rPr>
        <w:t xml:space="preserve">d) </w:t>
      </w:r>
      <w:r>
        <w:rPr>
          <w:b w:val="0"/>
          <w:i w:val="0"/>
        </w:rPr>
        <w:t>Cálculos de planilha são conferidos por programa a partir de arquivo em Excel; planilhas em PDF não permitem conferir fórmulas.</w:t>
      </w:r>
    </w:p>
    <w:p>
      <w:pPr>
        <w:spacing w:before="0" w:after="120" w:line="360" w:lineRule="auto"/>
        <w:ind w:left="425" w:hanging="425"/>
        <w:jc w:val="both"/>
      </w:pPr>
      <w:r>
        <w:rPr>
          <w:b/>
          <w:i w:val="0"/>
          <w:color w:val="1F7A8C"/>
        </w:rPr>
        <w:t xml:space="preserve">e) </w:t>
      </w:r>
      <w:r>
        <w:rPr>
          <w:b w:val="0"/>
          <w:i w:val="0"/>
        </w:rPr>
        <w:t>Normas estaduais e municipais, regulamentos internos e orientações locais somente são considerados quando enviados com os documentos.</w:t>
      </w:r>
    </w:p>
    <w:p>
      <w:pPr>
        <w:spacing w:before="0" w:after="120" w:line="360" w:lineRule="auto"/>
        <w:ind w:left="425" w:hanging="425"/>
        <w:jc w:val="both"/>
      </w:pPr>
      <w:r>
        <w:rPr>
          <w:b/>
          <w:i w:val="0"/>
          <w:color w:val="1F7A8C"/>
        </w:rPr>
        <w:t xml:space="preserve">f) </w:t>
      </w:r>
      <w:r>
        <w:rPr>
          <w:b w:val="0"/>
          <w:i w:val="0"/>
        </w:rPr>
        <w:t>O parecer é opinativo: aponta todos os aspectos identificados, inclusive os de baixa vulnerabilidade, e a decisão sobre cada recomendação cabe ao destinatário.</w:t>
      </w:r>
    </w:p>
    <w:p>
      <w:pPr>
        <w:spacing w:before="0" w:after="120" w:line="360" w:lineRule="auto"/>
        <w:ind w:left="425" w:hanging="425"/>
        <w:jc w:val="both"/>
      </w:pPr>
      <w:r>
        <w:rPr>
          <w:b/>
          <w:i w:val="0"/>
          <w:color w:val="1F7A8C"/>
        </w:rPr>
        <w:t xml:space="preserve">g) </w:t>
      </w:r>
      <w:r>
        <w:rPr>
          <w:b w:val="0"/>
          <w:i w:val="0"/>
        </w:rPr>
        <w:t>Trilhas automáticas, inspiradas nas tipologias do sistema ALICE (CGU/TCU), procuram no texto padrões associados a restrição de competitividade e direcionamento; cada indício é confirmado ou descartado pela análise no contexto do documento.</w:t>
      </w:r>
    </w:p>
    <w:p>
      <w:pPr>
        <w:spacing w:before="0" w:after="120" w:line="360" w:lineRule="auto"/>
        <w:ind w:left="425" w:hanging="425"/>
        <w:jc w:val="both"/>
      </w:pPr>
      <w:r>
        <w:rPr>
          <w:b/>
          <w:i w:val="0"/>
          <w:color w:val="1F7A8C"/>
        </w:rPr>
        <w:t xml:space="preserve">h) </w:t>
      </w:r>
      <w:r>
        <w:rPr>
          <w:b w:val="0"/>
          <w:i w:val="0"/>
        </w:rPr>
        <w:t>Classificação de gravidade: é alta toda irregularidade que possa comprometer a competitividade, direcionar o certame ou indicar sobrepreço ou risco de superfaturamento; média, falhas formais ou de instrução com risco moderado; baixa, imprecisões e boas práticas.</w:t>
      </w:r>
    </w:p>
    <w:p>
      <w:pPr>
        <w:spacing w:before="0" w:after="120" w:line="360" w:lineRule="auto"/>
        <w:ind w:left="425" w:hanging="425"/>
        <w:jc w:val="both"/>
      </w:pPr>
      <w:r>
        <w:rPr>
          <w:b/>
          <w:i w:val="0"/>
          <w:color w:val="1F7A8C"/>
        </w:rPr>
        <w:t xml:space="preserve">i) </w:t>
      </w:r>
      <w:r>
        <w:rPr>
          <w:b w:val="0"/>
          <w:i w:val="0"/>
        </w:rPr>
        <w:t>Apontamentos adicionais são questões relevantes encontradas no documento que não constam do roteiro padrão; seus fundamentos legais também são conferidos na base oficial.</w:t>
      </w:r>
    </w:p>
    <w:p>
      <w:pPr>
        <w:spacing w:before="0" w:after="120" w:line="360" w:lineRule="auto"/>
        <w:ind w:left="425" w:hanging="425"/>
        <w:jc w:val="both"/>
      </w:pPr>
      <w:r>
        <w:rPr>
          <w:b/>
          <w:i w:val="0"/>
          <w:color w:val="1F7A8C"/>
        </w:rPr>
        <w:t xml:space="preserve">j) </w:t>
      </w:r>
      <w:r>
        <w:rPr>
          <w:b w:val="0"/>
          <w:i w:val="0"/>
        </w:rPr>
        <w:t>O código de verificação F2D2507F43 identifica o conteúdo desta análise; qualquer alteração no resultado gera código diferente.</w:t>
      </w:r>
    </w:p>
    <w:sectPr w:rsidR="00FC693F" w:rsidRPr="0006063C" w:rsidSect="00034616">
      <w:headerReference w:type="default" r:id="rId9"/>
      <w:footerReference w:type="default" r:id="rId10"/>
      <w:pgSz w:w="11906" w:h="16838"/>
      <w:pgMar w:top="1701" w:right="1134" w:bottom="1134" w:left="1701" w:header="85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rPr>
        <w:b w:val="0"/>
        <w:i w:val="0"/>
        <w:color w:val="66757F"/>
        <w:sz w:val="14"/>
      </w:rPr>
      <w:t>Parecer técnico opinativo · a decisão final cabe exclusivamente ao destinatário · não substitui o parecer jurídico do art. 53 da Lei 14.133/2021 · código F2D2507F43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535"/>
      <w:gridCol w:w="4535"/>
    </w:tblGrid>
    <w:tr>
      <w:tc>
        <w:tcPr>
          <w:tcW w:type="dxa" w:w="6803"/>
          <w:tcBorders>
            <w:top w:val="nil"/>
            <w:left w:val="nil"/>
            <w:bottom w:val="single" w:sz="6" w:color="D9DEE2" w:space="0"/>
            <w:right w:val="nil"/>
          </w:tcBorders>
        </w:tcPr>
        <w:p>
          <w:pPr>
            <w:spacing w:before="0" w:after="0" w:line="240" w:lineRule="auto"/>
            <w:ind w:firstLine="0"/>
            <w:jc w:val="left"/>
          </w:pPr>
          <w:r>
            <w:rPr>
              <w:b/>
              <w:i w:val="0"/>
              <w:color w:val="1F7A8C"/>
              <w:sz w:val="16"/>
            </w:rPr>
            <w:t>LICITACON</w:t>
          </w:r>
          <w:r>
            <w:rPr>
              <w:b w:val="0"/>
              <w:i w:val="0"/>
              <w:color w:val="66757F"/>
              <w:sz w:val="16"/>
            </w:rPr>
            <w:t xml:space="preserve">  ·  Parecer Técnico nº F2D2/2026</w:t>
          </w:r>
        </w:p>
      </w:tc>
      <w:tc>
        <w:tcPr>
          <w:tcW w:type="dxa" w:w="2268"/>
          <w:tcBorders>
            <w:top w:val="nil"/>
            <w:left w:val="nil"/>
            <w:bottom w:val="single" w:sz="6" w:color="D9DEE2" w:space="0"/>
            <w:right w:val="nil"/>
          </w:tcBorders>
        </w:tcPr>
        <w:p>
          <w:pPr>
            <w:spacing w:before="0" w:after="0" w:line="240" w:lineRule="auto"/>
            <w:ind w:firstLine="0"/>
            <w:jc w:val="right"/>
          </w:pPr>
          <w:r>
            <w:rPr>
              <w:color w:val="12324A"/>
              <w:sz w:val="20"/>
            </w:rPr>
            <w:fldChar w:fldCharType="begin"/>
            <w:instrText xml:space="preserve">PAGE</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eastAsia="Arial"/>
      <w:color w:val="1E2A3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2324A"/>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232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etcm.tcmrio.tc.br/Processo/Ficha?ctid=2486277" TargetMode="External"/><Relationship Id="rId13" Type="http://schemas.openxmlformats.org/officeDocument/2006/relationships/hyperlink" Target="https://pesquisa.apps.tcu.gov.br/documento/sumula/*/KEY%253ASUMULA-LEGADA-181/score%2520desc/0" TargetMode="External"/><Relationship Id="rId14" Type="http://schemas.openxmlformats.org/officeDocument/2006/relationships/hyperlink" Target="https://pesquisa.apps.tcu.gov.br/documento/jurisprudencia-selecionada/*/KEY%253AJURISPRUDENCIA-SELECIONADA-193051/score%2520desc/0" TargetMode="External"/><Relationship Id="rId15" Type="http://schemas.openxmlformats.org/officeDocument/2006/relationships/hyperlink" Target="https://www.tcerj.tc.br/cadastro-publicacoes/public/jurisprudencia-selecionada" TargetMode="External"/><Relationship Id="rId16" Type="http://schemas.openxmlformats.org/officeDocument/2006/relationships/hyperlink" Target="https://pesquisa.apps.tcu.gov.br/documento/jurisprudencia-selecionada/*/KEY%253AJURISPRUDENCIA-SELECIONADA-192007/score%2520desc/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