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42E3/2026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Aquisição de 2 aparelhos de ultrassonografia diagnóstico com Doppler colorido e 6 mesas ginecológicas elétricas, para a Secretaria de Saúde (valor estimado R$ 777.978,34).</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Saúde</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55/2025 – Processo 11566/2025 (PNCP 29131075000193-1-000428/2026)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(menor preço por item, modo de disputa aberto,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Prazo mínimo para apresentação de propostas</w:t>
      </w:r>
      <w:r>
        <w:rPr>
          <w:b w:val="0"/>
          <w:i w:val="0"/>
          <w:sz w:val="21"/>
        </w:rPr>
        <w:tab/>
        <w:t>7</w:t>
      </w:r>
    </w:p>
    <w:p>
      <w:pPr>
        <w:tabs>
          <w:tab w:pos="9071" w:val="right" w:leader="dot"/>
        </w:tabs>
        <w:spacing w:before="0" w:after="0" w:line="360" w:lineRule="auto"/>
        <w:ind w:firstLine="0" w:left="340"/>
        <w:jc w:val="left"/>
      </w:pPr>
      <w:r>
        <w:rPr>
          <w:b w:val="0"/>
          <w:i w:val="0"/>
          <w:sz w:val="21"/>
        </w:rPr>
        <w:t>3.2 Qualificação técnica proporcional</w:t>
      </w:r>
      <w:r>
        <w:rPr>
          <w:b w:val="0"/>
          <w:i w:val="0"/>
          <w:sz w:val="21"/>
        </w:rPr>
        <w:tab/>
        <w:t>8</w:t>
      </w:r>
    </w:p>
    <w:p>
      <w:pPr>
        <w:tabs>
          <w:tab w:pos="9071" w:val="right" w:leader="dot"/>
        </w:tabs>
        <w:spacing w:before="0" w:after="0" w:line="360" w:lineRule="auto"/>
        <w:ind w:firstLine="0" w:left="340"/>
        <w:jc w:val="left"/>
      </w:pPr>
      <w:r>
        <w:rPr>
          <w:b w:val="0"/>
          <w:i w:val="0"/>
          <w:sz w:val="21"/>
        </w:rPr>
        <w:t>3.3 Tratamento diferenciado a ME e EPP</w:t>
      </w:r>
      <w:r>
        <w:rPr>
          <w:b w:val="0"/>
          <w:i w:val="0"/>
          <w:sz w:val="21"/>
        </w:rPr>
        <w:tab/>
        <w:t>9</w:t>
      </w:r>
    </w:p>
    <w:p>
      <w:pPr>
        <w:tabs>
          <w:tab w:pos="9071" w:val="right" w:leader="dot"/>
        </w:tabs>
        <w:spacing w:before="0" w:after="0" w:line="360" w:lineRule="auto"/>
        <w:ind w:firstLine="0" w:left="340"/>
        <w:jc w:val="left"/>
      </w:pPr>
      <w:r>
        <w:rPr>
          <w:b w:val="0"/>
          <w:i w:val="0"/>
          <w:sz w:val="21"/>
        </w:rPr>
        <w:t>3.4 Minuta de contrato como anexo e cláusulas necessárias</w:t>
      </w:r>
      <w:r>
        <w:rPr>
          <w:b w:val="0"/>
          <w:i w:val="0"/>
          <w:sz w:val="21"/>
        </w:rPr>
        <w:tab/>
        <w:t>10</w:t>
      </w:r>
    </w:p>
    <w:p>
      <w:pPr>
        <w:tabs>
          <w:tab w:pos="9071" w:val="right" w:leader="dot"/>
        </w:tabs>
        <w:spacing w:before="0" w:after="0" w:line="360" w:lineRule="auto"/>
        <w:ind w:firstLine="0" w:left="340"/>
        <w:jc w:val="left"/>
      </w:pPr>
      <w:r>
        <w:rPr>
          <w:b w:val="0"/>
          <w:i w:val="0"/>
          <w:sz w:val="21"/>
        </w:rPr>
        <w:t>3.5 Coerência interna do edital e dos anexos</w:t>
      </w:r>
      <w:r>
        <w:rPr>
          <w:b w:val="0"/>
          <w:i w:val="0"/>
          <w:sz w:val="21"/>
        </w:rPr>
        <w:tab/>
        <w:t>12</w:t>
      </w:r>
    </w:p>
    <w:p>
      <w:pPr>
        <w:tabs>
          <w:tab w:pos="9071" w:val="right" w:leader="dot"/>
        </w:tabs>
        <w:spacing w:before="0" w:after="0" w:line="360" w:lineRule="auto"/>
        <w:ind w:firstLine="0" w:left="340"/>
        <w:jc w:val="left"/>
      </w:pPr>
      <w:r>
        <w:rPr>
          <w:b w:val="0"/>
          <w:i w:val="0"/>
          <w:sz w:val="21"/>
        </w:rPr>
        <w:t>3.6 Exigência de via física original ou autenticada, e de firma reconhecida (trilha t-autenticacao)</w:t>
      </w:r>
      <w:r>
        <w:rPr>
          <w:b w:val="0"/>
          <w:i w:val="0"/>
          <w:sz w:val="21"/>
        </w:rPr>
        <w:tab/>
        <w:t>13</w:t>
      </w:r>
    </w:p>
    <w:p>
      <w:pPr>
        <w:tabs>
          <w:tab w:pos="9071" w:val="right" w:leader="dot"/>
        </w:tabs>
        <w:spacing w:before="0" w:after="0" w:line="360" w:lineRule="auto"/>
        <w:ind w:firstLine="0" w:left="340"/>
        <w:jc w:val="left"/>
      </w:pPr>
      <w:r>
        <w:rPr>
          <w:b w:val="0"/>
          <w:i w:val="0"/>
          <w:sz w:val="21"/>
        </w:rPr>
        <w:t>3.7 Orçamento estimado sem pesquisa de preços documentada e com data defasada</w:t>
      </w:r>
      <w:r>
        <w:rPr>
          <w:b w:val="0"/>
          <w:i w:val="0"/>
          <w:sz w:val="21"/>
        </w:rPr>
        <w:tab/>
        <w:t>14</w:t>
      </w:r>
    </w:p>
    <w:p>
      <w:pPr>
        <w:tabs>
          <w:tab w:pos="9071" w:val="right" w:leader="dot"/>
        </w:tabs>
        <w:spacing w:before="0" w:after="0" w:line="360" w:lineRule="auto"/>
        <w:ind w:firstLine="0" w:left="340"/>
        <w:jc w:val="left"/>
      </w:pPr>
      <w:r>
        <w:rPr>
          <w:b w:val="0"/>
          <w:i w:val="0"/>
          <w:sz w:val="21"/>
        </w:rPr>
        <w:t>3.8 Especificações do ultrassom e da mesa ginecológica muito detalhadas, sem tolerância nem justificativa técnica</w:t>
      </w:r>
      <w:r>
        <w:rPr>
          <w:b w:val="0"/>
          <w:i w:val="0"/>
          <w:sz w:val="21"/>
        </w:rPr>
        <w:tab/>
        <w:t>15</w:t>
      </w:r>
    </w:p>
    <w:p>
      <w:pPr>
        <w:tabs>
          <w:tab w:pos="9071" w:val="right" w:leader="dot"/>
        </w:tabs>
        <w:spacing w:before="0" w:after="0" w:line="360" w:lineRule="auto"/>
        <w:ind w:firstLine="0" w:left="340"/>
        <w:jc w:val="left"/>
      </w:pPr>
      <w:r>
        <w:rPr>
          <w:b w:val="0"/>
          <w:i w:val="0"/>
          <w:sz w:val="21"/>
        </w:rPr>
        <w:t>3.9 Vedação ampla a licitantes com ex-servidores municipais e ex-ocupantes de cargos de 1º e 2º escalões</w:t>
      </w:r>
      <w:r>
        <w:rPr>
          <w:b w:val="0"/>
          <w:i w:val="0"/>
          <w:sz w:val="21"/>
        </w:rPr>
        <w:tab/>
        <w:t>16</w:t>
      </w:r>
    </w:p>
    <w:p>
      <w:pPr>
        <w:tabs>
          <w:tab w:pos="9071" w:val="right" w:leader="dot"/>
        </w:tabs>
        <w:spacing w:before="0" w:after="0" w:line="360" w:lineRule="auto"/>
        <w:ind w:firstLine="0" w:left="340"/>
        <w:jc w:val="left"/>
      </w:pPr>
      <w:r>
        <w:rPr>
          <w:b w:val="0"/>
          <w:i w:val="0"/>
          <w:sz w:val="21"/>
        </w:rPr>
        <w:t>3.10 Índice de reajuste com data-base no orçamento</w:t>
      </w:r>
      <w:r>
        <w:rPr>
          <w:b w:val="0"/>
          <w:i w:val="0"/>
          <w:sz w:val="21"/>
        </w:rPr>
        <w:tab/>
        <w:t>17</w:t>
      </w:r>
    </w:p>
    <w:p>
      <w:pPr>
        <w:tabs>
          <w:tab w:pos="9071" w:val="right" w:leader="dot"/>
        </w:tabs>
        <w:spacing w:before="0" w:after="0" w:line="360" w:lineRule="auto"/>
        <w:ind w:firstLine="0" w:left="340"/>
        <w:jc w:val="left"/>
      </w:pPr>
      <w:r>
        <w:rPr>
          <w:b w:val="0"/>
          <w:i w:val="0"/>
          <w:sz w:val="21"/>
        </w:rPr>
        <w:t>3.11 Qualificação econômico-financeira</w:t>
      </w:r>
      <w:r>
        <w:rPr>
          <w:b w:val="0"/>
          <w:i w:val="0"/>
          <w:sz w:val="21"/>
        </w:rPr>
        <w:tab/>
        <w:t>18</w:t>
      </w:r>
    </w:p>
    <w:p>
      <w:pPr>
        <w:tabs>
          <w:tab w:pos="9071" w:val="right" w:leader="dot"/>
        </w:tabs>
        <w:spacing w:before="0" w:after="0" w:line="360" w:lineRule="auto"/>
        <w:ind w:firstLine="0" w:left="340"/>
        <w:jc w:val="left"/>
      </w:pPr>
      <w:r>
        <w:rPr>
          <w:b w:val="0"/>
          <w:i w:val="0"/>
          <w:sz w:val="21"/>
        </w:rPr>
        <w:t>3.12 Impugnação e esclarecimentos</w:t>
      </w:r>
      <w:r>
        <w:rPr>
          <w:b w:val="0"/>
          <w:i w:val="0"/>
          <w:sz w:val="21"/>
        </w:rPr>
        <w:tab/>
        <w:t>19</w:t>
      </w:r>
    </w:p>
    <w:p>
      <w:pPr>
        <w:tabs>
          <w:tab w:pos="9071" w:val="right" w:leader="dot"/>
        </w:tabs>
        <w:spacing w:before="0" w:after="0" w:line="360" w:lineRule="auto"/>
        <w:ind w:firstLine="0" w:left="340"/>
        <w:jc w:val="left"/>
      </w:pPr>
      <w:r>
        <w:rPr>
          <w:b w:val="0"/>
          <w:i w:val="0"/>
          <w:sz w:val="21"/>
        </w:rPr>
        <w:t>3.13 Exigência de certidão de IPTU apenas para licitantes com sede ou filial em Maricá</w:t>
      </w:r>
      <w:r>
        <w:rPr>
          <w:b w:val="0"/>
          <w:i w:val="0"/>
          <w:sz w:val="21"/>
        </w:rPr>
        <w:tab/>
        <w:t>20</w:t>
      </w:r>
    </w:p>
    <w:p>
      <w:pPr>
        <w:tabs>
          <w:tab w:pos="9071" w:val="right" w:leader="dot"/>
        </w:tabs>
        <w:spacing w:before="0" w:after="0" w:line="360" w:lineRule="auto"/>
        <w:ind w:firstLine="0" w:left="340"/>
        <w:jc w:val="left"/>
      </w:pPr>
      <w:r>
        <w:rPr>
          <w:b w:val="0"/>
          <w:i w:val="0"/>
          <w:sz w:val="21"/>
        </w:rPr>
        <w:t>3.14 Prazo de garantia das mesas ginecológicas indefinido</w:t>
      </w:r>
      <w:r>
        <w:rPr>
          <w:b w:val="0"/>
          <w:i w:val="0"/>
          <w:sz w:val="21"/>
        </w:rPr>
        <w:tab/>
        <w:t>21</w:t>
      </w:r>
    </w:p>
    <w:p>
      <w:pPr>
        <w:tabs>
          <w:tab w:pos="9071" w:val="right" w:leader="dot"/>
        </w:tabs>
        <w:spacing w:before="0" w:after="0" w:line="360" w:lineRule="auto"/>
        <w:ind w:firstLine="0" w:left="340"/>
        <w:jc w:val="left"/>
      </w:pPr>
      <w:r>
        <w:rPr>
          <w:b w:val="0"/>
          <w:i w:val="0"/>
          <w:sz w:val="21"/>
        </w:rPr>
        <w:t>3.15 Registro ANVISA e autorização de funcionamento do licitante sem previsão expressa na habilitação</w:t>
      </w:r>
      <w:r>
        <w:rPr>
          <w:b w:val="0"/>
          <w:i w:val="0"/>
          <w:sz w:val="21"/>
        </w:rPr>
        <w:tab/>
        <w:t>22</w:t>
      </w:r>
    </w:p>
    <w:p>
      <w:pPr>
        <w:tabs>
          <w:tab w:pos="9071" w:val="right" w:leader="dot"/>
        </w:tabs>
        <w:spacing w:before="0" w:after="0" w:line="360" w:lineRule="auto"/>
        <w:ind w:firstLine="0" w:left="340"/>
        <w:jc w:val="left"/>
      </w:pPr>
      <w:r>
        <w:rPr>
          <w:b w:val="0"/>
          <w:i w:val="0"/>
          <w:sz w:val="21"/>
        </w:rPr>
        <w:t>3.16 Quantitativos sem memória de cálculo numérica</w:t>
      </w:r>
      <w:r>
        <w:rPr>
          <w:b w:val="0"/>
          <w:i w:val="0"/>
          <w:sz w:val="21"/>
        </w:rPr>
        <w:tab/>
        <w:t>23</w:t>
      </w:r>
    </w:p>
    <w:p>
      <w:pPr>
        <w:tabs>
          <w:tab w:pos="9071" w:val="right" w:leader="dot"/>
        </w:tabs>
        <w:spacing w:before="0" w:after="0" w:line="360" w:lineRule="auto"/>
        <w:ind w:firstLine="0" w:left="0"/>
        <w:jc w:val="left"/>
      </w:pPr>
      <w:r>
        <w:rPr>
          <w:b/>
          <w:i w:val="0"/>
          <w:sz w:val="22"/>
        </w:rPr>
        <w:t>4 ANÁLISE DE PREÇOS</w:t>
      </w:r>
      <w:r>
        <w:rPr>
          <w:b/>
          <w:i w:val="0"/>
          <w:sz w:val="22"/>
        </w:rPr>
        <w:tab/>
        <w:t>24</w:t>
      </w:r>
    </w:p>
    <w:p>
      <w:pPr>
        <w:tabs>
          <w:tab w:pos="9071" w:val="right" w:leader="dot"/>
        </w:tabs>
        <w:spacing w:before="0" w:after="0" w:line="360" w:lineRule="auto"/>
        <w:ind w:firstLine="0" w:left="0"/>
        <w:jc w:val="left"/>
      </w:pPr>
      <w:r>
        <w:rPr>
          <w:b/>
          <w:i w:val="0"/>
          <w:sz w:val="22"/>
        </w:rPr>
        <w:t>5 RECOMENDAÇÕES DE MELHORIA</w:t>
      </w:r>
      <w:r>
        <w:rPr>
          <w:b/>
          <w:i w:val="0"/>
          <w:sz w:val="22"/>
        </w:rPr>
        <w:tab/>
        <w:t>25</w:t>
      </w:r>
    </w:p>
    <w:p>
      <w:pPr>
        <w:tabs>
          <w:tab w:pos="9071" w:val="right" w:leader="dot"/>
        </w:tabs>
        <w:spacing w:before="0" w:after="0" w:line="360" w:lineRule="auto"/>
        <w:ind w:firstLine="0" w:left="0"/>
        <w:jc w:val="left"/>
      </w:pPr>
      <w:r>
        <w:rPr>
          <w:b/>
          <w:i w:val="0"/>
          <w:sz w:val="22"/>
        </w:rPr>
        <w:t>6 CONCLUSÃO</w:t>
      </w:r>
      <w:r>
        <w:rPr>
          <w:b/>
          <w:i w:val="0"/>
          <w:sz w:val="22"/>
        </w:rPr>
        <w:tab/>
        <w:t>25</w:t>
      </w:r>
    </w:p>
    <w:p>
      <w:pPr>
        <w:tabs>
          <w:tab w:pos="9071" w:val="right" w:leader="dot"/>
        </w:tabs>
        <w:spacing w:before="0" w:after="0" w:line="360" w:lineRule="auto"/>
        <w:ind w:firstLine="0" w:left="0"/>
        <w:jc w:val="left"/>
      </w:pPr>
      <w:r>
        <w:rPr>
          <w:b/>
          <w:i w:val="0"/>
          <w:sz w:val="22"/>
        </w:rPr>
        <w:t>REFERÊNCIAS</w:t>
      </w:r>
      <w:r>
        <w:rPr>
          <w:b/>
          <w:i w:val="0"/>
          <w:sz w:val="22"/>
        </w:rPr>
        <w:tab/>
        <w:t>29</w:t>
      </w:r>
    </w:p>
    <w:p>
      <w:pPr>
        <w:tabs>
          <w:tab w:pos="9071" w:val="right" w:leader="dot"/>
        </w:tabs>
        <w:spacing w:before="0" w:after="0" w:line="360" w:lineRule="auto"/>
        <w:ind w:firstLine="0" w:left="0"/>
        <w:jc w:val="left"/>
      </w:pPr>
      <w:r>
        <w:rPr>
          <w:b/>
          <w:i w:val="0"/>
          <w:sz w:val="22"/>
        </w:rPr>
        <w:t>APÊNDICE A – LISTA DE VERIFICAÇÃO</w:t>
      </w:r>
      <w:r>
        <w:rPr>
          <w:b/>
          <w:i w:val="0"/>
          <w:sz w:val="22"/>
        </w:rPr>
        <w:tab/>
        <w:t>30</w:t>
      </w:r>
    </w:p>
    <w:p>
      <w:pPr>
        <w:tabs>
          <w:tab w:pos="9071" w:val="right" w:leader="dot"/>
        </w:tabs>
        <w:spacing w:before="0" w:after="0" w:line="360" w:lineRule="auto"/>
        <w:ind w:firstLine="0" w:left="0"/>
        <w:jc w:val="left"/>
      </w:pPr>
      <w:r>
        <w:rPr>
          <w:b/>
          <w:i w:val="0"/>
          <w:sz w:val="22"/>
        </w:rPr>
        <w:t>APÊNDICE B – METODOLOGIA E LIMITES</w:t>
      </w:r>
      <w:r>
        <w:rPr>
          <w:b/>
          <w:i w:val="0"/>
          <w:sz w:val="22"/>
        </w:rPr>
        <w:tab/>
        <w:t>31</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1</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8</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7</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3</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Prazo mínimo para apresentação de propostas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e de firma reconhecida (trilha t-autenticacao)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Orçamento estimado sem pesquisa de preços documentada e com data defasada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23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Especificações do ultrassom e da mesa ginecológica muito detalhadas, sem tolerância nem justificativa técnica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9, inciso 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Vedação ampla a licitantes com ex-servidores municipais e ex-ocupantes de cargos de 1º e 2º escalões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Exigência de certidão de IPTU apenas para licitantes com sede ou filial em Maricá</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68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Prazo de garantia das mesas ginecológicas indefinido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ANVISA e autorização de funcionamento do licitante sem previsão expressa na habilitação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Quantitativos sem memória de cálculo numérica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 1º, inciso IV</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42E3/2026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Saúde</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Aquisição de 2 aparelhos de ultrassonografia diagnóstico com Doppler colorido e 6 mesas ginecológicas elétricas, para a Secretaria de Saúde (valor estimado R$ 777.978,34).</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55/2025 – Processo 11566/2025 (PNCP 29131075000193-1-000428/2026)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AQUISIÇÃO DE BENS. EQUIPAMENTOS MÉDICOS. ULTRASSONOGRAFIA. MESA GINECOLÓGICA. PRAZO MÍNIMO DE PROPOSTAS. ART. 55. QUALIFICAÇÃO TÉCNICA. ME/EPP. COTA RESERVADA. COERÊNCIA DO EDITAL. MINUTA DE CONTRATO. PESQUISA DE PREÇOS </w:t>
      </w:r>
      <w:r>
        <w:rPr>
          <w:b w:val="0"/>
          <w:i w:val="0"/>
          <w:sz w:val="20"/>
        </w:rPr>
        <w:t>Edital de pregão eletrônico para aquisição de equipamentos de saúde, sem dedicação exclusiva de mão de obra e sem registro de preços. O principal vício é o prazo de apresentação de propostas, contado em 7 dias úteis, abaixo dos 8 dias úteis exigidos para aquisição de bens por menor preço. Há ainda falhas de coerência entre edital, TR e minuta, motivação frágil para afastar a cota de ME/EPP, qualificação técnica pouco objetiva, minuta com campos em branco e resíduos de modelo, e ausência de pesquisa de preços e de ETP nos documentos enviados.</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55/2025 – Processo 11566/2025 (PNCP 29131075000193-1-000428/2026), do Prefeitura Municipal de Maricá – Secretaria de Saúde, cujo objeto é: Aquisição de 2 aparelhos de ultrassonografia diagnóstico com Doppler colorido e 6 mesas ginecológicas elétricas, para a Secretaria de Saúde (valor estimado R$ 777.978,34).</w:t>
      </w:r>
    </w:p>
    <w:p>
      <w:pPr>
        <w:spacing w:before="0" w:after="120" w:line="360" w:lineRule="auto"/>
        <w:ind w:firstLine="709"/>
        <w:jc w:val="both"/>
      </w:pPr>
      <w:r>
        <w:rPr>
          <w:b w:val="0"/>
          <w:i w:val="0"/>
        </w:rPr>
        <w:t>Foram examinados os seguintes documentos: Edital e minutas (ata e contrato) (https://pncp.gov.br/app/editais/29131075000193/2026/428, 113 páginas). O exame teve por parâmetro a Lei 14.133/2021, aplicando-se o roteiro de verificação Licitacon (versão 2026-10-29b), com 36 itens pertinentes ao caso.</w:t>
      </w:r>
    </w:p>
    <w:p>
      <w:pPr>
        <w:spacing w:before="0" w:after="120" w:line="360" w:lineRule="auto"/>
        <w:ind w:firstLine="709"/>
        <w:jc w:val="both"/>
      </w:pPr>
      <w:r>
        <w:rPr>
          <w:b w:val="0"/>
          <w:i w:val="0"/>
        </w:rPr>
        <w:t>O edital traz a estrutura exigida pelo art. 25 da Lei 14.133/2021, com regras de julgamento, habilitação, recursos, sanções, pagamento e reajuste por IPCA com data-base no orçamento. Também traz a declaração do art. 63, § 1º, e a minuta de contrato como anexo. Os itens do roteiro próprios de dedicação exclusiva de mão de obra e de registro de preços não se aplicam, porque se trata de compra de bens com entrega única. A aritmética do Anexo I está correta. Pelos fatos do sistema, o prazo entre a divulgação (29/09/2026) e o fim do recebimento de propostas (09/10/2026) é de 7 dias úteis, inferior aos 8 exigidos (art. 55, I, "a"). Há também contradições internas (prazos de atendimento, encargos moratórios, subcontratação, dotação, cronograma físico-financeiro), minuta com campos em branco e cláusula de garantia incompatível com o item 16.1, justificativa insuficiente para afastar a cota de ME/EPP, e atestados técnicos com critérios pouco objetivos. O orçamento (19/02/2026) não traz memória de pesquisa de preços, e a análise automática não permitiu concluir sobre sobrepreço. A análise ocorre em 29/10/2026, após a data prevista de abertura (09/10/2026), e as providências dependem do estágio atual do certame.</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Prazo mínimo para apresentação de propostas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Edital, item 3.1 – [página 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Pelos fatos do sistema, a divulgação ocorreu em 29/09/2026 e o fim do recebimento de propostas em 09/10/2026. O dia do começo é 30/09/2026 (excluído), e o encerramento cai no 7º dia útil (01, 02, 05, 06, 07, 08 e 09/10). Para aquisição de bens por menor preço, o art. 55, I, "a", exige no mínimo 8 dias úteis. O edital declara os bens como comuns e o critério é menor preço por item. Feriados municipais não foram considerados; se houver algum no intervalo, o prazo é ainda menor.</w:t>
      </w:r>
    </w:p>
    <w:p>
      <w:pPr>
        <w:spacing w:before="0" w:after="120" w:line="360" w:lineRule="auto"/>
        <w:ind w:firstLine="709"/>
        <w:jc w:val="both"/>
      </w:pPr>
      <w:r>
        <w:rPr>
          <w:b w:val="0"/>
          <w:i w:val="0"/>
        </w:rPr>
        <w:t>O documento dispõe: “No dia 09 de outubro de 2026, às 10:00 h, o Pregoeiro iniciará a sessão pública do” (Edital, item 3.1 – [página 4]).</w:t>
      </w:r>
    </w:p>
    <w:p>
      <w:pPr>
        <w:spacing w:before="0" w:after="80" w:line="360" w:lineRule="auto"/>
        <w:ind w:firstLine="709"/>
        <w:jc w:val="both"/>
      </w:pPr>
      <w:r>
        <w:rPr>
          <w:b/>
          <w:i w:val="0"/>
          <w:color w:val="12324A"/>
        </w:rPr>
        <w:t xml:space="preserve">Dispositivo aplicável. </w:t>
      </w:r>
      <w:r>
        <w:rPr>
          <w:b w:val="0"/>
          <w:i w:val="0"/>
        </w:rPr>
        <w:t>A matéria é disciplinada pelo art. 55, pelo art. 183 e pelo art. 183, § 1º, inciso I, da Lei 14.133/2021, que assim dispõem:</w:t>
      </w:r>
    </w:p>
    <w:p>
      <w:pPr>
        <w:spacing w:before="80" w:after="200" w:line="240" w:lineRule="auto"/>
        <w:ind w:firstLine="0" w:left="2268"/>
        <w:jc w:val="both"/>
      </w:pPr>
      <w:r>
        <w:rPr>
          <w:b w:val="0"/>
          <w:i w:val="0"/>
          <w:sz w:val="20"/>
        </w:rPr>
        <w:t>Os prazos mínimos para apresentação de propostas e lances, contados a partir da data de divulgação do edital de licitação, são de: […]</w:t>
      </w:r>
      <w:r>
        <w:rPr>
          <w:b w:val="0"/>
          <w:i w:val="0"/>
          <w:sz w:val="20"/>
        </w:rPr>
        <w:t xml:space="preserve"> (BRASIL, 2021, art. 55)</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80" w:after="200" w:line="240" w:lineRule="auto"/>
        <w:ind w:firstLine="0" w:left="2268"/>
        <w:jc w:val="both"/>
      </w:pPr>
      <w:r>
        <w:rPr>
          <w:b w:val="0"/>
          <w:i w:val="0"/>
          <w:sz w:val="20"/>
        </w:rPr>
        <w:t>Salvo disposição em contrário, considera-se dia do começo do prazo: […] o primeiro dia útil seguinte ao da disponibilização da informação na internet;</w:t>
      </w:r>
      <w:r>
        <w:rPr>
          <w:b w:val="0"/>
          <w:i w:val="0"/>
          <w:sz w:val="20"/>
        </w:rPr>
        <w:t xml:space="preserve"> (BRASIL, 2021, art. 183, § 1º, inciso I)</w:t>
      </w:r>
    </w:p>
    <w:p>
      <w:pPr>
        <w:spacing w:before="0" w:after="120" w:line="360" w:lineRule="auto"/>
        <w:ind w:firstLine="709"/>
        <w:jc w:val="both"/>
      </w:pPr>
      <w:r>
        <w:rPr>
          <w:b/>
          <w:i w:val="0"/>
          <w:color w:val="12324A"/>
        </w:rPr>
        <w:t xml:space="preserve">Análise. </w:t>
      </w:r>
      <w:r>
        <w:rPr>
          <w:b w:val="0"/>
          <w:i w:val="0"/>
        </w:rPr>
        <w:t>O art. 55 fixa os prazos mínimos contados da divulgação, e o art. 183, § 1º, I, define que o dia do começo é o primeiro dia útil seguinte à disponibilização na internet. O prazo menor que o mínimo reduz o tempo de preparação de propostas, sobretudo para equipamentos de alto valor, e é vício que pode levar à republicação ou à anulação.</w:t>
      </w:r>
    </w:p>
    <w:p>
      <w:pPr>
        <w:spacing w:before="0" w:after="120" w:line="360" w:lineRule="auto"/>
        <w:ind w:firstLine="709"/>
        <w:jc w:val="both"/>
      </w:pPr>
      <w:r>
        <w:rPr>
          <w:b/>
          <w:i w:val="0"/>
          <w:color w:val="B23A48"/>
        </w:rPr>
        <w:t xml:space="preserve">Risco de manutenção. </w:t>
      </w:r>
      <w:r>
        <w:rPr>
          <w:b w:val="0"/>
          <w:i w:val="0"/>
        </w:rPr>
        <w:t>Impugnação ou representação por prazo insuficiente, com possível anulação da licitação e do contrato dela decorrente.</w:t>
      </w:r>
    </w:p>
    <w:p>
      <w:pPr>
        <w:spacing w:before="0" w:after="120" w:line="360" w:lineRule="auto"/>
        <w:ind w:firstLine="709"/>
        <w:jc w:val="both"/>
      </w:pPr>
      <w:r>
        <w:rPr>
          <w:b/>
          <w:i w:val="0"/>
          <w:color w:val="12324A"/>
        </w:rPr>
        <w:t xml:space="preserve">Providência recomendada. </w:t>
      </w:r>
      <w:r>
        <w:rPr>
          <w:b w:val="0"/>
          <w:i w:val="0"/>
        </w:rPr>
        <w:t>Verificar o estágio atual (a data prevista de abertura já passou). Se não houve homologação nem contratação, republicar o edital com prazo mínimo de 8 dias úteis contados da nova divulgação ou, se for o caso, anular o certame. Se houver prosseguimento, a autoridade deve motivar a convalidação, demonstrando competição efetiva e ausência de prejuízo, conforme o entendimento do TCU no Acórdão 2921/2026-Plenário. Nos próximos editais, conferir o prazo em dias úteis com a regra do art. 183.</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sessão pública será aberta em [data], observado o prazo mínimo de 8 (oito) dias úteis contados do primeiro dia útil seguinte à divulgação do edital no PNCP (arts. 55, I, "a", e 183, § 1º, I, da Lei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Denúncia sobre pregão eletrônico para coletes balísticos (eleições 2026; estimado R$ 3,2 milhões). O prazo mínimo para apresentação de propostas é contado a partir do primeiro dia útil seguinte à divulgação do edital no PNCP (art. 183, caput e § 1º, I, da Lei 14.133/2021). O recebimento foi encerrado antes do fim desse prazo, mas houve competição efetiva e não se demonstrou prejuízo: parcialmente procedente, com ciência e arquivamento. Ata 41/2026; conferido na base oficial do TCU.</w:t>
      </w:r>
      <w:r>
        <w:rPr>
          <w:b w:val="0"/>
          <w:i w:val="0"/>
          <w:sz w:val="20"/>
        </w:rPr>
        <w:t xml:space="preserve"> (TCU, Acórdão 2921/2026-Plenário – TC 021.316/2026-0)</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E.1 – [página 29]; TR, item 9.27 – [página 69]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quantitativo mínimo de 30% está dentro do limite de 50% do art. 67, § 2º, e os dois itens são parcelas relevantes (item 1 ≈ 86,9% e item 2 ≈ 13,1% do total). Há, porém, falhas de objetividade. O texto do edital traz resíduo do TR ("9.27." e "deste Termo de Referência"). Exige atestados com "características, quantidades, qualidade e prazos compatíveis" sem delimitar, de forma verificável, o que é compatível, e sem dizer se os 30% incidem por item. A expressão "prazos compatíveis" pode ser lida como limitação de tempo, vedada pelo § 2º. O item E.3 exige ainda compatibilidade com a atividade econômica da empresa. Não há, nos documentos enviados, a motivação circunstanciada das parcelas de maior relevância (art. 18, IX).</w:t>
      </w:r>
    </w:p>
    <w:p>
      <w:pPr>
        <w:spacing w:before="0" w:after="120" w:line="360" w:lineRule="auto"/>
        <w:ind w:firstLine="709"/>
        <w:jc w:val="both"/>
      </w:pPr>
      <w:r>
        <w:rPr>
          <w:b w:val="0"/>
          <w:i w:val="0"/>
        </w:rPr>
        <w:t>O documento dispõe: “no quantitativo mínimo de 30% (trinta por cento), equipamentos com” (Edital, item E.1 – [página 29]; TR, item 9.27 – [página 69]).</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e 2º, restringe os atestados às parcelas relevantes, com quantitativos de até 50% e sem limitações de tempo e de locais. A falta de critérios objetivos facilita avaliações discricionárias e pode restringir a competição.</w:t>
      </w:r>
    </w:p>
    <w:p>
      <w:pPr>
        <w:spacing w:before="0" w:after="120" w:line="360" w:lineRule="auto"/>
        <w:ind w:firstLine="709"/>
        <w:jc w:val="both"/>
      </w:pPr>
      <w:r>
        <w:rPr>
          <w:b/>
          <w:i w:val="0"/>
          <w:color w:val="C9781E"/>
        </w:rPr>
        <w:t xml:space="preserve">Risco de manutenção. </w:t>
      </w:r>
      <w:r>
        <w:rPr>
          <w:b w:val="0"/>
          <w:i w:val="0"/>
        </w:rPr>
        <w:t>Inabilitação subjetiva, impugnações e apontamento de restrição à competitividade.</w:t>
      </w:r>
    </w:p>
    <w:p>
      <w:pPr>
        <w:spacing w:before="0" w:after="120" w:line="360" w:lineRule="auto"/>
        <w:ind w:firstLine="709"/>
        <w:jc w:val="both"/>
      </w:pPr>
      <w:r>
        <w:rPr>
          <w:b/>
          <w:i w:val="0"/>
          <w:color w:val="12324A"/>
        </w:rPr>
        <w:t xml:space="preserve">Providência recomendada. </w:t>
      </w:r>
      <w:r>
        <w:rPr>
          <w:b w:val="0"/>
          <w:i w:val="0"/>
        </w:rPr>
        <w:t>Definir objetivamente as características mínimas do equipamento comparável (por exemplo, ultrassom com Doppler colorido e transdutores equivalentes), o quantitativo por item (arredondado) e a forma de soma. Retirar a referência a "prazos" e a "atividade econômica", e corrigir a remissão a "Termo de Referência" no texto do edital. Registrar no ETP a motivação das parcelas de maior relevância.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Atestado(s) que comprove(m) o fornecimento anterior de, no mínimo, [X] unidade(s) de equipamento de ultrassonografia com Doppler colorido [e mesa ginecológica elétrica], equivalente(s) às características essenciais do item, correspondente(s) a até 50% do quantitativo licitado, admitida a soma de atestados, sem limitação de tempo ou local.</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9.4 – [página 66]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aplica o tratamento favorecido (empate ficto de 5%, regularidade fiscal tardia, declaração de enquadramento). Pelos valores, a exclusividade do art. 48, I, da LC 123 não se aplica (item 2 totaliza R$ 101.978,34, acima de R$ 80.000). O TR, porém, afasta a cota reservada "tendo em vista o valor dos itens", sem apontar uma das hipóteses do art. 49 da LC 123. O item 2 tem 6 unidades, e a divisibilidade não foi analisada.</w:t>
      </w:r>
    </w:p>
    <w:p>
      <w:pPr>
        <w:spacing w:before="0" w:after="120" w:line="360" w:lineRule="auto"/>
        <w:ind w:firstLine="709"/>
        <w:jc w:val="both"/>
      </w:pPr>
      <w:r>
        <w:rPr>
          <w:b w:val="0"/>
          <w:i w:val="0"/>
        </w:rPr>
        <w:t>O documento dispõe: “Não será concedida cota para microempresa, em consonância com o art. 49 da Lei” (TR, item 9.4 – [página 66]).</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da Lei 14.133/2021 manda aplicar os arts. 42 a 49 da LC 123. A cota de até 25% para bens divisíveis só pode ser afastada em uma das hipóteses do art. 49 da LC 123, motivadas no processo. O valor do item, isoladamente, não é uma dessas hipóteses, e o valor estimado (R$ 777 mil) não ultrapassa o limite do art. 4º, § 1º, I.</w:t>
      </w:r>
    </w:p>
    <w:p>
      <w:pPr>
        <w:spacing w:before="0" w:after="120" w:line="360" w:lineRule="auto"/>
        <w:ind w:firstLine="709"/>
        <w:jc w:val="both"/>
      </w:pPr>
      <w:r>
        <w:rPr>
          <w:b/>
          <w:i w:val="0"/>
          <w:color w:val="C9781E"/>
        </w:rPr>
        <w:t xml:space="preserve">Risco de manutenção. </w:t>
      </w:r>
      <w:r>
        <w:rPr>
          <w:b w:val="0"/>
          <w:i w:val="0"/>
        </w:rPr>
        <w:t>Impugnação por omissão do tratamento favorecido e apontamento do controle.</w:t>
      </w:r>
    </w:p>
    <w:p>
      <w:pPr>
        <w:spacing w:before="0" w:after="120" w:line="360" w:lineRule="auto"/>
        <w:ind w:firstLine="709"/>
        <w:jc w:val="both"/>
      </w:pPr>
      <w:r>
        <w:rPr>
          <w:b/>
          <w:i w:val="0"/>
          <w:color w:val="12324A"/>
        </w:rPr>
        <w:t xml:space="preserve">Providência recomendada. </w:t>
      </w:r>
      <w:r>
        <w:rPr>
          <w:b w:val="0"/>
          <w:i w:val="0"/>
        </w:rPr>
        <w:t>Justificar a não aplicação da cota em uma das hipóteses do art. 49 da LC 123 (por exemplo, indivisibilidade do objeto ou ausência de três fornecedores competitivos enquadrados), ou prever a cota reservada para o item 2 (ou para o quantitativo divisível).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cota reservada de até 25% do quantitativo do item 2 será destinada à participação exclusiva de ME/EPP, nos termos do art. 48, III, da LC 123/2006. [ou] Não será aplicada cota reservada em razão de [hipótese do art. 49 da LC 123, com a justificativa].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Minuta de contrato, Cláusula Nona – [página 97]; Cláusula Décima – [página 101]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integra o edital como Anexo XIII (item 17.2) e traz cláusulas de objeto, valor, pagamento, reajuste, fiscalização, obrigações, recebimento, sanções, extinção e publicação. Está, porém, inacabada: objeto, itens, preço, prazo de vigência, prazo de garantia convencional e dotação em branco, com remissões do tipo "Anexo ____". A cláusula de garantia, com instruções de modelo e 2% do valor, permanece embora o edital dispense garantia (item 16.1). A cláusula de vigência não reflete os 12 meses do edital e do TR. A forma de fornecimento, os prazos de entrega e instalação e a garantia de 24 meses do ultrassom não são transpostos para a minuta.</w:t>
      </w:r>
    </w:p>
    <w:p>
      <w:pPr>
        <w:spacing w:before="0" w:after="120" w:line="360" w:lineRule="auto"/>
        <w:ind w:firstLine="709"/>
        <w:jc w:val="both"/>
      </w:pPr>
      <w:r>
        <w:rPr>
          <w:b w:val="0"/>
          <w:i w:val="0"/>
        </w:rPr>
        <w:t>O documento dispõe: “CLÁUSULA NONA – GARANTIA (INSERIR APENAS SE FOR O CASO DE” (Minuta de contrato, Cláusula Nona – [página 97]; Cláusula Décima – [página 101]).</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18, VI, exige que a minuta, anexa ao edital, esteja pronta para a contratação, e o art. 92 impõe cláusulas necessárias (objeto, prazos, preço e reajuste, garantias, responsabilidades). Instruções de modelo e campos em branco geram insegurança sobre o que será contratado.</w:t>
      </w:r>
    </w:p>
    <w:p>
      <w:pPr>
        <w:spacing w:before="0" w:after="120" w:line="360" w:lineRule="auto"/>
        <w:ind w:firstLine="709"/>
        <w:jc w:val="both"/>
      </w:pPr>
      <w:r>
        <w:rPr>
          <w:b/>
          <w:i w:val="0"/>
          <w:color w:val="C9781E"/>
        </w:rPr>
        <w:t xml:space="preserve">Risco de manutenção. </w:t>
      </w:r>
      <w:r>
        <w:rPr>
          <w:b w:val="0"/>
          <w:i w:val="0"/>
        </w:rPr>
        <w:t>Lacunas e contradições na execução e na aplicação de sanções, e impugnações ao edital.</w:t>
      </w:r>
    </w:p>
    <w:p>
      <w:pPr>
        <w:spacing w:before="0" w:after="120" w:line="360" w:lineRule="auto"/>
        <w:ind w:firstLine="709"/>
        <w:jc w:val="both"/>
      </w:pPr>
      <w:r>
        <w:rPr>
          <w:b/>
          <w:i w:val="0"/>
          <w:color w:val="12324A"/>
        </w:rPr>
        <w:t xml:space="preserve">Providência recomendada. </w:t>
      </w:r>
      <w:r>
        <w:rPr>
          <w:b w:val="0"/>
          <w:i w:val="0"/>
        </w:rPr>
        <w:t>Adaptar a minuta ao caso: preencher objeto, itens, prazos de entrega e instalação, vigência de 12 meses, garantia convencional (24 meses para o ultrassom) e índice de reajuste. Excluir a cláusula de garantia contratual (ou justificá-la), as instruções de modelo e as hipóteses não aplicáveis, e renumerar as cláusulas. Corrigir a numeração ("Parágrafo Terceiro" após "Parágrafo Único" e "Viségima").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17.9, "a" – [página 33]; item 18.4 – [página 34]; TR, itens 5.15 e 8.18 – [páginas 57 e 64]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Contradições e inconsistências: (i) o item 17.9 do edital exige atendimento de solicitações em 24 horas e substituição em 2 dias, enquanto o TR prevê entrega em 30 dias úteis e substituição em 5 dias (itens 2.4, 5.21 e 8.2), cláusula típica de bens de consumo e inexequível para equipamentos; (ii) encargos moratórios: Selic limitada a 12% a.a. (item 18.4) versus IPCA (TR, item 8.18); (iii) o TR não admite subcontratação (item 5.15), mas a minuta a admite com anuência (Cláusula Décima Nona); (iv) o Anexo D traz cronograma de 12 meses, embora a entrega seja única em 30 dias; (v) a dotação do edital (fontes 500, 632, 635 e 704) difere da do TR (fonte 632); (vi) a remissão dos itens 13.1 (a 12.14, que trata de original físico) e 12.12.1 (a 13.2) está errada, e os itens 12.10 e 12.11.2 duplicam o rito de habilitação com regras diferentes sobre onde registrar e quando enviar documentos; (vii) o item 12.12 refere o limite global do item 5.2, embora o julgamento seja por item; (viii) o item 22.6 declara 116 folhas, e o arquivo tem 114 páginas (folhas 834 a 946); (ix) o título cita "PNCP 451/2026", e o número de controle é 000428/2026. O item 22.4 diz que o edital prevalece, o que não elimina a incerteza dos licitantes.</w:t>
      </w:r>
    </w:p>
    <w:p>
      <w:pPr>
        <w:spacing w:before="0" w:after="120" w:line="360" w:lineRule="auto"/>
        <w:ind w:firstLine="709"/>
        <w:jc w:val="both"/>
      </w:pPr>
      <w:r>
        <w:rPr>
          <w:b w:val="0"/>
          <w:i w:val="0"/>
        </w:rPr>
        <w:t>O documento dispõe: “atender às solicitações requeridas, em até 24 (vinte e quatro) horas contadas a partir de seu” (Edital, item 17.9, "a" – [página 33]; item 18.4 – [página 34]; TR, itens 5.15 e 8.18 – [páginas 57 e 64]).</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que o edital traga com clareza as regras de julgamento, entrega, pagamento e penalidades, e o art. 18, IX, pede motivação circunstanciada das condições. Regras conflitantes dificultam a formulação das propostas e fundamentam impugnações e recursos.</w:t>
      </w:r>
    </w:p>
    <w:p>
      <w:pPr>
        <w:spacing w:before="0" w:after="120" w:line="360" w:lineRule="auto"/>
        <w:ind w:firstLine="709"/>
        <w:jc w:val="both"/>
      </w:pPr>
      <w:r>
        <w:rPr>
          <w:b/>
          <w:i w:val="0"/>
          <w:color w:val="C9781E"/>
        </w:rPr>
        <w:t xml:space="preserve">Risco de manutenção. </w:t>
      </w:r>
      <w:r>
        <w:rPr>
          <w:b w:val="0"/>
          <w:i w:val="0"/>
        </w:rPr>
        <w:t>Impugnações, recursos e divergências de interpretação na execução do contrato.</w:t>
      </w:r>
    </w:p>
    <w:p>
      <w:pPr>
        <w:spacing w:before="0" w:after="120" w:line="360" w:lineRule="auto"/>
        <w:ind w:firstLine="709"/>
        <w:jc w:val="both"/>
      </w:pPr>
      <w:r>
        <w:rPr>
          <w:b/>
          <w:i w:val="0"/>
          <w:color w:val="12324A"/>
        </w:rPr>
        <w:t xml:space="preserve">Providência recomendada. </w:t>
      </w:r>
      <w:r>
        <w:rPr>
          <w:b w:val="0"/>
          <w:i w:val="0"/>
        </w:rPr>
        <w:t>Unificar edital, TR e minuta: prazos de entrega e substituição, índice de atualização por atraso, subcontratação, dotação, cronograma (ou excluí-lo), remissões internas e número de folhas. Consolidar o rito de habilitação em um único item.</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Exigência de via física original ou autenticada, e de firma reconhecida (trilha t-autenticacao)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Edital, item 12.14 – [página 21]; item 17.3 – [página 32]; minuta, Cláusula Nona – [página 98]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12.14 exige que o vencedor entregue a via física, original ou autenticada, dos documentos de habilitação enviados em cópia simples, em 2 dias úteis. O item 17.3 exige procuração com firma reconhecida para o mandatário assinar o contrato. A minuta contém exigência de cópia autenticada de apólices e do título de capitalização, em cláusulas de garantia que não se aplicam.</w:t>
      </w:r>
    </w:p>
    <w:p>
      <w:pPr>
        <w:spacing w:before="0" w:after="120" w:line="360" w:lineRule="auto"/>
        <w:ind w:firstLine="709"/>
        <w:jc w:val="both"/>
      </w:pPr>
      <w:r>
        <w:rPr>
          <w:b w:val="0"/>
          <w:i w:val="0"/>
        </w:rPr>
        <w:t>O documento dispõe: “a via física original ou autenticada, no prazo de 2 (dois) dias úteis.” (Edital, item 12.14 – [página 21]; item 17.3 – [página 32]; minuta, Cláusula Nona – [página 98]).</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O processo é eletrônico, e o edital mesmo prevê o envio digital (itens 10.2.2 e 12.10, "d"). Exigir via física é formalismo desnecessário e contraditório. A lei afasta o desatendimento de exigências meramente formais que não comprometam a validade do documento e privilegia atos digitais.</w:t>
      </w:r>
    </w:p>
    <w:p>
      <w:pPr>
        <w:spacing w:before="0" w:after="120" w:line="360" w:lineRule="auto"/>
        <w:ind w:firstLine="709"/>
        <w:jc w:val="both"/>
      </w:pPr>
      <w:r>
        <w:rPr>
          <w:b/>
          <w:i w:val="0"/>
          <w:color w:val="C9781E"/>
        </w:rPr>
        <w:t xml:space="preserve">Risco de manutenção. </w:t>
      </w:r>
      <w:r>
        <w:rPr>
          <w:b w:val="0"/>
          <w:i w:val="0"/>
        </w:rPr>
        <w:t>Inabilitação indevida do vencedor por formalidade, com recurso e atraso na contratação.</w:t>
      </w:r>
    </w:p>
    <w:p>
      <w:pPr>
        <w:spacing w:before="0" w:after="120" w:line="360" w:lineRule="auto"/>
        <w:ind w:firstLine="709"/>
        <w:jc w:val="both"/>
      </w:pPr>
      <w:r>
        <w:rPr>
          <w:b/>
          <w:i w:val="0"/>
          <w:color w:val="12324A"/>
        </w:rPr>
        <w:t xml:space="preserve">Providência recomendada. </w:t>
      </w:r>
      <w:r>
        <w:rPr>
          <w:b w:val="0"/>
          <w:i w:val="0"/>
        </w:rPr>
        <w:t>Excluir a exigência de via física, ou limitá-la à diligência quando houver dúvida fundada. Aceitar documentos assinados digitalmente ou com verificação eletrônica e dispensar o reconhecimento de firma quando houver meio de aferir a autenticidade.</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Orçamento estimado sem pesquisa de preços documentada e com data defasada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Anexo I – [página 43]; Anexo A (memória de cálculo) – [página 80]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Anexo I informa data do orçamento em 19/02/2026, oito meses antes do certame. O TR e a memória de cálculo trazem preços unitários e quantidades, mas não indicam fontes, cestas de preços nem a pesquisa. O ultrassom está estimado em valor redondo (R$ 338.000,00). A análise automática do sistema não encontrou amostra compatível: 1 item sem amostra suficiente e 1 com amostra heterogênea. Isso impede concluir sobre sobrepreço, mas também não confirma a adequação da estimativa.</w:t>
      </w:r>
    </w:p>
    <w:p>
      <w:pPr>
        <w:spacing w:before="0" w:after="120" w:line="360" w:lineRule="auto"/>
        <w:ind w:firstLine="709"/>
        <w:jc w:val="both"/>
      </w:pPr>
      <w:r>
        <w:rPr>
          <w:b w:val="0"/>
          <w:i w:val="0"/>
        </w:rPr>
        <w:t>O documento dispõe: “Data do orçamento estimado: 19 de fevereiro de 2026” (Anexo I – [página 43]; Anexo A (memória de cálculo) – [página 80]).</w:t>
      </w:r>
    </w:p>
    <w:p>
      <w:pPr>
        <w:spacing w:before="0" w:after="80" w:line="360" w:lineRule="auto"/>
        <w:ind w:firstLine="709"/>
        <w:jc w:val="both"/>
      </w:pPr>
      <w:r>
        <w:rPr>
          <w:b/>
          <w:i w:val="0"/>
          <w:color w:val="12324A"/>
        </w:rPr>
        <w:t xml:space="preserve">Dispositivo aplicável. </w:t>
      </w:r>
      <w:r>
        <w:rPr>
          <w:b w:val="0"/>
          <w:i w:val="0"/>
        </w:rPr>
        <w:t>A matéria é disciplinada pelo art. 23 e pelo art. 18, inciso IV, da Lei 14.133/2021, que assim dispõem:</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art. 23 exige valor estimado compatível com o mercado, com base em bancos de dados públicos e nas quantidades. O art. 18, IV, exige o orçamento com as composições de preços. A falta de memória da pesquisa impede aferir a razoabilidade e a aceitabilidade das propostas.</w:t>
      </w:r>
    </w:p>
    <w:p>
      <w:pPr>
        <w:spacing w:before="0" w:after="120" w:line="360" w:lineRule="auto"/>
        <w:ind w:firstLine="709"/>
        <w:jc w:val="both"/>
      </w:pPr>
      <w:r>
        <w:rPr>
          <w:b/>
          <w:i w:val="0"/>
          <w:color w:val="C9781E"/>
        </w:rPr>
        <w:t xml:space="preserve">Risco de manutenção. </w:t>
      </w:r>
      <w:r>
        <w:rPr>
          <w:b w:val="0"/>
          <w:i w:val="0"/>
        </w:rPr>
        <w:t>Estimativa defasada ou frágil, com risco de sobrepreço ou de licitação deserta ou fracassada. O desvio do orçamento pode ser apontado pelo controle.</w:t>
      </w:r>
    </w:p>
    <w:p>
      <w:pPr>
        <w:spacing w:before="0" w:after="120" w:line="360" w:lineRule="auto"/>
        <w:ind w:firstLine="709"/>
        <w:jc w:val="both"/>
      </w:pPr>
      <w:r>
        <w:rPr>
          <w:b/>
          <w:i w:val="0"/>
          <w:color w:val="12324A"/>
        </w:rPr>
        <w:t xml:space="preserve">Providência recomendada. </w:t>
      </w:r>
      <w:r>
        <w:rPr>
          <w:b w:val="0"/>
          <w:i w:val="0"/>
        </w:rPr>
        <w:t>Juntar o mapa de preços, com fontes e cesta comparável (mesma especificação, quantidade e local), e avaliar a atualização do orçamento, considerando o tempo decorrido e o reflexo na data-base de reajuste.</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Especificações do ultrassom e da mesa ginecológica muito detalhadas, sem tolerância nem justificativa técnica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item 1.1, descrição do item 2 – [páginas 47-48]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fixa dimensões exatas da mesa ginecológica (assento, encosto, perneira, largura, comprimento e altura totais) sem margem de tolerância, e exige um conjunto extenso de funcionalidades do ultrassom (por exemplo, quatro conexões simultâneas sem adaptadores, elastografia strain, software de agulha). O TR menciona "marcas exemplificativas", mas não as indica. A descrição da mesa termina em frase incompleta ("comprimento;"). Não há, nos documentos enviados, demonstração de que diversos fabricantes atendem à descrição.</w:t>
      </w:r>
    </w:p>
    <w:p>
      <w:pPr>
        <w:spacing w:before="0" w:after="120" w:line="360" w:lineRule="auto"/>
        <w:ind w:firstLine="709"/>
        <w:jc w:val="both"/>
      </w:pPr>
      <w:r>
        <w:rPr>
          <w:b w:val="0"/>
          <w:i w:val="0"/>
        </w:rPr>
        <w:t>O documento dispõe: “assento em relação ao solo 98 cm” (TR, item 1.1, descrição do item 2 – [páginas 47-48]).</w:t>
      </w:r>
    </w:p>
    <w:p>
      <w:pPr>
        <w:spacing w:before="0" w:after="80" w:line="360" w:lineRule="auto"/>
        <w:ind w:firstLine="709"/>
        <w:jc w:val="both"/>
      </w:pPr>
      <w:r>
        <w:rPr>
          <w:b/>
          <w:i w:val="0"/>
          <w:color w:val="12324A"/>
        </w:rPr>
        <w:t xml:space="preserve">Dispositivo aplicável. </w:t>
      </w:r>
      <w:r>
        <w:rPr>
          <w:b w:val="0"/>
          <w:i w:val="0"/>
        </w:rPr>
        <w:t>A matéria é disciplinada pelo art. 9, inciso I, da Lei 14.133/2021, que assim dispõe:</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0" w:after="120" w:line="360" w:lineRule="auto"/>
        <w:ind w:firstLine="709"/>
        <w:jc w:val="both"/>
      </w:pPr>
      <w:r>
        <w:rPr>
          <w:b/>
          <w:i w:val="0"/>
          <w:color w:val="12324A"/>
        </w:rPr>
        <w:t xml:space="preserve">Análise. </w:t>
      </w:r>
      <w:r>
        <w:rPr>
          <w:b w:val="0"/>
          <w:i w:val="0"/>
        </w:rPr>
        <w:t>Exigências detalhadas, sem tolerância e sem justificativa, podem direcionar a compra a um modelo e restringir a competitividade (art. 9º, I). A descrição precisa ser objetiva e permitir a competição entre fabricantes.</w:t>
      </w:r>
    </w:p>
    <w:p>
      <w:pPr>
        <w:spacing w:before="0" w:after="120" w:line="360" w:lineRule="auto"/>
        <w:ind w:firstLine="709"/>
        <w:jc w:val="both"/>
      </w:pPr>
      <w:r>
        <w:rPr>
          <w:b/>
          <w:i w:val="0"/>
          <w:color w:val="C9781E"/>
        </w:rPr>
        <w:t xml:space="preserve">Risco de manutenção. </w:t>
      </w:r>
      <w:r>
        <w:rPr>
          <w:b w:val="0"/>
          <w:i w:val="0"/>
        </w:rPr>
        <w:t>Impugnação por direcionamento a determinada marca e licitação deserta ou com pouca competição.</w:t>
      </w:r>
    </w:p>
    <w:p>
      <w:pPr>
        <w:spacing w:before="0" w:after="120" w:line="360" w:lineRule="auto"/>
        <w:ind w:firstLine="709"/>
        <w:jc w:val="both"/>
      </w:pPr>
      <w:r>
        <w:rPr>
          <w:b/>
          <w:i w:val="0"/>
          <w:color w:val="12324A"/>
        </w:rPr>
        <w:t xml:space="preserve">Providência recomendada. </w:t>
      </w:r>
      <w:r>
        <w:rPr>
          <w:b w:val="0"/>
          <w:i w:val="0"/>
        </w:rPr>
        <w:t>Justificar tecnicamente as características essenciais, admitir tolerância nas dimensões (por exemplo, ±5%) e equivalência funcional, corrigir o trecho incompleto e demonstrar no ETP, com a pesquisa de mercado, que há pelo menos três fabricantes que atendem à especificação.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Vedação ampla a licitantes com ex-servidores municipais e ex-ocupantes de cargos de 1º e 2º escalões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Edital, item 8.11 – [página 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veda a participação de licitantes cujos dirigentes, sócios ou quadro técnico tenham sido servidores do Município nos últimos 180 dias, e de licitantes com profissional que tenha ocupado cargo de 1º ou 2º escalão nos últimos 12 meses. As vedações são fundamentadas apenas em decretos municipais genéricos, e não em dispositivo da Lei 14.133.</w:t>
      </w:r>
    </w:p>
    <w:p>
      <w:pPr>
        <w:spacing w:before="0" w:after="120" w:line="360" w:lineRule="auto"/>
        <w:ind w:firstLine="709"/>
        <w:jc w:val="both"/>
      </w:pPr>
      <w:r>
        <w:rPr>
          <w:b w:val="0"/>
          <w:i w:val="0"/>
        </w:rPr>
        <w:t>O documento dispõe: “ou que o tenham sido nos últimos 180 (cento e oitenta) dias anteriores à data” (Edital, item 8.11 – [página 8]).</w:t>
      </w:r>
    </w:p>
    <w:p>
      <w:pPr>
        <w:spacing w:before="0" w:after="80" w:line="360" w:lineRule="auto"/>
        <w:ind w:firstLine="709"/>
        <w:jc w:val="both"/>
      </w:pPr>
      <w:r>
        <w:rPr>
          <w:b/>
          <w:i w:val="0"/>
          <w:color w:val="12324A"/>
        </w:rPr>
        <w:t xml:space="preserve">Dispositivo aplicável. </w:t>
      </w:r>
      <w:r>
        <w:rPr>
          <w:b w:val="0"/>
          <w:i w:val="0"/>
        </w:rPr>
        <w:t>A matéria é disciplinada pelo art. 9, inciso I e pelo art. 14, da Lei 14.133/2021, que assim dispõem:</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80" w:after="200" w:line="240" w:lineRule="auto"/>
        <w:ind w:firstLine="0" w:left="2268"/>
        <w:jc w:val="both"/>
      </w:pPr>
      <w:r>
        <w:rPr>
          <w:b w:val="0"/>
          <w:i w:val="0"/>
          <w:sz w:val="20"/>
        </w:rPr>
        <w:t>Não poderão disputar licitação ou participar da execução de contrato, direta ou indiretamente: […]</w:t>
      </w:r>
      <w:r>
        <w:rPr>
          <w:b w:val="0"/>
          <w:i w:val="0"/>
          <w:sz w:val="20"/>
        </w:rPr>
        <w:t xml:space="preserve"> (BRASIL, 2021, art. 14)</w:t>
      </w:r>
    </w:p>
    <w:p>
      <w:pPr>
        <w:spacing w:before="0" w:after="120" w:line="360" w:lineRule="auto"/>
        <w:ind w:firstLine="709"/>
        <w:jc w:val="both"/>
      </w:pPr>
      <w:r>
        <w:rPr>
          <w:b/>
          <w:i w:val="0"/>
          <w:color w:val="12324A"/>
        </w:rPr>
        <w:t xml:space="preserve">Análise. </w:t>
      </w:r>
      <w:r>
        <w:rPr>
          <w:b w:val="0"/>
          <w:i w:val="0"/>
        </w:rPr>
        <w:t>Os impedimentos de participação são os do art. 14 e do art. 9º, § 1º. Quarentenas adicionais, sem base legal clara, podem restringir indevidamente a competitividade.</w:t>
      </w:r>
    </w:p>
    <w:p>
      <w:pPr>
        <w:spacing w:before="0" w:after="120" w:line="360" w:lineRule="auto"/>
        <w:ind w:firstLine="709"/>
        <w:jc w:val="both"/>
      </w:pPr>
      <w:r>
        <w:rPr>
          <w:b/>
          <w:i w:val="0"/>
          <w:color w:val="C9781E"/>
        </w:rPr>
        <w:t xml:space="preserve">Risco de manutenção. </w:t>
      </w:r>
      <w:r>
        <w:rPr>
          <w:b w:val="0"/>
          <w:i w:val="0"/>
        </w:rPr>
        <w:t>Impugnação por restrição sem previsão legal e exclusão de licitantes.</w:t>
      </w:r>
    </w:p>
    <w:p>
      <w:pPr>
        <w:spacing w:before="0" w:after="120" w:line="360" w:lineRule="auto"/>
        <w:ind w:firstLine="709"/>
        <w:jc w:val="both"/>
      </w:pPr>
      <w:r>
        <w:rPr>
          <w:b/>
          <w:i w:val="0"/>
          <w:color w:val="12324A"/>
        </w:rPr>
        <w:t xml:space="preserve">Providência recomendada. </w:t>
      </w:r>
      <w:r>
        <w:rPr>
          <w:b w:val="0"/>
          <w:i w:val="0"/>
        </w:rPr>
        <w:t>Indicar o fundamento legal de cada vedação ou ajustá-la às hipóteses do art. 14 e do art. 9º, § 1º, da Lei 14.133/2021.</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Minuta de contrato, Cláusula Quinta, Parágrafo Primeiro – [página 95]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reajuste por IPCA, com interregno de 12 meses contados da data do orçamento estimado (19/02/2026), o que atende ao art. 25, § 7º. A minuta de contrato, porém, mantém o índice em branco, embora o art. 92, § 3º, exija cláusula com o índice.</w:t>
      </w:r>
    </w:p>
    <w:p>
      <w:pPr>
        <w:spacing w:before="0" w:after="120" w:line="360" w:lineRule="auto"/>
        <w:ind w:firstLine="709"/>
        <w:jc w:val="both"/>
      </w:pPr>
      <w:r>
        <w:rPr>
          <w:b w:val="0"/>
          <w:i w:val="0"/>
        </w:rPr>
        <w:t>O documento dispõe: “Os preços serão reajustados de acordo com a variação do Índice” (Minuta de contrato, Cláusula Quinta, Parágrafo Primeiro – [página 95]).</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92, § 3º, exige que o contrato contenha cláusula com o índice de reajustamento e a data-base vinculada ao orçamento. A minuta anexa ao edital deve refletir o que o edital já definiu (IPCA).</w:t>
      </w:r>
    </w:p>
    <w:p>
      <w:pPr>
        <w:spacing w:before="0" w:after="120" w:line="360" w:lineRule="auto"/>
        <w:ind w:firstLine="709"/>
        <w:jc w:val="both"/>
      </w:pPr>
      <w:r>
        <w:rPr>
          <w:b/>
          <w:i w:val="0"/>
          <w:color w:val="3D8FA6"/>
        </w:rPr>
        <w:t xml:space="preserve">Risco de manutenção. </w:t>
      </w:r>
      <w:r>
        <w:rPr>
          <w:b w:val="0"/>
          <w:i w:val="0"/>
        </w:rPr>
        <w:t>Divergência entre edital e contrato quanto ao índice, gerando disputa sobre o critério aplicável.</w:t>
      </w:r>
    </w:p>
    <w:p>
      <w:pPr>
        <w:spacing w:before="0" w:after="120" w:line="360" w:lineRule="auto"/>
        <w:ind w:firstLine="709"/>
        <w:jc w:val="both"/>
      </w:pPr>
      <w:r>
        <w:rPr>
          <w:b/>
          <w:i w:val="0"/>
          <w:color w:val="12324A"/>
        </w:rPr>
        <w:t xml:space="preserve">Providência recomendada. </w:t>
      </w:r>
      <w:r>
        <w:rPr>
          <w:b w:val="0"/>
          <w:i w:val="0"/>
        </w:rPr>
        <w:t>Preencher a minuta com o IPCA e a data-base de 19/02/2026, harmonizando-a com o item 19 do edital e o item 2.3 do TR.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de acordo com a variação do IPCA/IBGE, com data-base em 19/02/2026 (data do orçamento estimado), observado o interregno mínimo de 12 meses.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B.1.a – [página 24]; item B.2 – [páginas 25-26]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As exigências são usuais e estão dentro dos limites legais: ILG ≥ 1 e, alternativamente, patrimônio líquido mínimo de 10% do valor estimado. Não há faturamento mínimo nem índices de rentabilidade. Pontos de atenção: (i) a justificativa dos índices (art. 69, caput) não consta dos documentos enviados, e o TR cita o ETP sem juntá-lo; (ii) o TR (item 9.24) exige declaração de contador sobre o índice, que o edital não repete; (iii) o patrimônio líquido de 10% incide sobre o valor total de R$ 777.978,34, mesmo para quem disputa apenas o item 2 (R$ 101.978,34).</w:t>
      </w:r>
    </w:p>
    <w:p>
      <w:pPr>
        <w:spacing w:before="0" w:after="120" w:line="360" w:lineRule="auto"/>
        <w:ind w:firstLine="709"/>
        <w:jc w:val="both"/>
      </w:pPr>
      <w:r>
        <w:rPr>
          <w:b w:val="0"/>
          <w:i w:val="0"/>
        </w:rPr>
        <w:t>O documento dispõe: “Índice de Liquidez Geral (ILG) igual ou maior que 1 (um).” (Edital, item B.1.a – [página 24]; item B.2 – [páginas 25-26]).</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índices justificados no processo e limita o patrimônio líquido mínimo a 10% do valor estimado. Quando a disputa é por item, o parâmetro proporcional ao item evita barreira desnecessária.</w:t>
      </w:r>
    </w:p>
    <w:p>
      <w:pPr>
        <w:spacing w:before="0" w:after="120" w:line="360" w:lineRule="auto"/>
        <w:ind w:firstLine="709"/>
        <w:jc w:val="both"/>
      </w:pPr>
      <w:r>
        <w:rPr>
          <w:b/>
          <w:i w:val="0"/>
          <w:color w:val="3D8FA6"/>
        </w:rPr>
        <w:t xml:space="preserve">Risco de manutenção. </w:t>
      </w:r>
      <w:r>
        <w:rPr>
          <w:b w:val="0"/>
          <w:i w:val="0"/>
        </w:rPr>
        <w:t>Questionamento da exigência por ausência de justificativa, ou afastamento de empresas interessadas em apenas um item.</w:t>
      </w:r>
    </w:p>
    <w:p>
      <w:pPr>
        <w:spacing w:before="0" w:after="120" w:line="360" w:lineRule="auto"/>
        <w:ind w:firstLine="709"/>
        <w:jc w:val="both"/>
      </w:pPr>
      <w:r>
        <w:rPr>
          <w:b/>
          <w:i w:val="0"/>
          <w:color w:val="12324A"/>
        </w:rPr>
        <w:t xml:space="preserve">Providência recomendada. </w:t>
      </w:r>
      <w:r>
        <w:rPr>
          <w:b w:val="0"/>
          <w:i w:val="0"/>
        </w:rPr>
        <w:t>Juntar ou citar a justificativa dos índices. Harmonizar edital e TR quanto à declaração contábil. Avaliar calcular o patrimônio líquido mínimo sobre o valor do(s) item(ns) em que o licitante concorre.</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3.12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1.8.1 – [página 3]; item 1.8.2 –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pedidos de esclarecimento e as impugnações têm prazo de 3 dias úteis antes da abertura, e a resposta aos esclarecimentos respeita o limite do último dia útil antes da abertura (item 1.7.1). Para a impugnação, o item 1.8.1 fixa 3 dias úteis a contar do recebimento, sem o limite do último dia útil anterior à abertura nem a menção à divulgação da resposta em sítio oficial. O item 1.8.2 atribui efeito suspensivo automático a toda impugnação, o que a lei não prevê.</w:t>
      </w:r>
    </w:p>
    <w:p>
      <w:pPr>
        <w:spacing w:before="0" w:after="120" w:line="360" w:lineRule="auto"/>
        <w:ind w:firstLine="709"/>
        <w:jc w:val="both"/>
      </w:pPr>
      <w:r>
        <w:rPr>
          <w:b w:val="0"/>
          <w:i w:val="0"/>
        </w:rPr>
        <w:t>O documento dispõe: “decidir sobre a impugnação no prazo de 3 (três) dias úteis, contado da data de” (Edital, item 1.8.1 – [página 3]; item 1.8.2 –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determina que a resposta seja divulgada em sítio oficial em até 3 dias úteis, limitado ao último dia útil anterior à data da abertura. O efeito suspensivo automático amplia o risco de adiamentos por impugnações protelatórias.</w:t>
      </w:r>
    </w:p>
    <w:p>
      <w:pPr>
        <w:spacing w:before="0" w:after="120" w:line="360" w:lineRule="auto"/>
        <w:ind w:firstLine="709"/>
        <w:jc w:val="both"/>
      </w:pPr>
      <w:r>
        <w:rPr>
          <w:b/>
          <w:i w:val="0"/>
          <w:color w:val="3D8FA6"/>
        </w:rPr>
        <w:t xml:space="preserve">Risco de manutenção. </w:t>
      </w:r>
      <w:r>
        <w:rPr>
          <w:b w:val="0"/>
          <w:i w:val="0"/>
        </w:rPr>
        <w:t>Questionamento do rito de impugnação e atrasos no certame.</w:t>
      </w:r>
    </w:p>
    <w:p>
      <w:pPr>
        <w:spacing w:before="0" w:after="120" w:line="360" w:lineRule="auto"/>
        <w:ind w:firstLine="709"/>
        <w:jc w:val="both"/>
      </w:pPr>
      <w:r>
        <w:rPr>
          <w:b/>
          <w:i w:val="0"/>
          <w:color w:val="12324A"/>
        </w:rPr>
        <w:t xml:space="preserve">Providência recomendada. </w:t>
      </w:r>
      <w:r>
        <w:rPr>
          <w:b w:val="0"/>
          <w:i w:val="0"/>
        </w:rPr>
        <w:t>Incluir o limite do último dia útil anterior à abertura e a divulgação da resposta no sítio eletrônico oficial. Reavaliar o efeito suspensivo automático (por exemplo, condicioná-lo a decisão da autoridade).</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resposta à impugnação será divulgada no sítio eletrônico oficial em até 3 (três) dias úteis, contados do recebimento, limitado ao último dia útil anterior à data da abertura do certame.</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Exigência de certidão de IPTU apenas para licitantes com sede ou filial em Maricá</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itens C.3.c.1 – [página 27] e C.4 – [página 28]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Para licitante domiciliada no Município (e para filial ou escritório local de licitante de fora), o edital exige, além das certidões de ISS, certidão de IPTU ou declaração de não propriedade do imóvel. Esse encargo não se aplica aos demais licitantes e o tributo não tem relação com o objeto (compra de equipamentos).</w:t>
      </w:r>
    </w:p>
    <w:p>
      <w:pPr>
        <w:spacing w:before="0" w:after="120" w:line="360" w:lineRule="auto"/>
        <w:ind w:firstLine="709"/>
        <w:jc w:val="both"/>
      </w:pPr>
      <w:r>
        <w:rPr>
          <w:b w:val="0"/>
          <w:i w:val="0"/>
        </w:rPr>
        <w:t>O documento dispõe: “além dos documentos listados no item acima, certidão negativa ou positiva com efeito” (Edital, itens C.3.c.1 – [página 27] e C.4 – [página 28]).</w:t>
      </w:r>
    </w:p>
    <w:p>
      <w:pPr>
        <w:spacing w:before="0" w:after="80" w:line="360" w:lineRule="auto"/>
        <w:ind w:firstLine="709"/>
        <w:jc w:val="both"/>
      </w:pPr>
      <w:r>
        <w:rPr>
          <w:b/>
          <w:i w:val="0"/>
          <w:color w:val="12324A"/>
        </w:rPr>
        <w:t xml:space="preserve">Dispositivo aplicável. </w:t>
      </w:r>
      <w:r>
        <w:rPr>
          <w:b w:val="0"/>
          <w:i w:val="0"/>
        </w:rPr>
        <w:t>A matéria é disciplinada pelo art. 68 e pelo art. 9, inciso I, da Lei 14.133/2021, que assim dispõem:</w:t>
      </w:r>
    </w:p>
    <w:p>
      <w:pPr>
        <w:spacing w:before="80" w:after="200" w:line="240" w:lineRule="auto"/>
        <w:ind w:firstLine="0" w:left="2268"/>
        <w:jc w:val="both"/>
      </w:pPr>
      <w:r>
        <w:rPr>
          <w:b w:val="0"/>
          <w:i w:val="0"/>
          <w:sz w:val="20"/>
        </w:rPr>
        <w:t>As habilitações fiscal, social e trabalhista serão aferidas mediante a verificação dos seguintes requisitos: […]</w:t>
      </w:r>
      <w:r>
        <w:rPr>
          <w:b w:val="0"/>
          <w:i w:val="0"/>
          <w:sz w:val="20"/>
        </w:rPr>
        <w:t xml:space="preserve"> (BRASIL, 2021, art. 68)</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0" w:after="120" w:line="360" w:lineRule="auto"/>
        <w:ind w:firstLine="709"/>
        <w:jc w:val="both"/>
      </w:pPr>
      <w:r>
        <w:rPr>
          <w:b/>
          <w:i w:val="0"/>
          <w:color w:val="12324A"/>
        </w:rPr>
        <w:t xml:space="preserve">Análise. </w:t>
      </w:r>
      <w:r>
        <w:rPr>
          <w:b w:val="0"/>
          <w:i w:val="0"/>
        </w:rPr>
        <w:t>A regularidade fiscal exigível é a prevista no art. 68 e deve guardar pertinência com o objeto. Cobrar documentos adicionais por sede ou domicílio local cria tratamento desigual e é fonte de inabilitações formais. O indício t-sede foi descartado porque não se exige sede local, mas a exigência de IPTU merece revisão.</w:t>
      </w:r>
    </w:p>
    <w:p>
      <w:pPr>
        <w:spacing w:before="0" w:after="120" w:line="360" w:lineRule="auto"/>
        <w:ind w:firstLine="709"/>
        <w:jc w:val="both"/>
      </w:pPr>
      <w:r>
        <w:rPr>
          <w:b/>
          <w:i w:val="0"/>
          <w:color w:val="3D8FA6"/>
        </w:rPr>
        <w:t xml:space="preserve">Risco de manutenção. </w:t>
      </w:r>
      <w:r>
        <w:rPr>
          <w:b w:val="0"/>
          <w:i w:val="0"/>
        </w:rPr>
        <w:t>Inabilitação por exigência sem pertinência e questionamento por tratamento diferenciado.</w:t>
      </w:r>
    </w:p>
    <w:p>
      <w:pPr>
        <w:spacing w:before="0" w:after="120" w:line="360" w:lineRule="auto"/>
        <w:ind w:firstLine="709"/>
        <w:jc w:val="both"/>
      </w:pPr>
      <w:r>
        <w:rPr>
          <w:b/>
          <w:i w:val="0"/>
          <w:color w:val="12324A"/>
        </w:rPr>
        <w:t xml:space="preserve">Providência recomendada. </w:t>
      </w:r>
      <w:r>
        <w:rPr>
          <w:b w:val="0"/>
          <w:i w:val="0"/>
        </w:rPr>
        <w:t>Excluir a exigência de IPTU e a declaração de propriedade, ou justificá-la com base legal e pertinência ao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Prazo de garantia das mesas ginecológicas indefinido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7.4.1 – [páginas 5-6]; TR, itens 5.17 e 5.20 – [páginas 57-58]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 o TR exigem garantia estendida de 24 meses para o ultrassom, mas, para as mesas, apenas "garantia de fábrica", sem prazo mínimo. O TR atribui à Administração a manutenção após a garantia, o que torna relevante o prazo oferecido.</w:t>
      </w:r>
    </w:p>
    <w:p>
      <w:pPr>
        <w:spacing w:before="0" w:after="120" w:line="360" w:lineRule="auto"/>
        <w:ind w:firstLine="709"/>
        <w:jc w:val="both"/>
      </w:pPr>
      <w:r>
        <w:rPr>
          <w:b w:val="0"/>
          <w:i w:val="0"/>
        </w:rPr>
        <w:t>O documento dispõe: “as mesas ginecológicas deverão possuir garantia de” (Edital, item 7.4.1 – [páginas 5-6]; TR, itens 5.17 e 5.20 – [páginas 57-58]).</w:t>
      </w:r>
    </w:p>
    <w:p>
      <w:pPr>
        <w:spacing w:before="0" w:after="80" w:line="360" w:lineRule="auto"/>
        <w:ind w:firstLine="709"/>
        <w:jc w:val="both"/>
      </w:pPr>
      <w:r>
        <w:rPr>
          <w:b/>
          <w:i w:val="0"/>
          <w:color w:val="12324A"/>
        </w:rPr>
        <w:t xml:space="preserve">Dispositivo aplicável. </w:t>
      </w:r>
      <w:r>
        <w:rPr>
          <w:b w:val="0"/>
          <w:i w:val="0"/>
        </w:rPr>
        <w:t>A matéria é disciplinada pelo art. 25, da Lei 14.133/2021, que assim dispõe:</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0" w:after="120" w:line="360" w:lineRule="auto"/>
        <w:ind w:firstLine="709"/>
        <w:jc w:val="both"/>
      </w:pPr>
      <w:r>
        <w:rPr>
          <w:b/>
          <w:i w:val="0"/>
          <w:color w:val="12324A"/>
        </w:rPr>
        <w:t xml:space="preserve">Análise. </w:t>
      </w:r>
      <w:r>
        <w:rPr>
          <w:b w:val="0"/>
          <w:i w:val="0"/>
        </w:rPr>
        <w:t>Sem prazo mínimo objetivo, as propostas não são comparáveis e o órgão pode receber garantia curta, com impacto no custo de manutenção.</w:t>
      </w:r>
    </w:p>
    <w:p>
      <w:pPr>
        <w:spacing w:before="0" w:after="120" w:line="360" w:lineRule="auto"/>
        <w:ind w:firstLine="709"/>
        <w:jc w:val="both"/>
      </w:pPr>
      <w:r>
        <w:rPr>
          <w:b/>
          <w:i w:val="0"/>
          <w:color w:val="3D8FA6"/>
        </w:rPr>
        <w:t xml:space="preserve">Risco de manutenção. </w:t>
      </w:r>
      <w:r>
        <w:rPr>
          <w:b w:val="0"/>
          <w:i w:val="0"/>
        </w:rPr>
        <w:t>Propostas desiguais e custo futuro de manutenção não previsto.</w:t>
      </w:r>
    </w:p>
    <w:p>
      <w:pPr>
        <w:spacing w:before="0" w:after="120" w:line="360" w:lineRule="auto"/>
        <w:ind w:firstLine="709"/>
        <w:jc w:val="both"/>
      </w:pPr>
      <w:r>
        <w:rPr>
          <w:b/>
          <w:i w:val="0"/>
          <w:color w:val="12324A"/>
        </w:rPr>
        <w:t xml:space="preserve">Providência recomendada. </w:t>
      </w:r>
      <w:r>
        <w:rPr>
          <w:b w:val="0"/>
          <w:i w:val="0"/>
        </w:rPr>
        <w:t>Fixar prazo mínimo de garantia para as mesas (por exemplo, 12 ou 24 meses), com início no recebimento definitivo ou na instalação, e refletir o prazo na minuta (Cláusula Décima).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Registro ANVISA e autorização de funcionamento do licitante sem previsão expressa na habilitação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TR, item 5.2 – [página 54]; Edital, item 12.4, "i" – [página 16]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exige registro válido na ANVISA para os equipamentos (item 5.2) e prevê desclassificação de proposta sem a documentação técnica exigida (item 12.4, "i", do edital). O item 13 do edital, porém, não lista o registro ANVISA nem a autorização de funcionamento da empresa, e não diz em qual fase a prova é exigida.</w:t>
      </w:r>
    </w:p>
    <w:p>
      <w:pPr>
        <w:spacing w:before="0" w:after="120" w:line="360" w:lineRule="auto"/>
        <w:ind w:firstLine="709"/>
        <w:jc w:val="both"/>
      </w:pPr>
      <w:r>
        <w:rPr>
          <w:b w:val="0"/>
          <w:i w:val="0"/>
        </w:rPr>
        <w:t>O documento dispõe: “O equipamento deverá possuir registro válido na Agência Nacional de Vigilância” (TR, item 5.2 – [página 54]; Edital, item 12.4, "i" – [página 16]).</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prova de atendimento de requisitos de lei especial é admitida na qualificação técnica (art. 67, VIII), mas deve estar prevista de modo claro. A indefinição gera dúvida sobre o momento e o meio de comprovação.</w:t>
      </w:r>
    </w:p>
    <w:p>
      <w:pPr>
        <w:spacing w:before="0" w:after="120" w:line="360" w:lineRule="auto"/>
        <w:ind w:firstLine="709"/>
        <w:jc w:val="both"/>
      </w:pPr>
      <w:r>
        <w:rPr>
          <w:b/>
          <w:i w:val="0"/>
          <w:color w:val="3D8FA6"/>
        </w:rPr>
        <w:t xml:space="preserve">Risco de manutenção. </w:t>
      </w:r>
      <w:r>
        <w:rPr>
          <w:b w:val="0"/>
          <w:i w:val="0"/>
        </w:rPr>
        <w:t>Aceitação de equipamento sem regularização sanitária ou desclassificação inesperada.</w:t>
      </w:r>
    </w:p>
    <w:p>
      <w:pPr>
        <w:spacing w:before="0" w:after="120" w:line="360" w:lineRule="auto"/>
        <w:ind w:firstLine="709"/>
        <w:jc w:val="both"/>
      </w:pPr>
      <w:r>
        <w:rPr>
          <w:b/>
          <w:i w:val="0"/>
          <w:color w:val="12324A"/>
        </w:rPr>
        <w:t xml:space="preserve">Providência recomendada. </w:t>
      </w:r>
      <w:r>
        <w:rPr>
          <w:b w:val="0"/>
          <w:i w:val="0"/>
        </w:rPr>
        <w:t>Prever expressamente, na proposta ou na habilitação, o registro ou notificação do produto e, se for o caso, a autorização de funcionamento do fornecedor, com o meio de prova.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Quantitativos sem memória de cálculo numérica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Anexo A (memória de cálculo) – [página 80]; TR, item 3.11 – [página 51]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memória de cálculo (Anexo A) é uma descrição genérica (demanda reprimida, capacidade, estrutura, dotação) e não demonstra como se chegou a 2 ultrassons e 6 mesas. O TR cita 10.000 exames ao ano, mas não relaciona essa demanda à capacidade de cada aparelho.</w:t>
      </w:r>
    </w:p>
    <w:p>
      <w:pPr>
        <w:spacing w:before="0" w:after="120" w:line="360" w:lineRule="auto"/>
        <w:ind w:firstLine="709"/>
        <w:jc w:val="both"/>
      </w:pPr>
      <w:r>
        <w:rPr>
          <w:b w:val="0"/>
          <w:i w:val="0"/>
        </w:rPr>
        <w:t>O documento dispõe: “A quantidade estimada foi definida com base na demanda identificada e na capacidade de” (Anexo A (memória de cálculo) – [página 80]; TR, item 3.11 – [página 51]).</w:t>
      </w:r>
    </w:p>
    <w:p>
      <w:pPr>
        <w:spacing w:before="0" w:after="80" w:line="360" w:lineRule="auto"/>
        <w:ind w:firstLine="709"/>
        <w:jc w:val="both"/>
      </w:pPr>
      <w:r>
        <w:rPr>
          <w:b/>
          <w:i w:val="0"/>
          <w:color w:val="12324A"/>
        </w:rPr>
        <w:t xml:space="preserve">Dispositivo aplicável. </w:t>
      </w:r>
      <w:r>
        <w:rPr>
          <w:b w:val="0"/>
          <w:i w:val="0"/>
        </w:rPr>
        <w:t>A matéria é disciplinada pelo art. 18, § 1º, inciso IV, da Lei 14.133/2021, que assim dispõe:</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art. 18, § 1º, IV, exige estimativas de quantidades acompanhadas de memória de cálculo e documentos de suporte. Sem eles, não é possível aferir se o quantitativo está adequado ou superdimensionado.</w:t>
      </w:r>
    </w:p>
    <w:p>
      <w:pPr>
        <w:spacing w:before="0" w:after="120" w:line="360" w:lineRule="auto"/>
        <w:ind w:firstLine="709"/>
        <w:jc w:val="both"/>
      </w:pPr>
      <w:r>
        <w:rPr>
          <w:b/>
          <w:i w:val="0"/>
          <w:color w:val="3D8FA6"/>
        </w:rPr>
        <w:t xml:space="preserve">Risco de manutenção. </w:t>
      </w:r>
      <w:r>
        <w:rPr>
          <w:b w:val="0"/>
          <w:i w:val="0"/>
        </w:rPr>
        <w:t>Questionamento do dimensionamento e da economia de escala.</w:t>
      </w:r>
    </w:p>
    <w:p>
      <w:pPr>
        <w:spacing w:before="0" w:after="120" w:line="360" w:lineRule="auto"/>
        <w:ind w:firstLine="709"/>
        <w:jc w:val="both"/>
      </w:pPr>
      <w:r>
        <w:rPr>
          <w:b/>
          <w:i w:val="0"/>
          <w:color w:val="12324A"/>
        </w:rPr>
        <w:t xml:space="preserve">Providência recomendada. </w:t>
      </w:r>
      <w:r>
        <w:rPr>
          <w:b w:val="0"/>
          <w:i w:val="0"/>
        </w:rPr>
        <w:t>Incluir memória de cálculo numérica, com exames por equipamento, horas de operação, unidades existentes e locais de instalação.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29/09/2026;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2 dos 2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Aparelho Ultrassonografia material gabinete: led/lcd, sensível toque, mínimo 20", aplicação: diagnóstico, cara</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R$ 338.000,00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R$ 6.530,70</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+5076%</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heterogênea (5)</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2</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 xml:space="preserve">Mesa Ginecológica estrutura: tubo aço, acabamento superficial estrutura: esmaltado, material leito: chapa aço </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R$ 16.996,39</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(2)</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cláusula está posicionada na habilitação econômico-financeira. Convém replicá-la também no item de apresentação da proposta (item 10), por tratar-se de requisito de desclassificação. (art. 63, § 1º, da Lei 14.133/2021).</w:t>
      </w:r>
    </w:p>
    <w:p>
      <w:pPr>
        <w:spacing w:before="0" w:after="120" w:line="360" w:lineRule="auto"/>
        <w:ind w:left="425" w:hanging="425"/>
        <w:jc w:val="both"/>
      </w:pPr>
      <w:r>
        <w:rPr>
          <w:b/>
          <w:i w:val="0"/>
          <w:color w:val="1F7A8C"/>
        </w:rPr>
        <w:t xml:space="preserve">b) </w:t>
      </w:r>
      <w:r>
        <w:rPr>
          <w:b/>
          <w:i w:val="0"/>
        </w:rPr>
        <w:t xml:space="preserve">Recursos administrativos: </w:t>
      </w:r>
      <w:r>
        <w:rPr>
          <w:b w:val="0"/>
          <w:i w:val="0"/>
        </w:rPr>
        <w:t>O item 14.6 fixa 3 dias úteis para a autoridade superior decidir. O art. 165, § 2º, admite prazo maior (até 10 dias úteis), e convém prever prazo exequível para a decisão. (art. 165, inciso I, da Lei 14.133/2021; art. 165, § 1º, da Lei 14.133/2021).</w:t>
      </w:r>
    </w:p>
    <w:p>
      <w:pPr>
        <w:spacing w:before="0" w:after="120" w:line="360" w:lineRule="auto"/>
        <w:ind w:left="425" w:hanging="425"/>
        <w:jc w:val="both"/>
      </w:pPr>
      <w:r>
        <w:rPr>
          <w:b/>
          <w:i w:val="0"/>
          <w:color w:val="1F7A8C"/>
        </w:rPr>
        <w:t xml:space="preserve">c) </w:t>
      </w:r>
      <w:r>
        <w:rPr>
          <w:b/>
          <w:i w:val="0"/>
        </w:rPr>
        <w:t xml:space="preserve">Sanções e multas: </w:t>
      </w:r>
      <w:r>
        <w:rPr>
          <w:b w:val="0"/>
          <w:i w:val="0"/>
        </w:rPr>
        <w:t>A tabela de dosimetria (itens 2 e 12, faixas de 10% a 20% e de 3% a 20%) coexiste com as faixas por atraso do item 20.3.1 (0,5% a 1% ao dia) e do item 20.3.2. Convém esclarecer qual regime prevalece em caso de atraso na entrega. (art. 156, da Lei 14.133/2021; art. 156, § 3º,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O edital não está apto a prosseguir sem ajustes. O vício de maior gravidade é o prazo de propostas inferior ao mínimo legal. Como a data de abertura já passou, é necessário verificar o andamento do certame. Se não houve homologação ou contratação, convém avaliar a anulação ou a republicação com prazo correto. A alternativa é a convalidação motivada, demonstrando competição efetiva e ausência de prejuízo, nos moldes do entendimento do TCU no Acórdão 2921/2026-Plenário. Em qualquer hipótese, recomenda-se sanear as contradições entre edital, TR e minuta, e completar a minuta de contrato. Também se recomenda reforçar a motivação da não aplicação da cota de ME/EPP, objetivar os atestados técnicos e as especificações (com tolerâncias), juntar a pesquisa de preços e o ETP, e juntar ou confirmar o parecer jurídico (art. 53). Os demais pontos são de gravidade média ou baixa e podem ser corrigidos na republicação ou nos próximos certames.</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Prazo mínimo para apresentação de propostas </w:t>
      </w:r>
      <w:r>
        <w:rPr>
          <w:b w:val="0"/>
          <w:i w:val="0"/>
          <w:color w:val="B23A48"/>
        </w:rPr>
        <w:t xml:space="preserve">(gravidade alta, item 3.1): </w:t>
      </w:r>
      <w:r>
        <w:rPr>
          <w:b w:val="0"/>
          <w:i w:val="0"/>
        </w:rPr>
        <w:t>Verificar o estágio atual (a data prevista de abertura já passou). Se não houve homologação nem contratação, republicar o edital com prazo mínimo de 8 dias úteis contados da nova divulgação ou, se for o caso, anular o certame. Se houver prosseguimento, a autoridade deve motivar a convalidação, demonstrando competição efetiva e ausência de prejuízo, conforme o entendimento do TCU no Acórdão 2921/2026-Plenário. Nos próximos editais, conferir o prazo em dias úteis com a regra do art. 183.</w:t>
      </w:r>
    </w:p>
    <w:p>
      <w:pPr>
        <w:spacing w:before="0" w:after="80" w:line="360" w:lineRule="auto"/>
        <w:ind w:left="425" w:hanging="425"/>
        <w:jc w:val="both"/>
      </w:pPr>
      <w:r>
        <w:rPr>
          <w:b/>
          <w:i w:val="0"/>
          <w:color w:val="C9781E"/>
        </w:rPr>
        <w:t xml:space="preserve">2. </w:t>
      </w:r>
      <w:r>
        <w:rPr>
          <w:b/>
          <w:i w:val="0"/>
        </w:rPr>
        <w:t xml:space="preserve">Qualificação técnica proporcional </w:t>
      </w:r>
      <w:r>
        <w:rPr>
          <w:b w:val="0"/>
          <w:i w:val="0"/>
          <w:color w:val="C9781E"/>
        </w:rPr>
        <w:t xml:space="preserve">(gravidade média, item 3.2): </w:t>
      </w:r>
      <w:r>
        <w:rPr>
          <w:b w:val="0"/>
          <w:i w:val="0"/>
        </w:rPr>
        <w:t>Definir objetivamente as características mínimas do equipamento comparável (por exemplo, ultrassom com Doppler colorido e transdutores equivalentes), o quantitativo por item (arredondado) e a forma de soma. Retirar a referência a "prazos" e a "atividade econômica", e corrigir a remissão a "Termo de Referência" no texto do edital. Registrar no ETP a motivação das parcelas de maior relevância.</w:t>
      </w:r>
    </w:p>
    <w:p>
      <w:pPr>
        <w:spacing w:before="0" w:after="80" w:line="360" w:lineRule="auto"/>
        <w:ind w:left="425" w:hanging="425"/>
        <w:jc w:val="both"/>
      </w:pPr>
      <w:r>
        <w:rPr>
          <w:b/>
          <w:i w:val="0"/>
          <w:color w:val="C9781E"/>
        </w:rPr>
        <w:t xml:space="preserve">3. </w:t>
      </w:r>
      <w:r>
        <w:rPr>
          <w:b/>
          <w:i w:val="0"/>
        </w:rPr>
        <w:t xml:space="preserve">Tratamento diferenciado a ME e EPP </w:t>
      </w:r>
      <w:r>
        <w:rPr>
          <w:b w:val="0"/>
          <w:i w:val="0"/>
          <w:color w:val="C9781E"/>
        </w:rPr>
        <w:t xml:space="preserve">(gravidade média, item 3.3): </w:t>
      </w:r>
      <w:r>
        <w:rPr>
          <w:b w:val="0"/>
          <w:i w:val="0"/>
        </w:rPr>
        <w:t>Justificar a não aplicação da cota em uma das hipóteses do art. 49 da LC 123 (por exemplo, indivisibilidade do objeto ou ausência de três fornecedores competitivos enquadrados), ou prever a cota reservada para o item 2 (ou para o quantitativo divisível).</w:t>
      </w:r>
    </w:p>
    <w:p>
      <w:pPr>
        <w:spacing w:before="0" w:after="80" w:line="360" w:lineRule="auto"/>
        <w:ind w:left="425" w:hanging="425"/>
        <w:jc w:val="both"/>
      </w:pPr>
      <w:r>
        <w:rPr>
          <w:b/>
          <w:i w:val="0"/>
          <w:color w:val="C9781E"/>
        </w:rPr>
        <w:t xml:space="preserve">4. </w:t>
      </w:r>
      <w:r>
        <w:rPr>
          <w:b/>
          <w:i w:val="0"/>
        </w:rPr>
        <w:t xml:space="preserve">Minuta de contrato como anexo e cláusulas necessárias </w:t>
      </w:r>
      <w:r>
        <w:rPr>
          <w:b w:val="0"/>
          <w:i w:val="0"/>
          <w:color w:val="C9781E"/>
        </w:rPr>
        <w:t xml:space="preserve">(gravidade média, item 3.4): </w:t>
      </w:r>
      <w:r>
        <w:rPr>
          <w:b w:val="0"/>
          <w:i w:val="0"/>
        </w:rPr>
        <w:t>Adaptar a minuta ao caso: preencher objeto, itens, prazos de entrega e instalação, vigência de 12 meses, garantia convencional (24 meses para o ultrassom) e índice de reajuste. Excluir a cláusula de garantia contratual (ou justificá-la), as instruções de modelo e as hipóteses não aplicáveis, e renumerar as cláusulas. Corrigir a numeração ("Parágrafo Terceiro" após "Parágrafo Único" e "Viségima").</w:t>
      </w:r>
    </w:p>
    <w:p>
      <w:pPr>
        <w:spacing w:before="0" w:after="80" w:line="360" w:lineRule="auto"/>
        <w:ind w:left="425" w:hanging="425"/>
        <w:jc w:val="both"/>
      </w:pPr>
      <w:r>
        <w:rPr>
          <w:b/>
          <w:i w:val="0"/>
          <w:color w:val="C9781E"/>
        </w:rPr>
        <w:t xml:space="preserve">5. </w:t>
      </w:r>
      <w:r>
        <w:rPr>
          <w:b/>
          <w:i w:val="0"/>
        </w:rPr>
        <w:t xml:space="preserve">Coerência interna do edital e dos anexos </w:t>
      </w:r>
      <w:r>
        <w:rPr>
          <w:b w:val="0"/>
          <w:i w:val="0"/>
          <w:color w:val="C9781E"/>
        </w:rPr>
        <w:t xml:space="preserve">(gravidade média, item 3.5): </w:t>
      </w:r>
      <w:r>
        <w:rPr>
          <w:b w:val="0"/>
          <w:i w:val="0"/>
        </w:rPr>
        <w:t>Unificar edital, TR e minuta: prazos de entrega e substituição, índice de atualização por atraso, subcontratação, dotação, cronograma (ou excluí-lo), remissões internas e número de folhas. Consolidar o rito de habilitação em um único item.</w:t>
      </w:r>
    </w:p>
    <w:p>
      <w:pPr>
        <w:spacing w:before="0" w:after="80" w:line="360" w:lineRule="auto"/>
        <w:ind w:left="425" w:hanging="425"/>
        <w:jc w:val="both"/>
      </w:pPr>
      <w:r>
        <w:rPr>
          <w:b/>
          <w:i w:val="0"/>
          <w:color w:val="C9781E"/>
        </w:rPr>
        <w:t xml:space="preserve">6. </w:t>
      </w:r>
      <w:r>
        <w:rPr>
          <w:b/>
          <w:i w:val="0"/>
        </w:rPr>
        <w:t xml:space="preserve">Exigência de via física original ou autenticada, e de firma reconhecida (trilha t-autenticacao) </w:t>
      </w:r>
      <w:r>
        <w:rPr>
          <w:b w:val="0"/>
          <w:i w:val="0"/>
          <w:color w:val="C9781E"/>
        </w:rPr>
        <w:t xml:space="preserve">(gravidade média, item 3.6): </w:t>
      </w:r>
      <w:r>
        <w:rPr>
          <w:b w:val="0"/>
          <w:i w:val="0"/>
        </w:rPr>
        <w:t>Excluir a exigência de via física, ou limitá-la à diligência quando houver dúvida fundada. Aceitar documentos assinados digitalmente ou com verificação eletrônica e dispensar o reconhecimento de firma quando houver meio de aferir a autenticidade.</w:t>
      </w:r>
    </w:p>
    <w:p>
      <w:pPr>
        <w:spacing w:before="0" w:after="80" w:line="360" w:lineRule="auto"/>
        <w:ind w:left="425" w:hanging="425"/>
        <w:jc w:val="both"/>
      </w:pPr>
      <w:r>
        <w:rPr>
          <w:b/>
          <w:i w:val="0"/>
          <w:color w:val="C9781E"/>
        </w:rPr>
        <w:t xml:space="preserve">7. </w:t>
      </w:r>
      <w:r>
        <w:rPr>
          <w:b/>
          <w:i w:val="0"/>
        </w:rPr>
        <w:t xml:space="preserve">Orçamento estimado sem pesquisa de preços documentada e com data defasada </w:t>
      </w:r>
      <w:r>
        <w:rPr>
          <w:b w:val="0"/>
          <w:i w:val="0"/>
          <w:color w:val="C9781E"/>
        </w:rPr>
        <w:t xml:space="preserve">(gravidade média, item 3.7): </w:t>
      </w:r>
      <w:r>
        <w:rPr>
          <w:b w:val="0"/>
          <w:i w:val="0"/>
        </w:rPr>
        <w:t>Juntar o mapa de preços, com fontes e cesta comparável (mesma especificação, quantidade e local), e avaliar a atualização do orçamento, considerando o tempo decorrido e o reflexo na data-base de reajuste.</w:t>
      </w:r>
    </w:p>
    <w:p>
      <w:pPr>
        <w:spacing w:before="0" w:after="80" w:line="360" w:lineRule="auto"/>
        <w:ind w:left="425" w:hanging="425"/>
        <w:jc w:val="both"/>
      </w:pPr>
      <w:r>
        <w:rPr>
          <w:b/>
          <w:i w:val="0"/>
          <w:color w:val="C9781E"/>
        </w:rPr>
        <w:t xml:space="preserve">8. </w:t>
      </w:r>
      <w:r>
        <w:rPr>
          <w:b/>
          <w:i w:val="0"/>
        </w:rPr>
        <w:t xml:space="preserve">Especificações do ultrassom e da mesa ginecológica muito detalhadas, sem tolerância nem justificativa técnica </w:t>
      </w:r>
      <w:r>
        <w:rPr>
          <w:b w:val="0"/>
          <w:i w:val="0"/>
          <w:color w:val="C9781E"/>
        </w:rPr>
        <w:t xml:space="preserve">(gravidade média, item 3.8): </w:t>
      </w:r>
      <w:r>
        <w:rPr>
          <w:b w:val="0"/>
          <w:i w:val="0"/>
        </w:rPr>
        <w:t>Justificar tecnicamente as características essenciais, admitir tolerância nas dimensões (por exemplo, ±5%) e equivalência funcional, corrigir o trecho incompleto e demonstrar no ETP, com a pesquisa de mercado, que há pelo menos três fabricantes que atendem à especificação.</w:t>
      </w:r>
    </w:p>
    <w:p>
      <w:pPr>
        <w:spacing w:before="0" w:after="80" w:line="360" w:lineRule="auto"/>
        <w:ind w:left="425" w:hanging="425"/>
        <w:jc w:val="both"/>
      </w:pPr>
      <w:r>
        <w:rPr>
          <w:b/>
          <w:i w:val="0"/>
          <w:color w:val="C9781E"/>
        </w:rPr>
        <w:t xml:space="preserve">9. </w:t>
      </w:r>
      <w:r>
        <w:rPr>
          <w:b/>
          <w:i w:val="0"/>
        </w:rPr>
        <w:t xml:space="preserve">Vedação ampla a licitantes com ex-servidores municipais e ex-ocupantes de cargos de 1º e 2º escalões </w:t>
      </w:r>
      <w:r>
        <w:rPr>
          <w:b w:val="0"/>
          <w:i w:val="0"/>
          <w:color w:val="C9781E"/>
        </w:rPr>
        <w:t xml:space="preserve">(gravidade média, item 3.9): </w:t>
      </w:r>
      <w:r>
        <w:rPr>
          <w:b w:val="0"/>
          <w:i w:val="0"/>
        </w:rPr>
        <w:t>Indicar o fundamento legal de cada vedação ou ajustá-la às hipóteses do art. 14 e do art. 9º, § 1º, da Lei 14.133/2021.</w:t>
      </w:r>
    </w:p>
    <w:p>
      <w:pPr>
        <w:spacing w:before="0" w:after="80" w:line="360" w:lineRule="auto"/>
        <w:ind w:left="425" w:hanging="425"/>
        <w:jc w:val="both"/>
      </w:pPr>
      <w:r>
        <w:rPr>
          <w:b/>
          <w:i w:val="0"/>
          <w:color w:val="3D8FA6"/>
        </w:rPr>
        <w:t xml:space="preserve">10. </w:t>
      </w:r>
      <w:r>
        <w:rPr>
          <w:b/>
          <w:i w:val="0"/>
        </w:rPr>
        <w:t xml:space="preserve">Índice de reajuste com data-base no orçamento </w:t>
      </w:r>
      <w:r>
        <w:rPr>
          <w:b w:val="0"/>
          <w:i w:val="0"/>
          <w:color w:val="3D8FA6"/>
        </w:rPr>
        <w:t xml:space="preserve">(gravidade baixa, item 3.10): </w:t>
      </w:r>
      <w:r>
        <w:rPr>
          <w:b w:val="0"/>
          <w:i w:val="0"/>
        </w:rPr>
        <w:t>Preencher a minuta com o IPCA e a data-base de 19/02/2026, harmonizando-a com o item 19 do edital e o item 2.3 do TR.</w:t>
      </w:r>
    </w:p>
    <w:p>
      <w:pPr>
        <w:spacing w:before="0" w:after="80" w:line="360" w:lineRule="auto"/>
        <w:ind w:left="425" w:hanging="425"/>
        <w:jc w:val="both"/>
      </w:pPr>
      <w:r>
        <w:rPr>
          <w:b/>
          <w:i w:val="0"/>
          <w:color w:val="3D8FA6"/>
        </w:rPr>
        <w:t xml:space="preserve">11. </w:t>
      </w:r>
      <w:r>
        <w:rPr>
          <w:b/>
          <w:i w:val="0"/>
        </w:rPr>
        <w:t xml:space="preserve">Qualificação econômico-financeira </w:t>
      </w:r>
      <w:r>
        <w:rPr>
          <w:b w:val="0"/>
          <w:i w:val="0"/>
          <w:color w:val="3D8FA6"/>
        </w:rPr>
        <w:t xml:space="preserve">(gravidade baixa, item 3.11): </w:t>
      </w:r>
      <w:r>
        <w:rPr>
          <w:b w:val="0"/>
          <w:i w:val="0"/>
        </w:rPr>
        <w:t>Juntar ou citar a justificativa dos índices. Harmonizar edital e TR quanto à declaração contábil. Avaliar calcular o patrimônio líquido mínimo sobre o valor do(s) item(ns) em que o licitante concorre.</w:t>
      </w:r>
    </w:p>
    <w:p>
      <w:pPr>
        <w:spacing w:before="0" w:after="80" w:line="360" w:lineRule="auto"/>
        <w:ind w:left="425" w:hanging="425"/>
        <w:jc w:val="both"/>
      </w:pPr>
      <w:r>
        <w:rPr>
          <w:b/>
          <w:i w:val="0"/>
          <w:color w:val="3D8FA6"/>
        </w:rPr>
        <w:t xml:space="preserve">12. </w:t>
      </w:r>
      <w:r>
        <w:rPr>
          <w:b/>
          <w:i w:val="0"/>
        </w:rPr>
        <w:t xml:space="preserve">Impugnação e esclarecimentos </w:t>
      </w:r>
      <w:r>
        <w:rPr>
          <w:b w:val="0"/>
          <w:i w:val="0"/>
          <w:color w:val="3D8FA6"/>
        </w:rPr>
        <w:t xml:space="preserve">(gravidade baixa, item 3.12): </w:t>
      </w:r>
      <w:r>
        <w:rPr>
          <w:b w:val="0"/>
          <w:i w:val="0"/>
        </w:rPr>
        <w:t>Incluir o limite do último dia útil anterior à abertura e a divulgação da resposta no sítio eletrônico oficial. Reavaliar o efeito suspensivo automático (por exemplo, condicioná-lo a decisão da autoridade).</w:t>
      </w:r>
    </w:p>
    <w:p>
      <w:pPr>
        <w:spacing w:before="0" w:after="80" w:line="360" w:lineRule="auto"/>
        <w:ind w:left="425" w:hanging="425"/>
        <w:jc w:val="both"/>
      </w:pPr>
      <w:r>
        <w:rPr>
          <w:b/>
          <w:i w:val="0"/>
          <w:color w:val="3D8FA6"/>
        </w:rPr>
        <w:t xml:space="preserve">13. </w:t>
      </w:r>
      <w:r>
        <w:rPr>
          <w:b/>
          <w:i w:val="0"/>
        </w:rPr>
        <w:t xml:space="preserve">Exigência de certidão de IPTU apenas para licitantes com sede ou filial em Maricá </w:t>
      </w:r>
      <w:r>
        <w:rPr>
          <w:b w:val="0"/>
          <w:i w:val="0"/>
          <w:color w:val="3D8FA6"/>
        </w:rPr>
        <w:t xml:space="preserve">(gravidade baixa, item 3.13): </w:t>
      </w:r>
      <w:r>
        <w:rPr>
          <w:b w:val="0"/>
          <w:i w:val="0"/>
        </w:rPr>
        <w:t>Excluir a exigência de IPTU e a declaração de propriedade, ou justificá-la com base legal e pertinência ao objeto.</w:t>
      </w:r>
    </w:p>
    <w:p>
      <w:pPr>
        <w:spacing w:before="0" w:after="80" w:line="360" w:lineRule="auto"/>
        <w:ind w:left="425" w:hanging="425"/>
        <w:jc w:val="both"/>
      </w:pPr>
      <w:r>
        <w:rPr>
          <w:b/>
          <w:i w:val="0"/>
          <w:color w:val="3D8FA6"/>
        </w:rPr>
        <w:t xml:space="preserve">14. </w:t>
      </w:r>
      <w:r>
        <w:rPr>
          <w:b/>
          <w:i w:val="0"/>
        </w:rPr>
        <w:t xml:space="preserve">Prazo de garantia das mesas ginecológicas indefinido </w:t>
      </w:r>
      <w:r>
        <w:rPr>
          <w:b w:val="0"/>
          <w:i w:val="0"/>
          <w:color w:val="3D8FA6"/>
        </w:rPr>
        <w:t xml:space="preserve">(gravidade baixa, item 3.14): </w:t>
      </w:r>
      <w:r>
        <w:rPr>
          <w:b w:val="0"/>
          <w:i w:val="0"/>
        </w:rPr>
        <w:t>Fixar prazo mínimo de garantia para as mesas (por exemplo, 12 ou 24 meses), com início no recebimento definitivo ou na instalação, e refletir o prazo na minuta (Cláusula Décima).</w:t>
      </w:r>
    </w:p>
    <w:p>
      <w:pPr>
        <w:spacing w:before="0" w:after="80" w:line="360" w:lineRule="auto"/>
        <w:ind w:left="425" w:hanging="425"/>
        <w:jc w:val="both"/>
      </w:pPr>
      <w:r>
        <w:rPr>
          <w:b/>
          <w:i w:val="0"/>
          <w:color w:val="3D8FA6"/>
        </w:rPr>
        <w:t xml:space="preserve">15. </w:t>
      </w:r>
      <w:r>
        <w:rPr>
          <w:b/>
          <w:i w:val="0"/>
        </w:rPr>
        <w:t xml:space="preserve">Registro ANVISA e autorização de funcionamento do licitante sem previsão expressa na habilitação </w:t>
      </w:r>
      <w:r>
        <w:rPr>
          <w:b w:val="0"/>
          <w:i w:val="0"/>
          <w:color w:val="3D8FA6"/>
        </w:rPr>
        <w:t xml:space="preserve">(gravidade baixa, item 3.15): </w:t>
      </w:r>
      <w:r>
        <w:rPr>
          <w:b w:val="0"/>
          <w:i w:val="0"/>
        </w:rPr>
        <w:t>Prever expressamente, na proposta ou na habilitação, o registro ou notificação do produto e, se for o caso, a autorização de funcionamento do fornecedor, com o meio de prova.</w:t>
      </w:r>
    </w:p>
    <w:p>
      <w:pPr>
        <w:spacing w:before="0" w:after="80" w:line="360" w:lineRule="auto"/>
        <w:ind w:left="425" w:hanging="425"/>
        <w:jc w:val="both"/>
      </w:pPr>
      <w:r>
        <w:rPr>
          <w:b/>
          <w:i w:val="0"/>
          <w:color w:val="3D8FA6"/>
        </w:rPr>
        <w:t xml:space="preserve">16. </w:t>
      </w:r>
      <w:r>
        <w:rPr>
          <w:b/>
          <w:i w:val="0"/>
        </w:rPr>
        <w:t xml:space="preserve">Quantitativos sem memória de cálculo numérica </w:t>
      </w:r>
      <w:r>
        <w:rPr>
          <w:b w:val="0"/>
          <w:i w:val="0"/>
          <w:color w:val="3D8FA6"/>
        </w:rPr>
        <w:t xml:space="preserve">(gravidade baixa, item 3.16): </w:t>
      </w:r>
      <w:r>
        <w:rPr>
          <w:b w:val="0"/>
          <w:i w:val="0"/>
        </w:rPr>
        <w:t>Incluir memória de cálculo numérica, com exames por equipamento, horas de operação, unidades existentes e locais de instalação.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Acórdão 2921/2026-Plenário – TC 021.316/2026-0. Relator: Ministro(a) Jhonatan de Jesus. Julgado em 21 out. 2026. TCU – Pesquisa de acórdãos. Disponível em: https://pesquisa.apps.tcu.gov.br/documento/acordao-completo/*/KEY%253AACORDAO-COMPLETO-2783491/score%2520desc/0.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SAÚDE. Edital e minutas (ata e contrato) — Pregão Eletrônico nº 55/2025 – Processo 11566/2025 (PNCP 29131075000193-1-000428/2026). Disponível em: https://pncp.gov.br/app/editais/29131075000193/2026/428.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 de via física original ou autenticada, e de firma reconhecida (trilha t-autenticacao)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estimado sem pesquisa de preços documentada e com data defasada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23; 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Especificações do ultrassom e da mesa ginecológica muito detalhadas, sem tolerância nem justificativa técnica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Exigência de certidão de IPTU apenas para licitantes com sede ou filial em Maricá</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68; art. 9,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Vedação ampla a licitantes com ex-servidores municipais e ex-ocupantes de cargos de 1º e 2º escalões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 inciso I; art. 14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Prazo de garantia das mesas ginecológicas indefinido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ANVISA e autorização de funcionamento do licitante sem previsão expressa na habilitação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Quantitativos sem memória de cálculo numérica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j) </w:t>
      </w:r>
      <w:r>
        <w:rPr>
          <w:b w:val="0"/>
          <w:i w:val="0"/>
        </w:rPr>
        <w:t>O código de verificação 42E3A55362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42E3A55362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42E3/2026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acordao-completo/*/KEY%253AACORDAO-COMPLETO-2783491/score%2520desc/0" TargetMode="External"/><Relationship Id="rId13" Type="http://schemas.openxmlformats.org/officeDocument/2006/relationships/hyperlink" Target="https://pesquisa.apps.tcu.gov.br/documento/jurisprudencia-selecionada/*/KEY%253AJURISPRUDENCIA-SELECIONADA-205696/score%2520desc/0" TargetMode="External"/><Relationship Id="rId14" Type="http://schemas.openxmlformats.org/officeDocument/2006/relationships/hyperlink" Target="https://pesquisa.apps.tcu.gov.br/documento/sumula/*/KEY%253ASUMULA-EJURIS-1689/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