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0CC5/2026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Contratação de empresa especializada em gestão de mão de obra para a Educação Infantil (435 postos de Auxiliar de Desenvolvimento Infantil, 44h semanais, 12 meses), em regime de dedicação exclusiva, valor estimado de R$ 40.955.284,80</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Educação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54/2026 – Processo nº 18321/2025 (PNCP 29131075000193-1-000445/2026)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menor preço global, modo de disputa aberto,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30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Convenção coletiva da categoria correta</w:t>
      </w:r>
      <w:r>
        <w:rPr>
          <w:b w:val="0"/>
          <w:i w:val="0"/>
          <w:sz w:val="21"/>
        </w:rPr>
        <w:tab/>
        <w:t>7</w:t>
      </w:r>
    </w:p>
    <w:p>
      <w:pPr>
        <w:tabs>
          <w:tab w:pos="9071" w:val="right" w:leader="dot"/>
        </w:tabs>
        <w:spacing w:before="0" w:after="0" w:line="360" w:lineRule="auto"/>
        <w:ind w:firstLine="0" w:left="340"/>
        <w:jc w:val="left"/>
      </w:pPr>
      <w:r>
        <w:rPr>
          <w:b w:val="0"/>
          <w:i w:val="0"/>
          <w:sz w:val="21"/>
        </w:rPr>
        <w:t>3.2 Qualificação técnica proporcional</w:t>
      </w:r>
      <w:r>
        <w:rPr>
          <w:b w:val="0"/>
          <w:i w:val="0"/>
          <w:sz w:val="21"/>
        </w:rPr>
        <w:tab/>
        <w:t>9</w:t>
      </w:r>
    </w:p>
    <w:p>
      <w:pPr>
        <w:tabs>
          <w:tab w:pos="9071" w:val="right" w:leader="dot"/>
        </w:tabs>
        <w:spacing w:before="0" w:after="0" w:line="360" w:lineRule="auto"/>
        <w:ind w:firstLine="0" w:left="340"/>
        <w:jc w:val="left"/>
      </w:pPr>
      <w:r>
        <w:rPr>
          <w:b w:val="0"/>
          <w:i w:val="0"/>
          <w:sz w:val="21"/>
        </w:rPr>
        <w:t>3.3 Enquadramento como dedicação exclusiva de mão de obra</w:t>
      </w:r>
      <w:r>
        <w:rPr>
          <w:b w:val="0"/>
          <w:i w:val="0"/>
          <w:sz w:val="21"/>
        </w:rPr>
        <w:tab/>
        <w:t>11</w:t>
      </w:r>
    </w:p>
    <w:p>
      <w:pPr>
        <w:tabs>
          <w:tab w:pos="9071" w:val="right" w:leader="dot"/>
        </w:tabs>
        <w:spacing w:before="0" w:after="0" w:line="360" w:lineRule="auto"/>
        <w:ind w:firstLine="0" w:left="340"/>
        <w:jc w:val="left"/>
      </w:pPr>
      <w:r>
        <w:rPr>
          <w:b w:val="0"/>
          <w:i w:val="0"/>
          <w:sz w:val="21"/>
        </w:rPr>
        <w:t>3.4 Garantias do cumprimento das obrigações trabalhistas</w:t>
      </w:r>
      <w:r>
        <w:rPr>
          <w:b w:val="0"/>
          <w:i w:val="0"/>
          <w:sz w:val="21"/>
        </w:rPr>
        <w:tab/>
        <w:t>13</w:t>
      </w:r>
    </w:p>
    <w:p>
      <w:pPr>
        <w:tabs>
          <w:tab w:pos="9071" w:val="right" w:leader="dot"/>
        </w:tabs>
        <w:spacing w:before="0" w:after="0" w:line="360" w:lineRule="auto"/>
        <w:ind w:firstLine="0" w:left="340"/>
        <w:jc w:val="left"/>
      </w:pPr>
      <w:r>
        <w:rPr>
          <w:b w:val="0"/>
          <w:i w:val="0"/>
          <w:sz w:val="21"/>
        </w:rPr>
        <w:t>3.5 Índice de reajuste com data-base no orçamento</w:t>
      </w:r>
      <w:r>
        <w:rPr>
          <w:b w:val="0"/>
          <w:i w:val="0"/>
          <w:sz w:val="21"/>
        </w:rPr>
        <w:tab/>
        <w:t>15</w:t>
      </w:r>
    </w:p>
    <w:p>
      <w:pPr>
        <w:tabs>
          <w:tab w:pos="9071" w:val="right" w:leader="dot"/>
        </w:tabs>
        <w:spacing w:before="0" w:after="0" w:line="360" w:lineRule="auto"/>
        <w:ind w:firstLine="0" w:left="340"/>
        <w:jc w:val="left"/>
      </w:pPr>
      <w:r>
        <w:rPr>
          <w:b w:val="0"/>
          <w:i w:val="0"/>
          <w:sz w:val="21"/>
        </w:rPr>
        <w:t>3.6 Critério de reajuste em serviços contínuos</w:t>
      </w:r>
      <w:r>
        <w:rPr>
          <w:b w:val="0"/>
          <w:i w:val="0"/>
          <w:sz w:val="21"/>
        </w:rPr>
        <w:tab/>
        <w:t>16</w:t>
      </w:r>
    </w:p>
    <w:p>
      <w:pPr>
        <w:tabs>
          <w:tab w:pos="9071" w:val="right" w:leader="dot"/>
        </w:tabs>
        <w:spacing w:before="0" w:after="0" w:line="360" w:lineRule="auto"/>
        <w:ind w:firstLine="0" w:left="340"/>
        <w:jc w:val="left"/>
      </w:pPr>
      <w:r>
        <w:rPr>
          <w:b w:val="0"/>
          <w:i w:val="0"/>
          <w:sz w:val="21"/>
        </w:rPr>
        <w:t>3.7 Qualificação econômico-financeira</w:t>
      </w:r>
      <w:r>
        <w:rPr>
          <w:b w:val="0"/>
          <w:i w:val="0"/>
          <w:sz w:val="21"/>
        </w:rPr>
        <w:tab/>
        <w:t>17</w:t>
      </w:r>
    </w:p>
    <w:p>
      <w:pPr>
        <w:tabs>
          <w:tab w:pos="9071" w:val="right" w:leader="dot"/>
        </w:tabs>
        <w:spacing w:before="0" w:after="0" w:line="360" w:lineRule="auto"/>
        <w:ind w:firstLine="0" w:left="340"/>
        <w:jc w:val="left"/>
      </w:pPr>
      <w:r>
        <w:rPr>
          <w:b w:val="0"/>
          <w:i w:val="0"/>
          <w:sz w:val="21"/>
        </w:rPr>
        <w:t>3.8 Tratamento diferenciado a ME e EPP</w:t>
      </w:r>
      <w:r>
        <w:rPr>
          <w:b w:val="0"/>
          <w:i w:val="0"/>
          <w:sz w:val="21"/>
        </w:rPr>
        <w:tab/>
        <w:t>19</w:t>
      </w:r>
    </w:p>
    <w:p>
      <w:pPr>
        <w:tabs>
          <w:tab w:pos="9071" w:val="right" w:leader="dot"/>
        </w:tabs>
        <w:spacing w:before="0" w:after="0" w:line="360" w:lineRule="auto"/>
        <w:ind w:firstLine="0" w:left="340"/>
        <w:jc w:val="left"/>
      </w:pPr>
      <w:r>
        <w:rPr>
          <w:b w:val="0"/>
          <w:i w:val="0"/>
          <w:sz w:val="21"/>
        </w:rPr>
        <w:t>3.9 Minuta de contrato como anexo e cláusulas necessárias</w:t>
      </w:r>
      <w:r>
        <w:rPr>
          <w:b w:val="0"/>
          <w:i w:val="0"/>
          <w:sz w:val="21"/>
        </w:rPr>
        <w:tab/>
        <w:t>21</w:t>
      </w:r>
    </w:p>
    <w:p>
      <w:pPr>
        <w:tabs>
          <w:tab w:pos="9071" w:val="right" w:leader="dot"/>
        </w:tabs>
        <w:spacing w:before="0" w:after="0" w:line="360" w:lineRule="auto"/>
        <w:ind w:firstLine="0" w:left="340"/>
        <w:jc w:val="left"/>
      </w:pPr>
      <w:r>
        <w:rPr>
          <w:b w:val="0"/>
          <w:i w:val="0"/>
          <w:sz w:val="21"/>
        </w:rPr>
        <w:t>3.10 Coerência interna do edital e dos anexos</w:t>
      </w:r>
      <w:r>
        <w:rPr>
          <w:b w:val="0"/>
          <w:i w:val="0"/>
          <w:sz w:val="21"/>
        </w:rPr>
        <w:tab/>
        <w:t>22</w:t>
      </w:r>
    </w:p>
    <w:p>
      <w:pPr>
        <w:tabs>
          <w:tab w:pos="9071" w:val="right" w:leader="dot"/>
        </w:tabs>
        <w:spacing w:before="0" w:after="0" w:line="360" w:lineRule="auto"/>
        <w:ind w:firstLine="0" w:left="340"/>
        <w:jc w:val="left"/>
      </w:pPr>
      <w:r>
        <w:rPr>
          <w:b w:val="0"/>
          <w:i w:val="0"/>
          <w:sz w:val="21"/>
        </w:rPr>
        <w:t>3.11 Possível terceirização de atividades de natureza pedagógica e de cuidado infantil</w:t>
      </w:r>
      <w:r>
        <w:rPr>
          <w:b w:val="0"/>
          <w:i w:val="0"/>
          <w:sz w:val="21"/>
        </w:rPr>
        <w:tab/>
        <w:t>23</w:t>
      </w:r>
    </w:p>
    <w:p>
      <w:pPr>
        <w:tabs>
          <w:tab w:pos="9071" w:val="right" w:leader="dot"/>
        </w:tabs>
        <w:spacing w:before="0" w:after="0" w:line="360" w:lineRule="auto"/>
        <w:ind w:firstLine="0" w:left="340"/>
        <w:jc w:val="left"/>
      </w:pPr>
      <w:r>
        <w:rPr>
          <w:b w:val="0"/>
          <w:i w:val="0"/>
          <w:sz w:val="21"/>
        </w:rPr>
        <w:t>3.12 Orçamento estimado sem composição de custos e com metodologia ambígua</w:t>
      </w:r>
      <w:r>
        <w:rPr>
          <w:b w:val="0"/>
          <w:i w:val="0"/>
          <w:sz w:val="21"/>
        </w:rPr>
        <w:tab/>
        <w:t>24</w:t>
      </w:r>
    </w:p>
    <w:p>
      <w:pPr>
        <w:tabs>
          <w:tab w:pos="9071" w:val="right" w:leader="dot"/>
        </w:tabs>
        <w:spacing w:before="0" w:after="0" w:line="360" w:lineRule="auto"/>
        <w:ind w:firstLine="0" w:left="340"/>
        <w:jc w:val="left"/>
      </w:pPr>
      <w:r>
        <w:rPr>
          <w:b w:val="0"/>
          <w:i w:val="0"/>
          <w:sz w:val="21"/>
        </w:rPr>
        <w:t>3.13 Garantia de proposta e garantia contratual</w:t>
      </w:r>
      <w:r>
        <w:rPr>
          <w:b w:val="0"/>
          <w:i w:val="0"/>
          <w:sz w:val="21"/>
        </w:rPr>
        <w:tab/>
        <w:t>25</w:t>
      </w:r>
    </w:p>
    <w:p>
      <w:pPr>
        <w:tabs>
          <w:tab w:pos="9071" w:val="right" w:leader="dot"/>
        </w:tabs>
        <w:spacing w:before="0" w:after="0" w:line="360" w:lineRule="auto"/>
        <w:ind w:firstLine="0" w:left="340"/>
        <w:jc w:val="left"/>
      </w:pPr>
      <w:r>
        <w:rPr>
          <w:b w:val="0"/>
          <w:i w:val="0"/>
          <w:sz w:val="21"/>
        </w:rPr>
        <w:t>3.14 Participação em consórcio</w:t>
      </w:r>
      <w:r>
        <w:rPr>
          <w:b w:val="0"/>
          <w:i w:val="0"/>
          <w:sz w:val="21"/>
        </w:rPr>
        <w:tab/>
        <w:t>26</w:t>
      </w:r>
    </w:p>
    <w:p>
      <w:pPr>
        <w:tabs>
          <w:tab w:pos="9071" w:val="right" w:leader="dot"/>
        </w:tabs>
        <w:spacing w:before="0" w:after="0" w:line="360" w:lineRule="auto"/>
        <w:ind w:firstLine="0" w:left="340"/>
        <w:jc w:val="left"/>
      </w:pPr>
      <w:r>
        <w:rPr>
          <w:b w:val="0"/>
          <w:i w:val="0"/>
          <w:sz w:val="21"/>
        </w:rPr>
        <w:t>3.15 Impugnação e esclarecimentos</w:t>
      </w:r>
      <w:r>
        <w:rPr>
          <w:b w:val="0"/>
          <w:i w:val="0"/>
          <w:sz w:val="21"/>
        </w:rPr>
        <w:tab/>
        <w:t>27</w:t>
      </w:r>
    </w:p>
    <w:p>
      <w:pPr>
        <w:tabs>
          <w:tab w:pos="9071" w:val="right" w:leader="dot"/>
        </w:tabs>
        <w:spacing w:before="0" w:after="0" w:line="360" w:lineRule="auto"/>
        <w:ind w:firstLine="0" w:left="340"/>
        <w:jc w:val="left"/>
      </w:pPr>
      <w:r>
        <w:rPr>
          <w:b w:val="0"/>
          <w:i w:val="0"/>
          <w:sz w:val="21"/>
        </w:rPr>
        <w:t>3.16 Sanções e multas</w:t>
      </w:r>
      <w:r>
        <w:rPr>
          <w:b w:val="0"/>
          <w:i w:val="0"/>
          <w:sz w:val="21"/>
        </w:rPr>
        <w:tab/>
        <w:t>29</w:t>
      </w:r>
    </w:p>
    <w:p>
      <w:pPr>
        <w:tabs>
          <w:tab w:pos="9071" w:val="right" w:leader="dot"/>
        </w:tabs>
        <w:spacing w:before="0" w:after="0" w:line="360" w:lineRule="auto"/>
        <w:ind w:firstLine="0" w:left="340"/>
        <w:jc w:val="left"/>
      </w:pPr>
      <w:r>
        <w:rPr>
          <w:b w:val="0"/>
          <w:i w:val="0"/>
          <w:sz w:val="21"/>
        </w:rPr>
        <w:t>3.17 Exigência de via física, autenticação e firma reconhecida em processo eletrônico</w:t>
      </w:r>
      <w:r>
        <w:rPr>
          <w:b w:val="0"/>
          <w:i w:val="0"/>
          <w:sz w:val="21"/>
        </w:rPr>
        <w:tab/>
        <w:t>30</w:t>
      </w:r>
    </w:p>
    <w:p>
      <w:pPr>
        <w:tabs>
          <w:tab w:pos="9071" w:val="right" w:leader="dot"/>
        </w:tabs>
        <w:spacing w:before="0" w:after="0" w:line="360" w:lineRule="auto"/>
        <w:ind w:firstLine="0" w:left="340"/>
        <w:jc w:val="left"/>
      </w:pPr>
      <w:r>
        <w:rPr>
          <w:b w:val="0"/>
          <w:i w:val="0"/>
          <w:sz w:val="21"/>
        </w:rPr>
        <w:t>3.18 Divergência entre o elemento de despesa do edital e do TR</w:t>
      </w:r>
      <w:r>
        <w:rPr>
          <w:b w:val="0"/>
          <w:i w:val="0"/>
          <w:sz w:val="21"/>
        </w:rPr>
        <w:tab/>
        <w:t>31</w:t>
      </w:r>
    </w:p>
    <w:p>
      <w:pPr>
        <w:tabs>
          <w:tab w:pos="9071" w:val="right" w:leader="dot"/>
        </w:tabs>
        <w:spacing w:before="0" w:after="0" w:line="360" w:lineRule="auto"/>
        <w:ind w:firstLine="0" w:left="340"/>
        <w:jc w:val="left"/>
      </w:pPr>
      <w:r>
        <w:rPr>
          <w:b w:val="0"/>
          <w:i w:val="0"/>
          <w:sz w:val="21"/>
        </w:rPr>
        <w:t>3.19 Fundamento e coerência da vedação à participação de cooperativas</w:t>
      </w:r>
      <w:r>
        <w:rPr>
          <w:b w:val="0"/>
          <w:i w:val="0"/>
          <w:sz w:val="21"/>
        </w:rPr>
        <w:tab/>
        <w:t>31</w:t>
      </w:r>
    </w:p>
    <w:p>
      <w:pPr>
        <w:tabs>
          <w:tab w:pos="9071" w:val="right" w:leader="dot"/>
        </w:tabs>
        <w:spacing w:before="0" w:after="0" w:line="360" w:lineRule="auto"/>
        <w:ind w:firstLine="0" w:left="0"/>
        <w:jc w:val="left"/>
      </w:pPr>
      <w:r>
        <w:rPr>
          <w:b/>
          <w:i w:val="0"/>
          <w:sz w:val="22"/>
        </w:rPr>
        <w:t>4 ANÁLISE DE PREÇOS</w:t>
      </w:r>
      <w:r>
        <w:rPr>
          <w:b/>
          <w:i w:val="0"/>
          <w:sz w:val="22"/>
        </w:rPr>
        <w:tab/>
        <w:t>32</w:t>
      </w:r>
    </w:p>
    <w:p>
      <w:pPr>
        <w:tabs>
          <w:tab w:pos="9071" w:val="right" w:leader="dot"/>
        </w:tabs>
        <w:spacing w:before="0" w:after="0" w:line="360" w:lineRule="auto"/>
        <w:ind w:firstLine="0" w:left="0"/>
        <w:jc w:val="left"/>
      </w:pPr>
      <w:r>
        <w:rPr>
          <w:b/>
          <w:i w:val="0"/>
          <w:sz w:val="22"/>
        </w:rPr>
        <w:t>5 RECOMENDAÇÕES DE MELHORIA</w:t>
      </w:r>
      <w:r>
        <w:rPr>
          <w:b/>
          <w:i w:val="0"/>
          <w:sz w:val="22"/>
        </w:rPr>
        <w:tab/>
        <w:t>33</w:t>
      </w:r>
    </w:p>
    <w:p>
      <w:pPr>
        <w:tabs>
          <w:tab w:pos="9071" w:val="right" w:leader="dot"/>
        </w:tabs>
        <w:spacing w:before="0" w:after="0" w:line="360" w:lineRule="auto"/>
        <w:ind w:firstLine="0" w:left="0"/>
        <w:jc w:val="left"/>
      </w:pPr>
      <w:r>
        <w:rPr>
          <w:b/>
          <w:i w:val="0"/>
          <w:sz w:val="22"/>
        </w:rPr>
        <w:t>6 CONCLUSÃO</w:t>
      </w:r>
      <w:r>
        <w:rPr>
          <w:b/>
          <w:i w:val="0"/>
          <w:sz w:val="22"/>
        </w:rPr>
        <w:tab/>
        <w:t>34</w:t>
      </w:r>
    </w:p>
    <w:p>
      <w:pPr>
        <w:tabs>
          <w:tab w:pos="9071" w:val="right" w:leader="dot"/>
        </w:tabs>
        <w:spacing w:before="0" w:after="0" w:line="360" w:lineRule="auto"/>
        <w:ind w:firstLine="0" w:left="0"/>
        <w:jc w:val="left"/>
      </w:pPr>
      <w:r>
        <w:rPr>
          <w:b/>
          <w:i w:val="0"/>
          <w:sz w:val="22"/>
        </w:rPr>
        <w:t>REFERÊNCIAS</w:t>
      </w:r>
      <w:r>
        <w:rPr>
          <w:b/>
          <w:i w:val="0"/>
          <w:sz w:val="22"/>
        </w:rPr>
        <w:tab/>
        <w:t>37</w:t>
      </w:r>
    </w:p>
    <w:p>
      <w:pPr>
        <w:tabs>
          <w:tab w:pos="9071" w:val="right" w:leader="dot"/>
        </w:tabs>
        <w:spacing w:before="0" w:after="0" w:line="360" w:lineRule="auto"/>
        <w:ind w:firstLine="0" w:left="0"/>
        <w:jc w:val="left"/>
      </w:pPr>
      <w:r>
        <w:rPr>
          <w:b/>
          <w:i w:val="0"/>
          <w:sz w:val="22"/>
        </w:rPr>
        <w:t>APÊNDICE A – LISTA DE VERIFICAÇÃO</w:t>
      </w:r>
      <w:r>
        <w:rPr>
          <w:b/>
          <w:i w:val="0"/>
          <w:sz w:val="22"/>
        </w:rPr>
        <w:tab/>
        <w:t>42</w:t>
      </w:r>
    </w:p>
    <w:p>
      <w:pPr>
        <w:tabs>
          <w:tab w:pos="9071" w:val="right" w:leader="dot"/>
        </w:tabs>
        <w:spacing w:before="0" w:after="0" w:line="360" w:lineRule="auto"/>
        <w:ind w:firstLine="0" w:left="0"/>
        <w:jc w:val="left"/>
      </w:pPr>
      <w:r>
        <w:rPr>
          <w:b/>
          <w:i w:val="0"/>
          <w:sz w:val="22"/>
        </w:rPr>
        <w:t>APÊNDICE B – METODOLOGIA E LIMITES</w:t>
      </w:r>
      <w:r>
        <w:rPr>
          <w:b/>
          <w:i w:val="0"/>
          <w:sz w:val="22"/>
        </w:rPr>
        <w:tab/>
        <w:t>43</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2</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10</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7</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5</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Convenção coletiva da categoria correta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135,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Enquadramento como dedicação exclusiva de mão de obra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XVI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Garantias do cumprimento das obrigações trabalhistas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121, § 2º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Possível terceirização de atividades de natureza pedagógica e de cuidado infantil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Orçamento estimado sem composição de custos e com metodologia ambígua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Garantia de proposta e garantia contratual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58,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Participação em consórcio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15</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Sanções e multas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156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Exigência de via física, autenticação e firma reconhecida em processo eletrônico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Divergência entre o elemento de despesa do edital e do TR</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Fundamento e coerência da vedação à participação de cooperativas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0CC5/2026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Educação</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Contratação de empresa especializada em gestão de mão de obra para a Educação Infantil (435 postos de Auxiliar de Desenvolvimento Infantil, 44h semanais, 12 meses), em regime de dedicação exclusiva, valor estimado de R$ 40.955.284,80</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54/2026 – Processo nº 18321/2025 (PNCP 29131075000193-1-000445/2026)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TERCEIRIZAÇÃO. DEDICAÇÃO EXCLUSIVA DE MÃO DE OBRA. EDUCAÇÃO INFANTIL. CONVENÇÃO COLETIVA DE CATEGORIA DIVERSA. ORÇAMENTO SEM COMPOSIÇÃO. QUALIFICAÇÃO TÉCNICA. REPACTUAÇÃO. INCOERÊNCIAS DO EDITAL E ANEXOS </w:t>
      </w:r>
      <w:r>
        <w:rPr>
          <w:b w:val="0"/>
          <w:i w:val="0"/>
          <w:sz w:val="20"/>
        </w:rPr>
        <w:t>Edital de pregão eletrônico para 435 postos de auxiliar de desenvolvimento infantil, com orçamento elaborado sobre convenção coletiva de asseio e conservação, embora as atribuições do posto sejam predominantemente pedagógicas e de cuidado infantil. O prazo de propostas foi respeitado, mas há falhas relevantes: categoria sindical do orçamento, ausência da planilha de composição, exigências de habilitação potencialmente restritivas, regras contraditórias de reajuste/repactuação e de tratamento de ME/EPP, e minuta contratual incompleta.</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54/2026 – Processo nº 18321/2025 (PNCP 29131075000193-1-000445/2026), do Prefeitura Municipal de Maricá – Secretaria de Educação, cujo objeto é: Contratação de empresa especializada em gestão de mão de obra para a Educação Infantil (435 postos de Auxiliar de Desenvolvimento Infantil, 44h semanais, 12 meses), em regime de dedicação exclusiva, valor estimado de R$ 40.955.284,80.</w:t>
      </w:r>
    </w:p>
    <w:p>
      <w:pPr>
        <w:spacing w:before="0" w:after="120" w:line="360" w:lineRule="auto"/>
        <w:ind w:firstLine="709"/>
        <w:jc w:val="both"/>
      </w:pPr>
      <w:r>
        <w:rPr>
          <w:b w:val="0"/>
          <w:i w:val="0"/>
        </w:rPr>
        <w:t>Foram examinados os seguintes documentos: Edital e minutas (ata e contrato) (https://pncp.gov.br/app/editais/29131075000193/2026/445, 127 páginas). O exame teve por parâmetro a Lei 14.133/2021, aplicando-se o roteiro de verificação Licitacon (versão 2026-10-29b), com 33 itens pertinentes ao caso.</w:t>
      </w:r>
    </w:p>
    <w:p>
      <w:pPr>
        <w:spacing w:before="0" w:after="120" w:line="360" w:lineRule="auto"/>
        <w:ind w:firstLine="709"/>
        <w:jc w:val="both"/>
      </w:pPr>
      <w:r>
        <w:rPr>
          <w:b w:val="0"/>
          <w:i w:val="0"/>
        </w:rPr>
        <w:t>O edital (128 folhas) e seus anexos (planilha, proposta, TR, declarações e minuta) foram examinados contra o roteiro de dedicação exclusiva de mão de obra e de edital. Os pontos formais centrais estão presentes: declaração do art. 63, § 1º, prazos de impugnação, recursos, rol de sanções, índice de reajuste com data-base no orçamento e prazo de propostas (divulgação em 09/10/2026; encerramento em 27/10/2026, 10º dia útil, conforme o mínimo de 10 dias úteis para serviços comuns). As falhas mais graves são: (i) orçamento baseado na CCT do SEAC/RJ (asseio e conservação) para posto de auxiliar de desenvolvimento infantil com atribuições pedagógicas e de cuidado; (ii) ausência, nos documentos enviados, da planilha de composição do valor unitário de R$ 7.845,84/posto; (iii) exigências de habilitação técnica e econômica com justificativa incompleta ou divergente entre edital e TR (alta); (iv) regras contraditórias de reajuste/repactuação, ME/EPP, garantia e mora; (v) minuta contratual com lacunas e resíduos de modelo. Também há ponto a esclarecer sobre a possível terceirização de atividade de natureza pedagógica. A análise de preços do sistema não tinha amostra suficiente, razão pela qual não se conclui por sobrepreço.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Convenção coletiva da categoria correta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Planilha de custos e formação de preços (dedicação exclusiva de mão de obra), TR item 14.1 [página 76] e item 1.1 [página 52]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orçamento estimado adota a CCT do SEAC/RJ (Sindicato das Empresas de Asseio e Conservação) com o SINTACLUNS, registro MTE RJ 001105/2025, período 2025-2026. O posto é de Auxiliar de Desenvolvimento Infantil (CBO 3311-10), com atribuições de apoio pedagógico e cuidado de crianças. Não há justificativa de enquadramento sindical nos autos. Também não é claro se a CCT 2025-2026 era a vigente na data do orçamento (27/07/2026) e se a proposta (Anexo A, 'Ano do Acordo: 2026') se refere à mesma convenção. O item 12.12 do edital impõe que os salários não sejam inferiores 'aos estimados neste Edital', mas nenhum valor de salário é divulgado.</w:t>
      </w:r>
    </w:p>
    <w:p>
      <w:pPr>
        <w:spacing w:before="0" w:after="120" w:line="360" w:lineRule="auto"/>
        <w:ind w:firstLine="709"/>
        <w:jc w:val="both"/>
      </w:pPr>
      <w:r>
        <w:rPr>
          <w:b w:val="0"/>
          <w:i w:val="0"/>
        </w:rPr>
        <w:t>O documento dispõe: “Convenção Coletiva registrada no MTE sob o número de registro RJ 001105/2025” (TR item 14.1 [página 76] e item 1.1 [página 52]).</w:t>
      </w:r>
    </w:p>
    <w:p>
      <w:pPr>
        <w:spacing w:before="0" w:after="80" w:line="360" w:lineRule="auto"/>
        <w:ind w:firstLine="709"/>
        <w:jc w:val="both"/>
      </w:pPr>
      <w:r>
        <w:rPr>
          <w:b/>
          <w:i w:val="0"/>
          <w:color w:val="12324A"/>
        </w:rPr>
        <w:t xml:space="preserve">Dispositivo aplicável. </w:t>
      </w:r>
      <w:r>
        <w:rPr>
          <w:b w:val="0"/>
          <w:i w:val="0"/>
        </w:rPr>
        <w:t>A matéria é disciplinada pelo art. 135, inciso II, pelo art. 135, § 5º, pelo art. 23 e pelo art. 63, § 1º, da Lei 14.133/2021, que assim dispõem:</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 ao acordo, à convenção coletiva ou ao dissídio coletivo ao qual a proposta esteja vinculada, para os custos de mão de obra.</w:t>
      </w:r>
      <w:r>
        <w:rPr>
          <w:b w:val="0"/>
          <w:i w:val="0"/>
          <w:sz w:val="20"/>
        </w:rPr>
        <w:t xml:space="preserve"> (BRASIL, 2021, art. 135, inciso II)</w:t>
      </w:r>
    </w:p>
    <w:p>
      <w:pPr>
        <w:spacing w:before="80" w:after="200" w:line="240" w:lineRule="auto"/>
        <w:ind w:firstLine="0" w:left="2268"/>
        <w:jc w:val="both"/>
      </w:pPr>
      <w:r>
        <w:rPr>
          <w:b w:val="0"/>
          <w:i w:val="0"/>
          <w:sz w:val="20"/>
        </w:rPr>
        <w:t>Quando a contratação envolver mais de uma categoria profissional, a repactuação a que se refere o inciso II do caput deste artigo poderá ser dividida em tantos quantos forem os acordos, convenções ou dissídios coletivos de trabalho das categorias envolvidas na contratação.</w:t>
      </w:r>
      <w:r>
        <w:rPr>
          <w:b w:val="0"/>
          <w:i w:val="0"/>
          <w:sz w:val="20"/>
        </w:rPr>
        <w:t xml:space="preserve"> (BRASIL, 2021, art. 135, § 5º)</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Pr>
          <w:b w:val="0"/>
          <w:i w:val="0"/>
          <w:sz w:val="20"/>
        </w:rPr>
        <w:t xml:space="preserve"> (BRASIL, 2021, art. 63, § 1º)</w:t>
      </w:r>
    </w:p>
    <w:p>
      <w:pPr>
        <w:spacing w:before="0" w:after="120" w:line="360" w:lineRule="auto"/>
        <w:ind w:firstLine="709"/>
        <w:jc w:val="both"/>
      </w:pPr>
      <w:r>
        <w:rPr>
          <w:b/>
          <w:i w:val="0"/>
          <w:color w:val="12324A"/>
        </w:rPr>
        <w:t xml:space="preserve">Análise. </w:t>
      </w:r>
      <w:r>
        <w:rPr>
          <w:b w:val="0"/>
          <w:i w:val="0"/>
        </w:rPr>
        <w:t>O roteiro classifica como falha grave o uso de convenção de categoria diversa da profissional a ser contratada, pois altera piso, benefícios, adicionais, encargos e todo o custo do posto. A repactuação (art. 135, II) fica vinculada à convenção da proposta. A estimativa deve ser compatível com o mercado (art. 23).</w:t>
      </w:r>
    </w:p>
    <w:p>
      <w:pPr>
        <w:spacing w:before="0" w:after="120" w:line="360" w:lineRule="auto"/>
        <w:ind w:firstLine="709"/>
        <w:jc w:val="both"/>
      </w:pPr>
      <w:r>
        <w:rPr>
          <w:b/>
          <w:i w:val="0"/>
          <w:color w:val="B23A48"/>
        </w:rPr>
        <w:t xml:space="preserve">Risco de manutenção. </w:t>
      </w:r>
      <w:r>
        <w:rPr>
          <w:b w:val="0"/>
          <w:i w:val="0"/>
        </w:rPr>
        <w:t>Sobrepreço ou inexequibilidade das propostas, repactuação vinculada a convenção inadequada, disputas sobre piso salarial e passivo trabalhista subsidiário para o Município.</w:t>
      </w:r>
    </w:p>
    <w:p>
      <w:pPr>
        <w:spacing w:before="0" w:after="120" w:line="360" w:lineRule="auto"/>
        <w:ind w:firstLine="709"/>
        <w:jc w:val="both"/>
      </w:pPr>
      <w:r>
        <w:rPr>
          <w:b/>
          <w:i w:val="0"/>
          <w:color w:val="12324A"/>
        </w:rPr>
        <w:t xml:space="preserve">Providência recomendada. </w:t>
      </w:r>
      <w:r>
        <w:rPr>
          <w:b w:val="0"/>
          <w:i w:val="0"/>
        </w:rPr>
        <w:t>Identificar a categoria pela CBO e pelas atribuições reais, confirmar no Mediador/MTE a convenção aplicável na base territorial e refazer o orçamento. Registrar a justificativa do enquadramento sindical. Divulgar o salário e o auxílio-alimentação orçados se o piso do item 12.12 for mantido. Manter o licitante livre para indicar a sua própria convenção, conforme a jurisprudência citada.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orçamento estimado foi elaborado com base na convenção coletiva da categoria profissional compatível com as atribuições do posto [sindicato, nº de registro no MTE, vigência e data-base], conforme justificativa de enquadramento sindical constante do processo. Cada licitante indicará em sua proposta a convenção coletiva à qual está vinculado, com a respectiva data-base.</w:t>
            </w:r>
          </w:p>
        </w:tc>
      </w:tr>
    </w:tbl>
    <w:p>
      <w:pPr>
        <w:spacing w:before="0" w:after="80" w:line="240" w:lineRule="auto"/>
        <w:ind w:firstLine="0"/>
        <w:jc w:val="both"/>
      </w:pP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4.8. Nas licitações realizadas na modalidade pregão, em sua forma eletrônica, as declarações deverão ser apresentadas no momento do cadastramento da proposta, para os demais casos deverão ser apresentados juntamente com as proposta de preços na sessão pública. 5. Da participação de Microempresas, Empresas de Pequeno Porte e Equivalentes: 5.1. O ato convocatório deverá prever expressamente os dispositivos relativos ao tratamento diferenciado e favorecido, bem como os critérios de desempate e preferência de contratação, previstos na Lei Complementar nº 123, de 2006, e no Decreto nº 8.538, de 6 de outubro de 2015, quando aplicáveis; 5.2. O ato c…</w:t>
      </w:r>
      <w:r>
        <w:rPr>
          <w:b w:val="0"/>
          <w:i w:val="0"/>
          <w:sz w:val="20"/>
        </w:rPr>
        <w:t xml:space="preserve"> (Instrução Normativa SEGES/MP nº 5, de 26 de maio de 2017 (atualizada), 6. Da proposta:)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Nos editais de licitação para contratação de serviços terceirizados com dedicação exclusiva de mão de obra, não é permitido determinar a convenção ou o acordo coletivo de trabalho a ser utilizado pelas empresas licitantes como base para a confecção das respectivas propostas, em decorrência da previsão estabelecida no art. 511, §§ 2º e 3º, da CLT. Não obstante, em tais licitações, é lícito ao edital prever que somente serão aceitas propostas que adotarem na planilha de custos e formação de preços valor igual ou superior ao orçado pela Administração para a soma dos itens de salário e auxílio-alimentação, admitidos também, a critério da Administração, outros benefícios de natureza social considerados essenciais à dignidade do trabalho, devidamente justificados, os quais devem ser estimados com base na convenção coletiva de trabalho paradigma, que é aquela que melhor se adequa à categoria profissional que executará os serviços terceirizados, considerando a base territorial de execução do objeto.</w:t>
      </w:r>
      <w:r>
        <w:rPr>
          <w:b w:val="0"/>
          <w:i w:val="0"/>
          <w:sz w:val="20"/>
        </w:rPr>
        <w:t xml:space="preserve"> (TCU, Acórdão 1207/2024-Plenário, enunciado 1)</w:t>
      </w:r>
      <w:r>
        <w:rPr>
          <w:b w:val="0"/>
          <w:i w:val="0"/>
          <w:sz w:val="20"/>
        </w:rPr>
        <w:t xml:space="preserve"> </w:t>
      </w:r>
      <w:hyperlink r:id="rId12">
        <w:r>
          <w:rPr>
            <w:color w:val="1F7A8C"/>
            <w:u w:val="single"/>
            <w:sz w:val="18"/>
          </w:rPr>
          <w:t xml:space="preserve">[fonte oficial]</w:t>
        </w:r>
      </w:hyperlink>
    </w:p>
    <w:p>
      <w:pPr>
        <w:spacing w:before="80" w:after="200" w:line="240" w:lineRule="auto"/>
        <w:ind w:firstLine="0" w:left="2268"/>
        <w:jc w:val="both"/>
      </w:pPr>
      <w:r>
        <w:rPr>
          <w:b w:val="0"/>
          <w:i w:val="0"/>
          <w:sz w:val="20"/>
        </w:rPr>
        <w:t>Na contratação de serviços terceirizados com dedicação exclusiva de mão de obra, de modo a resguardar o interesse da Administração Pública, bem como buscar garantir a proteção do trabalhador terceirizado, o edital de licitação deve contemplar dispositivos que estabeleçam: a) exigência para que o licitante entregue junto com sua proposta de preços uma declaração informando o enquadramento sindical da empresa, a atividade econômica preponderante e a justificativa para adoção do instrumento coletivo do trabalho em que se baseia sua proposta; b) exigência para que o licitante apresente cópia da carta ou registro sindical do sindicato a qual ele declara ser enquadrado, em razão do regramento do enquadramento sindical previsto na CLT ou por força de decisão judicial; c) responsabilidade da empresa licitante nas situações de ocorrência de erro no enquadramento sindical, ou fraude pela utilização de instrumento coletivo incompatível com o enquadramento sindical declarado ou no qual a empresa não tenha sido representada por órgão de classe de sua categoria, que daí tenha resultado vantagem indevida na fase de julgamento das propostas, sujeitando a contratada às sanções previstas no art. 156, incisos III e IV, da Lei 14.133/2021; d) responsabilidade exclusiva da empresa contratada pelo cometimento de erro ou fraude no enquadramento sindical e pelo eventual ônus financeiro decorrente, por repactuação ou por força de decisão judicial, em razão da necessidade de se proceder ao pagamento de diferenças salariais e de outras vantagens, ou ainda por intercorrências na execução dos serviços contratados, resultante da adoção de instrumento coletivo do trabalho inadequado; e) aderência à convenção coletiva do trabalho à qual a proposta da empresa esteja vinculada para fins de atendimento à eventual necessidade de repactuação dos valores decorrentes da mão de obra, consignados na planilha de custos e formação de preços do contrato, em observância ao disposto no art. 135, inciso II, da Lei 14.133/2021. Constitui motivo para extinção do contrato, nos termos do art. 137, inciso I, da Lei 14.133/2021, com a consequente realização de novo processo licitatório, a situação em que se impõe à contratada a alteração da convenção coletiva de trabalho em que se baseia a planilha de custos e formação de preços, em razão de erro ou fraude no enquadramento sindical de que resulta a necessidade de repactuação ou imposição de ônus financeiro para a Administração Pública, em cumprimento de decisão judicial.</w:t>
      </w:r>
      <w:r>
        <w:rPr>
          <w:b w:val="0"/>
          <w:i w:val="0"/>
          <w:sz w:val="20"/>
        </w:rPr>
        <w:t xml:space="preserve"> (TCU, Acórdão 1207/2024-Plenário, enunciado 2)</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Edital item 13 (E), E.2 a E.10 [páginas 26-28]; TR itens 12.8, 12.9 e 24 [páginas 73-75, 88]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(1) O quantitativo de 50% dos postos (≈218 de 435) respeita o limite do art. 67, § 2º, mas não há indicação da parcela de maior relevância nem justificativa do quantitativo no ETP/TR, além da frase genérica do item E.2.2. (2) O TR (item 24) exige 'experiência prévia na prestação de serviços em ambientes educacionais ou instituições similares', exigência que não consta do edital e restringe o universo de fornecedores em serviço de dedicação exclusiva. (3) O item E.10 exige atestado de 'serviços similares' por 36 meses, sem delimitar as características de similaridade, e se sobrepõe à E.2. (4) O item E.7 exige Técnico de Segurança do Trabalho no quadro permanente ou por declaração de compromisso, com base no art. 67, I, embora o próprio TR classifique a atividade como de risco baixo (NR-4, grau 2); a exigência não está vinculada a uma parcela técnica do objeto. (5) O TR 12.9 afirma que os atestados devem ser emitidos após a conclusão ou 1 ano de execução, o que não consta do edital. (6) Os atestados devem referir-se à atividade econômica principal ou secundária da licitante.</w:t>
      </w:r>
    </w:p>
    <w:p>
      <w:pPr>
        <w:spacing w:before="0" w:after="120" w:line="360" w:lineRule="auto"/>
        <w:ind w:firstLine="709"/>
        <w:jc w:val="both"/>
      </w:pPr>
      <w:r>
        <w:rPr>
          <w:b w:val="0"/>
          <w:i w:val="0"/>
        </w:rPr>
        <w:t>O documento dispõe: “Comprovação de que a licitante possui em seu quadro permanente, ou declaração de” (Edital item 13 (E), E.2 a E.10 [páginas 26-28]; TR itens 12.8, 12.9 e 24 [páginas 73-75, 88]).</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e 2º, restringe as exigências às parcelas de maior relevância e a até 50% dos quantitativos. Exigências não delimitadas objetivamente, ou divergentes entre edital e TR, restringem a competição e são das irregularidades mais apontadas. Em dedicação exclusiva, o TCE-RJ admite experiência específica apenas se justificada.</w:t>
      </w:r>
    </w:p>
    <w:p>
      <w:pPr>
        <w:spacing w:before="0" w:after="120" w:line="360" w:lineRule="auto"/>
        <w:ind w:firstLine="709"/>
        <w:jc w:val="both"/>
      </w:pPr>
      <w:r>
        <w:rPr>
          <w:b/>
          <w:i w:val="0"/>
          <w:color w:val="B23A48"/>
        </w:rPr>
        <w:t xml:space="preserve">Risco de manutenção. </w:t>
      </w:r>
      <w:r>
        <w:rPr>
          <w:b w:val="0"/>
          <w:i w:val="0"/>
        </w:rPr>
        <w:t>Representações e impugnações por restrição à competitividade, ou inabilitação indevida de licitantes por exigência divergente entre edital e TR.</w:t>
      </w:r>
    </w:p>
    <w:p>
      <w:pPr>
        <w:spacing w:before="0" w:after="120" w:line="360" w:lineRule="auto"/>
        <w:ind w:firstLine="709"/>
        <w:jc w:val="both"/>
      </w:pPr>
      <w:r>
        <w:rPr>
          <w:b/>
          <w:i w:val="0"/>
          <w:color w:val="12324A"/>
        </w:rPr>
        <w:t xml:space="preserve">Providência recomendada. </w:t>
      </w:r>
      <w:r>
        <w:rPr>
          <w:b w:val="0"/>
          <w:i w:val="0"/>
        </w:rPr>
        <w:t>Harmonizar edital e TR e suprimir do TR a exigência de experiência em ambiente educacional, salvo justificativa técnica robusta. Delimitar o que se entende por 'serviços similares' ou suprimir o item E.10, mantendo E.2. Justificar ou suprimir a exigência do Técnico de Segurança do Trabalho. Indicar no ETP/TR a parcela de maior relevância e a memória do quantitativo de 50%. Retirar a referência a prazo de emissão do atestado, se não for adotada.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Atestado(s) que comprove(m) a gestão de, no mínimo, 50% do quantitativo de postos de trabalho licitados (218 postos), admitido o somatório de atestados concomitantes, referente(s) a serviços continuados com dedicação exclusiva de mão de obra, por período não inferior a 36 meses, nos termos do art. 67, § 5º, da Lei 14.133/2021 [se mantido e justificado].</w:t>
            </w:r>
          </w:p>
        </w:tc>
      </w:tr>
    </w:tbl>
    <w:p>
      <w:pPr>
        <w:spacing w:before="0" w:after="80" w:line="240" w:lineRule="auto"/>
        <w:ind w:firstLine="0"/>
        <w:jc w:val="both"/>
      </w:pP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4.8. Nas licitações realizadas na modalidade pregão, em sua forma eletrônica, as declarações deverão ser apresentadas no momento do cadastramento da proposta, para os demais casos deverão ser apresentados juntamente com as proposta de preços na sessão pública. 5. Da participação de Microempresas, Empresas de Pequeno Porte e Equivalentes: 5.1. O ato convocatório deverá prever expressamente os dispositivos relativos ao tratamento diferenciado e favorecido, bem como os critérios de desempate e preferência de contratação, previstos na Lei Complementar nº 123, de 2006, e no Decreto nº 8.538, de 6 de outubro de 2015, quando aplicáveis; 5.2. O ato c…</w:t>
      </w:r>
      <w:r>
        <w:rPr>
          <w:b w:val="0"/>
          <w:i w:val="0"/>
          <w:sz w:val="20"/>
        </w:rPr>
        <w:t xml:space="preserve"> (Instrução Normativa SEGES/MP nº 5, de 26 de maio de 2017 (atualizada), 6. Da proposta:)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Enquadramento como dedicação exclusiva de mão de obra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TR item 3.1-1 [página 56] e itens 1.1, 2 e 23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enquadramento como serviço contínuo com dedicação exclusiva é adotado (435 postos, jornada de 44h, controle de ponto, IMR, fiscalização de obrigações trabalhistas, repactuação). A caracterização do objeto é, porém, contraditória. O TR chama o serviço de 'atividade meio' e de 'serviços administrativos contínuos', mas descreve atribuições pedagógicas (ler textos, avaliar e corrigir atividades, desenvolver capacidades intelectuais), de cuidado (banho, troca de fraldas) e de limpeza de sala. Há também resíduo de outro objeto ('treinamento periódico dos porteiros', item 23) e o cargo é citado como 'Auxiliar de Educação Infantil' no item 6.</w:t>
      </w:r>
    </w:p>
    <w:p>
      <w:pPr>
        <w:spacing w:before="0" w:after="120" w:line="360" w:lineRule="auto"/>
        <w:ind w:firstLine="709"/>
        <w:jc w:val="both"/>
      </w:pPr>
      <w:r>
        <w:rPr>
          <w:b w:val="0"/>
          <w:i w:val="0"/>
        </w:rPr>
        <w:t>O documento dispõe: “avaliar atividades dos alunos; corrigir atividades” (TR item 3.1-1 [página 56] e itens 1.1, 2 e 23).</w:t>
      </w:r>
    </w:p>
    <w:p>
      <w:pPr>
        <w:spacing w:before="0" w:after="80" w:line="360" w:lineRule="auto"/>
        <w:ind w:firstLine="709"/>
        <w:jc w:val="both"/>
      </w:pPr>
      <w:r>
        <w:rPr>
          <w:b/>
          <w:i w:val="0"/>
          <w:color w:val="12324A"/>
        </w:rPr>
        <w:t xml:space="preserve">Dispositivo aplicável. </w:t>
      </w:r>
      <w:r>
        <w:rPr>
          <w:b w:val="0"/>
          <w:i w:val="0"/>
        </w:rPr>
        <w:t>A matéria é disciplinada pelo art. 6, inciso XVI, da Lei 14.133/2021, que assim dispõe:</w:t>
      </w:r>
    </w:p>
    <w:p>
      <w:pPr>
        <w:spacing w:before="80" w:after="200" w:line="240" w:lineRule="auto"/>
        <w:ind w:firstLine="0" w:left="2268"/>
        <w:jc w:val="both"/>
      </w:pPr>
      <w:r>
        <w:rPr>
          <w:b w:val="0"/>
          <w:i w:val="0"/>
          <w:sz w:val="20"/>
        </w:rPr>
        <w:t>Para os fins desta Lei, consideram-se: […] serviços contínuos com regime de dedicação exclusiva de mão de obra: aqueles cujo modelo de execução contratual exige, entre outros requisitos, que: […]</w:t>
      </w:r>
      <w:r>
        <w:rPr>
          <w:b w:val="0"/>
          <w:i w:val="0"/>
          <w:sz w:val="20"/>
        </w:rPr>
        <w:t xml:space="preserve"> (BRASIL, 2021, art. 6, inciso XVI)</w:t>
      </w:r>
    </w:p>
    <w:p>
      <w:pPr>
        <w:spacing w:before="0" w:after="120" w:line="360" w:lineRule="auto"/>
        <w:ind w:firstLine="709"/>
        <w:jc w:val="both"/>
      </w:pPr>
      <w:r>
        <w:rPr>
          <w:b/>
          <w:i w:val="0"/>
          <w:color w:val="12324A"/>
        </w:rPr>
        <w:t xml:space="preserve">Análise. </w:t>
      </w:r>
      <w:r>
        <w:rPr>
          <w:b w:val="0"/>
          <w:i w:val="0"/>
        </w:rPr>
        <w:t>O art. 6º, XVI, exige que o modelo de execução contenha os requisitos da dedicação exclusiva. A descrição imprecisa das atividades compromete a aferição do enquadramento, a escolha da convenção coletiva (plan-02) e o dimensionamento das obrigações trabalhistas.</w:t>
      </w:r>
    </w:p>
    <w:p>
      <w:pPr>
        <w:spacing w:before="0" w:after="120" w:line="360" w:lineRule="auto"/>
        <w:ind w:firstLine="709"/>
        <w:jc w:val="both"/>
      </w:pPr>
      <w:r>
        <w:rPr>
          <w:b/>
          <w:i w:val="0"/>
          <w:color w:val="C9781E"/>
        </w:rPr>
        <w:t xml:space="preserve">Risco de manutenção. </w:t>
      </w:r>
      <w:r>
        <w:rPr>
          <w:b w:val="0"/>
          <w:i w:val="0"/>
        </w:rPr>
        <w:t>Divergência de categoria e de atribuições gera enquadramento sindical equivocado, discussão sobre desvio de função e passivo trabalhista subsidiário.</w:t>
      </w:r>
    </w:p>
    <w:p>
      <w:pPr>
        <w:spacing w:before="0" w:after="120" w:line="360" w:lineRule="auto"/>
        <w:ind w:firstLine="709"/>
        <w:jc w:val="both"/>
      </w:pPr>
      <w:r>
        <w:rPr>
          <w:b/>
          <w:i w:val="0"/>
          <w:color w:val="12324A"/>
        </w:rPr>
        <w:t xml:space="preserve">Providência recomendada. </w:t>
      </w:r>
      <w:r>
        <w:rPr>
          <w:b w:val="0"/>
          <w:i w:val="0"/>
        </w:rPr>
        <w:t>Uniformizar a denominação do posto e a descrição das atribuições no edital, no TR, na planilha e na proposta. Corrigir os resíduos (porteiros, 'administrativa e operacional'). Registrar nos autos como se atendem os requisitos do art. 6º, XVI (permanência nas dependências, não compartilhamento, controle de jornada).</w:t>
      </w: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III - descrição da solução como um todo, considerado todo o ciclo de vida do objeto, com preferência a arranjos inovadores em sede de economia circular; IV - requisitos da contratação; V - modelo de execução do objeto, que consiste na definição de como o contrato deverá produzir os resultados pretendidos desde o seu início até o seu encerramento; VI - modelo de gestão do contrato, que descreve como a execução do objeto será acompanhada e fiscalizada pelo órgão ou entidade; VII - critérios de medição e de pagamento; VIII - forma e critérios de seleção do fornecedor, optando-se pelo critério de julgamento de técnica e preço, conforme o disposto…</w:t>
      </w:r>
      <w:r>
        <w:rPr>
          <w:b w:val="0"/>
          <w:i w:val="0"/>
          <w:sz w:val="20"/>
        </w:rPr>
        <w:t xml:space="preserve"> (Instrução Normativa SEGES/ME nº 81, de 25 de novembro de 2022 (Termo de Referência), Art. 9º Deverão ser registrados no Sistema TR Digital os seguintes parâmetros e elementos descritivos:)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Garantias do cumprimento das obrigações trabalhistas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Minuta de contrato, Cláusula Décima, X e XII [página 117]; Edital item 16.1 [página 30]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lista medidas do art. 121, § 3º (condicionamento do pagamento, conta vinculada, pagamento direto, pagamento de férias e 13º apenas no fato gerador), mas como medidas 'a serem adotadas pela Administração no momento da contratação', sem definir quais serão efetivamente adotadas. Não há regulamentação da conta-depósito vinculada (percentuais, movimentação, liberação). O edital dispensa a garantia contratual (item 16.1). O TR prevê retenção e depósito em Justiça do Trabalho (11.7). O pagamento direto (cláusula XII) e a verificação mensal de FGTS/INSS (edital 18.3, TR 9.5) existem, o que impede a conclusão de ausência total de medida.</w:t>
      </w:r>
    </w:p>
    <w:p>
      <w:pPr>
        <w:spacing w:before="0" w:after="120" w:line="360" w:lineRule="auto"/>
        <w:ind w:firstLine="709"/>
        <w:jc w:val="both"/>
      </w:pPr>
      <w:r>
        <w:rPr>
          <w:b w:val="0"/>
          <w:i w:val="0"/>
        </w:rPr>
        <w:t>O documento dispõe: “b) depósito de valores em conta vinculada;” (Minuta de contrato, Cláusula Décima, X e XII [página 117]; Edital item 16.1 [página 30]).</w:t>
      </w:r>
    </w:p>
    <w:p>
      <w:pPr>
        <w:spacing w:before="0" w:after="80" w:line="360" w:lineRule="auto"/>
        <w:ind w:firstLine="709"/>
        <w:jc w:val="both"/>
      </w:pPr>
      <w:r>
        <w:rPr>
          <w:b/>
          <w:i w:val="0"/>
          <w:color w:val="12324A"/>
        </w:rPr>
        <w:t xml:space="preserve">Dispositivo aplicável. </w:t>
      </w:r>
      <w:r>
        <w:rPr>
          <w:b w:val="0"/>
          <w:i w:val="0"/>
        </w:rPr>
        <w:t>A matéria é disciplinada pelo art. 121, § 2º e pelo art. 121, § 3º, da Lei 14.133/2021, que assim dispõem:</w:t>
      </w:r>
    </w:p>
    <w:p>
      <w:pPr>
        <w:spacing w:before="80" w:after="200" w:line="240" w:lineRule="auto"/>
        <w:ind w:firstLine="0" w:left="2268"/>
        <w:jc w:val="both"/>
      </w:pPr>
      <w:r>
        <w:rPr>
          <w:b w:val="0"/>
          <w:i w:val="0"/>
          <w:sz w:val="20"/>
        </w:rPr>
        <w:t>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r>
        <w:rPr>
          <w:b w:val="0"/>
          <w:i w:val="0"/>
          <w:sz w:val="20"/>
        </w:rPr>
        <w:t xml:space="preserve"> (BRASIL, 2021, art. 121, § 2º)</w:t>
      </w:r>
    </w:p>
    <w:p>
      <w:pPr>
        <w:spacing w:before="80" w:after="200" w:line="240" w:lineRule="auto"/>
        <w:ind w:firstLine="0" w:left="2268"/>
        <w:jc w:val="both"/>
      </w:pPr>
      <w:r>
        <w:rPr>
          <w:b w:val="0"/>
          <w:i w:val="0"/>
          <w:sz w:val="20"/>
        </w:rPr>
        <w:t>Nas contratações de serviços contínuos com regime de dedicação exclusiva de mão de obra, para assegurar o cumprimento de obrigações trabalhistas pelo contratado, a Administração, mediante disposição em edital ou em contrato, poderá, entre outras medidas: […]</w:t>
      </w:r>
      <w:r>
        <w:rPr>
          <w:b w:val="0"/>
          <w:i w:val="0"/>
          <w:sz w:val="20"/>
        </w:rPr>
        <w:t xml:space="preserve"> (BRASIL, 2021, art. 121, § 3º)</w:t>
      </w:r>
    </w:p>
    <w:p>
      <w:pPr>
        <w:spacing w:before="0" w:after="120" w:line="360" w:lineRule="auto"/>
        <w:ind w:firstLine="709"/>
        <w:jc w:val="both"/>
      </w:pPr>
      <w:r>
        <w:rPr>
          <w:b/>
          <w:i w:val="0"/>
          <w:color w:val="12324A"/>
        </w:rPr>
        <w:t xml:space="preserve">Análise. </w:t>
      </w:r>
      <w:r>
        <w:rPr>
          <w:b w:val="0"/>
          <w:i w:val="0"/>
        </w:rPr>
        <w:t>Em contratação com 435 empregados e R$ 40,9 milhões/ano, sem garantia contratual, a Administração responde solidariamente pelos encargos previdenciários e subsidiariamente pelos trabalhistas se houver falha de fiscalização (art. 121, § 2º). A redação condicional deixa a escolha da medida indefinida para depois da licitação, o que prejudica a formação das propostas.</w:t>
      </w:r>
    </w:p>
    <w:p>
      <w:pPr>
        <w:spacing w:before="0" w:after="120" w:line="360" w:lineRule="auto"/>
        <w:ind w:firstLine="709"/>
        <w:jc w:val="both"/>
      </w:pPr>
      <w:r>
        <w:rPr>
          <w:b/>
          <w:i w:val="0"/>
          <w:color w:val="C9781E"/>
        </w:rPr>
        <w:t xml:space="preserve">Risco de manutenção. </w:t>
      </w:r>
      <w:r>
        <w:rPr>
          <w:b w:val="0"/>
          <w:i w:val="0"/>
        </w:rPr>
        <w:t>Responsabilização do Município por verbas trabalhistas e encargos previdenciários em caso de inadimplemento da contratada, com custo de recomposição.</w:t>
      </w:r>
    </w:p>
    <w:p>
      <w:pPr>
        <w:spacing w:before="0" w:after="120" w:line="360" w:lineRule="auto"/>
        <w:ind w:firstLine="709"/>
        <w:jc w:val="both"/>
      </w:pPr>
      <w:r>
        <w:rPr>
          <w:b/>
          <w:i w:val="0"/>
          <w:color w:val="12324A"/>
        </w:rPr>
        <w:t xml:space="preserve">Providência recomendada. </w:t>
      </w:r>
      <w:r>
        <w:rPr>
          <w:b w:val="0"/>
          <w:i w:val="0"/>
        </w:rPr>
        <w:t>Definir no edital e na minuta quais medidas serão adotadas. Recomenda-se a conta-depósito vinculada bloqueada para movimentação (férias, 13º, rescisórias e encargos), com percentuais e rito de liberação, além do pagamento direto e da comprovação mensal. Considerar garantia contratual com cobertura trabalhista, ou justificar a dispensa. Corrigir as referências a 'garantias contratuais' na minuta, incoerentes com o item 16.1.</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Administração adotará, nos termos do art. 121, § 3º, da Lei 14.133/2021: (a) conta-depósito vinculada, bloqueada para movimentação, para provisão mensal de férias, adicional de férias, 13º salário, multa do FGTS e incidências, com os percentuais e o rito de liberação do Anexo [__]; (b) condicionamento do pagamento à comprovação de quitação das obrigações trabalhistas vencidas; (c) pagamento direto das verbas trabalhistas aos empregados em caso de inadimplemento, com dedução dos valores devidos à contratada.</w:t>
            </w:r>
          </w:p>
        </w:tc>
      </w:tr>
    </w:tbl>
    <w:p>
      <w:pPr>
        <w:spacing w:before="0" w:after="80" w:line="240" w:lineRule="auto"/>
        <w:ind w:firstLine="0"/>
        <w:jc w:val="both"/>
      </w:pP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A utilização da Conta-Depósito Vinculada ― bloqueada para movimentação é ferramenta já insti- tucionalizada e sedimentada na Administração Pública como mecanismo de proteção e gestão de riscos na execução de contratos de prestação de serviço com dedicação exclusiva de mão de obra, contribuindo para assegurar os recursos necessários para o cumprimento das obrigações sociais e trabalhistas em caso de inadimplemento da contratada, bem como para a segurança jurídica dos gestores e fiscais de contrato. 4</w:t>
      </w:r>
      <w:r>
        <w:rPr>
          <w:b w:val="0"/>
          <w:i w:val="0"/>
          <w:sz w:val="20"/>
        </w:rPr>
        <w:t xml:space="preserve"> (Caderno de Logística – Conta-depósito vinculada, APRESENTAÇÃO, p. 4)</w:t>
      </w:r>
    </w:p>
    <w:p>
      <w:pPr>
        <w:spacing w:before="80" w:after="200" w:line="240" w:lineRule="auto"/>
        <w:ind w:firstLine="0" w:left="2268"/>
        <w:jc w:val="both"/>
      </w:pPr>
      <w:r>
        <w:rPr>
          <w:b w:val="0"/>
          <w:i w:val="0"/>
          <w:sz w:val="20"/>
        </w:rPr>
        <w:t>INTRODUÇÃO A contratação de serviços terceirizados na Administração Pública Federal direta, autárquica e fun- dacional, amparada na edição do Decreto n° 2.271, de 7 de julho de 1997, foi sempre objeto de preocupação por parte de gestores dos órgãos contratantes. A garantia de direitos trabalhistas e previdenciários, bem como a possibilidade de responsabilização subsidiária do poder público, foi foco de estudos, não só do Poder Executivo federal, mas também dos estaduais e da Justiça Federal. Em meados de 2008, com o advento do instituto da Conta-Depósito Vinculada – bloqueada para movimentação permitiu-se implementar regras para a garantia do…</w:t>
      </w:r>
      <w:r>
        <w:rPr>
          <w:b w:val="0"/>
          <w:i w:val="0"/>
          <w:sz w:val="20"/>
        </w:rPr>
        <w:t xml:space="preserve"> (Caderno de Logística – Conta-depósito vinculada, INTRODUÇÃO, p. 6)</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Os valores depositados sob retenção em conta vinculada com bloqueio de movimentação (a exemplo da "Conta-Depósito Vinculada - Bloqueada para Movimentação" e dos "Depósitos em Garantia Bloqueados para Movimentação - DGBM"), para fazer face exclusivamente a pagamentos de compromissos trabalhistas e previdenciários comprovados de contratos de prestação de serviços de mão de obra com regime de dedicação exclusiva, se enquadram no conceito de "ativo" e de tal forma devem ser registrados nas demonstrações contábeis e nos balanços da administração contratante, que detém o seu controle, com contrapartida no "passivo", juntamente com a correspondente evidenciação em notas explicativas.</w:t>
      </w:r>
      <w:r>
        <w:rPr>
          <w:b w:val="0"/>
          <w:i w:val="0"/>
          <w:sz w:val="20"/>
        </w:rPr>
        <w:t xml:space="preserve"> (TCU, Acórdão 2717/2023-Plenário)</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3.5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18.1.5 [página 82]; Edital item 19.1 [página 34]; Minuta, Cláusula Quinta [página 112]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(19.1) vincula o reajuste à data do orçamento estimado (27/07/2026) e define o IPCA, o que atende ao art. 25, § 7º. Mas o TR (18.1.5) conta o interregno dos insumos da 'data limite para apresentação das propostas', e a minuta (Cláusula Quinta) deixa em branco o prazo em meses e o índice, contrariando o art. 92, § 3º. A defasagem entre o orçamento (27/07) e a divulgação (09/10) não é falha, pois a data-base é o orçamento.</w:t>
      </w:r>
    </w:p>
    <w:p>
      <w:pPr>
        <w:spacing w:before="0" w:after="120" w:line="360" w:lineRule="auto"/>
        <w:ind w:firstLine="709"/>
        <w:jc w:val="both"/>
      </w:pPr>
      <w:r>
        <w:rPr>
          <w:b w:val="0"/>
          <w:i w:val="0"/>
        </w:rPr>
        <w:t>O documento dispõe: “a partir da data limite para apresentação das propostas” (TR item 18.1.5 [página 82]; Edital item 19.1 [página 34]; Minuta, Cláusula Quinta [página 112]).</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25, § 7º, e o art. 92, § 3º, exigem índice com data-base vinculada à data do orçamento estimado. Marcos diferentes no edital, no TR e na minuta geram controvérsia sobre o primeiro reajuste.</w:t>
      </w:r>
    </w:p>
    <w:p>
      <w:pPr>
        <w:spacing w:before="0" w:after="120" w:line="360" w:lineRule="auto"/>
        <w:ind w:firstLine="709"/>
        <w:jc w:val="both"/>
      </w:pPr>
      <w:r>
        <w:rPr>
          <w:b/>
          <w:i w:val="0"/>
          <w:color w:val="C9781E"/>
        </w:rPr>
        <w:t xml:space="preserve">Risco de manutenção. </w:t>
      </w:r>
      <w:r>
        <w:rPr>
          <w:b w:val="0"/>
          <w:i w:val="0"/>
        </w:rPr>
        <w:t>Reajustes contestados ou concedidos com marco incorreto durante a execução.</w:t>
      </w:r>
    </w:p>
    <w:p>
      <w:pPr>
        <w:spacing w:before="0" w:after="120" w:line="360" w:lineRule="auto"/>
        <w:ind w:firstLine="709"/>
        <w:jc w:val="both"/>
      </w:pPr>
      <w:r>
        <w:rPr>
          <w:b/>
          <w:i w:val="0"/>
          <w:color w:val="12324A"/>
        </w:rPr>
        <w:t xml:space="preserve">Providência recomendada. </w:t>
      </w:r>
      <w:r>
        <w:rPr>
          <w:b w:val="0"/>
          <w:i w:val="0"/>
        </w:rPr>
        <w:t>Alinhar o TR (18.1.5) ao edital e preencher a minuta com o índice (IPCA), o interregno de 12 meses e a data-base 'mês/ano do orçamento estimado'. Ver também ed-03.</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dos insumos serão reajustados pelo IPCA, com data-base em 27/07/2026 (data do orçamento estimado), observado o interregno mínimo de 12 meses.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19.2 a 19.2.2 [páginas 34-35]; Minuta, Cláusula Quinta [páginas 112-113]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repactuação para dedicação exclusiva (19.2.1, 19.2.2, TR 18.2) e IPCA para insumos (TR 18.1). Contudo, o item 19.2 estabelece, de forma geral, que 'os preços serão reajustados' pelo IPCA, o que sugere reajuste de todo o preço, inclusive da mão de obra. A minuta mantém o modelo com instruções entre colchetes e blocos alternativos ('por escopo' e 'dedicação exclusiva').</w:t>
      </w:r>
    </w:p>
    <w:p>
      <w:pPr>
        <w:spacing w:before="0" w:after="120" w:line="360" w:lineRule="auto"/>
        <w:ind w:firstLine="709"/>
        <w:jc w:val="both"/>
      </w:pPr>
      <w:r>
        <w:rPr>
          <w:b w:val="0"/>
          <w:i w:val="0"/>
        </w:rPr>
        <w:t>O documento dispõe: “Os preços serão reajustados de acordo com a variação do IPCA calculado por meio da seguinte fórmula:” (Edital itens 19.2 a 19.2.2 [páginas 34-35]; Minuta, Cláusula Quinta [páginas 112-113]).</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Nos contratos de serviços contínuos com dedicação exclusiva, o critério é a repactuação mediante demonstração analítica da variação dos custos (art. 25, § 8º, II; art. 92, § 4º, II; art. 135). A coexistência de dois critérios para o mesmo custo gera pagamentos desconectados dos custos reais.</w:t>
      </w:r>
    </w:p>
    <w:p>
      <w:pPr>
        <w:spacing w:before="0" w:after="120" w:line="360" w:lineRule="auto"/>
        <w:ind w:firstLine="709"/>
        <w:jc w:val="both"/>
      </w:pPr>
      <w:r>
        <w:rPr>
          <w:b/>
          <w:i w:val="0"/>
          <w:color w:val="C9781E"/>
        </w:rPr>
        <w:t xml:space="preserve">Risco de manutenção. </w:t>
      </w:r>
      <w:r>
        <w:rPr>
          <w:b w:val="0"/>
          <w:i w:val="0"/>
        </w:rPr>
        <w:t>Pedidos de reajuste de mão de obra por índice e de repactuação cumulativa, com pagamento a maior ou litígio.</w:t>
      </w:r>
    </w:p>
    <w:p>
      <w:pPr>
        <w:spacing w:before="0" w:after="120" w:line="360" w:lineRule="auto"/>
        <w:ind w:firstLine="709"/>
        <w:jc w:val="both"/>
      </w:pPr>
      <w:r>
        <w:rPr>
          <w:b/>
          <w:i w:val="0"/>
          <w:color w:val="12324A"/>
        </w:rPr>
        <w:t xml:space="preserve">Providência recomendada. </w:t>
      </w:r>
      <w:r>
        <w:rPr>
          <w:b w:val="0"/>
          <w:i w:val="0"/>
        </w:rPr>
        <w:t>Delimitar no edital e na minuta que a mão de obra é repactuada (data da convenção) e que o IPCA se aplica apenas aos insumos. Excluir os blocos de modelo não aplicáveis. A repactuação da mão de obra depende ainda da convenção correta (plan-02).</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Observado o interregno mínimo de 1 (um) ano, os custos de mão de obra serão repactuados mediante demonstração analítica da variação dos custos, com data vinculada à convenção coletiva a que a proposta esteja vinculada; os insumos (uniformes, materiais e equipamentos) serão reajustados pelo IPCA, com data-base na data do orçamento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13 (B), B.1 a B.3 [páginas 21-23]; TR itens 12.7 e 12.7.1 [páginas 71-73]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ILG ≥ 1, ISG ≥ 1, IE ≤ 1, patrimônio líquido ou capital social de 10% do valor estimado (limite do art. 69, § 4º), capital circulante líquido de 16,66% e declaração de compromissos (1/12 ≤ PL). Não há faturamento mínimo nem índice de rentabilidade. Problemas: (a) o TR 12.7.1 justifica apenas o PL de 10%, e não os índices ILG, ISG, IE e o CCL; (b) o TR inclui o ILC ≥ 1, que o edital não prevê; (c) o ISG é descrito como 'índice de Liquidez Corrente'; (d) há duas alíneas B.2 e a exigência de PL é repetida no TR (item 6) fora de ordem; (e) a exigência cumulativa de PL, CCL e compromissos reproduz parâmetro federal (IN 5/2017) sem justificativa de adequação ao objeto local.</w:t>
      </w:r>
    </w:p>
    <w:p>
      <w:pPr>
        <w:spacing w:before="0" w:after="120" w:line="360" w:lineRule="auto"/>
        <w:ind w:firstLine="709"/>
        <w:jc w:val="both"/>
      </w:pPr>
      <w:r>
        <w:rPr>
          <w:b w:val="0"/>
          <w:i w:val="0"/>
        </w:rPr>
        <w:t>O documento dispõe: “Índice de solvência geral (ISG) igual ou maior que 1(um). Será considerado como índice” (Edital item 13 (B), B.1 a B.3 [páginas 21-23]; TR itens 12.7 e 12.7.1 [páginas 71-73]).</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índices 'devidamente justificados no processo' e usuais; a Súmula TCU 289 exige justificativa e parâmetros de mercado. Divergência entre edital e TR gera insegurança sobre o critério efetivo de habilitação.</w:t>
      </w:r>
    </w:p>
    <w:p>
      <w:pPr>
        <w:spacing w:before="0" w:after="120" w:line="360" w:lineRule="auto"/>
        <w:ind w:firstLine="709"/>
        <w:jc w:val="both"/>
      </w:pPr>
      <w:r>
        <w:rPr>
          <w:b/>
          <w:i w:val="0"/>
          <w:color w:val="C9781E"/>
        </w:rPr>
        <w:t xml:space="preserve">Risco de manutenção. </w:t>
      </w:r>
      <w:r>
        <w:rPr>
          <w:b w:val="0"/>
          <w:i w:val="0"/>
        </w:rPr>
        <w:t>Impugnação por falta de justificativa de índices e dúvida na análise de habilitação em razão de critérios divergentes.</w:t>
      </w:r>
    </w:p>
    <w:p>
      <w:pPr>
        <w:spacing w:before="0" w:after="120" w:line="360" w:lineRule="auto"/>
        <w:ind w:firstLine="709"/>
        <w:jc w:val="both"/>
      </w:pPr>
      <w:r>
        <w:rPr>
          <w:b/>
          <w:i w:val="0"/>
          <w:color w:val="12324A"/>
        </w:rPr>
        <w:t xml:space="preserve">Providência recomendada. </w:t>
      </w:r>
      <w:r>
        <w:rPr>
          <w:b w:val="0"/>
          <w:i w:val="0"/>
        </w:rPr>
        <w:t>Incluir no ETP/TR a justificativa de cada índice e dos percentuais (inclusive CCL de 16,66% sobre o valor anual, base correta segundo a jurisprudência do TCU). Alinhar o edital e o TR sobre o ILC, corrigir a denominação do ISG e a numeração. Avaliar se a cumulação é necessária em face do porte do contrato.</w:t>
      </w: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11.1. Nas contratações de serviços continuados com dedicação exclusiva de mão de obra, a Administração deverá exigir: a) Balanço patrimonial e demonstrações contábeis referentes ao último exercício social, comprovando índices de Liquidez Geral (LG), Liquidez Corrente (LC), e Solvência Geral (SG) superiores a 1 (um); b) Capital Circulante Líquido ou Capital de Giro (Ativo Circulante - Passivo Circulante) de, no mínimo, 16,66% (dezesseis inteiros e sessenta e seis centésimos por cento) do valor estimado da contratação, tendo por base o balanço patrimonial e as demonstrações contábeis do último exercício social; c) Comprovação de patrimônio líqu…</w:t>
      </w:r>
      <w:r>
        <w:rPr>
          <w:b w:val="0"/>
          <w:i w:val="0"/>
          <w:sz w:val="20"/>
        </w:rPr>
        <w:t xml:space="preserve"> (Instrução Normativa SEGES/MP nº 5, de 26 de maio de 2017 (atualizada), 11. Das condições de habilitação econômico-financeira:)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6">
        <w:r>
          <w:rPr>
            <w:color w:val="1F7A8C"/>
            <w:u w:val="single"/>
            <w:sz w:val="18"/>
          </w:rPr>
          <w:t xml:space="preserve">[fonte oficial]</w:t>
        </w:r>
      </w:hyperlink>
    </w:p>
    <w:p>
      <w:pPr>
        <w:spacing w:before="80" w:after="200" w:line="240" w:lineRule="auto"/>
        <w:ind w:firstLine="0" w:left="2268"/>
        <w:jc w:val="both"/>
      </w:pPr>
      <w:r>
        <w:rPr>
          <w:b w:val="0"/>
          <w:i w:val="0"/>
          <w:sz w:val="20"/>
        </w:rPr>
        <w:t>A exigência de capital social ou patrimônio líquido mínimos, disposta no art. 69, § 4º, da Lei 14.133/2021, não está condicionada apenas aos casos em que o licitante apresente índices contábeis iguais ou inferiores a 1 (um). Para fins de habilitação econômico-financeira, a Administração pode exigir dos licitantes, de forma cumulativa: i) declaração de compromissos assumidos (art. 69, § 3º, da mencionada lei); ii) índices de liquidez acima de 1 (um); iii) patrimônio líquido mínimo de até 10% do valor estimado da contratação; e iv) capital circulante mínimo em percentual suficiente para assegurar até dois meses de execução contratual sem nenhum pagamento por parte da Administração, devendo tais exigências ser devidamente motivadas nos atos preparatórios da contratação.</w:t>
      </w:r>
      <w:r>
        <w:rPr>
          <w:b w:val="0"/>
          <w:i w:val="0"/>
          <w:sz w:val="20"/>
        </w:rPr>
        <w:t xml:space="preserve"> (TCU, Acórdão 2724/2025-Plenário)</w:t>
      </w:r>
      <w:r>
        <w:rPr>
          <w:b w:val="0"/>
          <w:i w:val="0"/>
          <w:sz w:val="20"/>
        </w:rPr>
        <w:t xml:space="preserve"> </w:t>
      </w:r>
      <w:hyperlink r:id="rId17">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3.8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12.5, 12.8 (OBS) e (C.6) [páginas 14-17 e 25]; TR item 12 [páginas 67-68]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empate ficto (5%, pregão), preferência a ME/EPP e prazo de 5 dias úteis para regularização fiscal, mas acrescenta uma observação de que os arts. 42 a 49 da LC 123/2006 não se aplicam nos casos do art. 4º, § 1º. O TR (item 12) afirma que 'não será concedido tratamento diferenciado às microempresas ou empresas de pequeno porte' com fundamento no art. 49, III da LC 123/2006 ('voluptuosidade do serviço e sua indivisibilidade'). O item único tem valor estimado muito superior à receita bruta máxima da EPP, o que, no caso de serviços em geral, afasta o tratamento diferenciado (art. 4º, § 1º, I). A redação, porém, é contraditória e a justificativa do TR não corresponde à hipótese legal.</w:t>
      </w:r>
    </w:p>
    <w:p>
      <w:pPr>
        <w:spacing w:before="0" w:after="120" w:line="360" w:lineRule="auto"/>
        <w:ind w:firstLine="709"/>
        <w:jc w:val="both"/>
      </w:pPr>
      <w:r>
        <w:rPr>
          <w:b w:val="0"/>
          <w:i w:val="0"/>
        </w:rPr>
        <w:t>O documento dispõe: “Não serão aplicados os benefícios previstos no art. 42 a 49 da LC 123/2006 nos casos” (Edital itens 12.5, 12.8 (OBS) e (C.6) [páginas 14-17 e 25]; TR item 12 [páginas 67-68]).</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aplica os arts. 42 a 49 da LC 123/2006, ressalvados os casos do § 1º. Não é possível saber, pelo texto, se o empate ficto e a regularização tardia são aplicados ou não, o que gera impugnações e recursos.</w:t>
      </w:r>
    </w:p>
    <w:p>
      <w:pPr>
        <w:spacing w:before="0" w:after="120" w:line="360" w:lineRule="auto"/>
        <w:ind w:firstLine="709"/>
        <w:jc w:val="both"/>
      </w:pPr>
      <w:r>
        <w:rPr>
          <w:b/>
          <w:i w:val="0"/>
          <w:color w:val="C9781E"/>
        </w:rPr>
        <w:t xml:space="preserve">Risco de manutenção. </w:t>
      </w:r>
      <w:r>
        <w:rPr>
          <w:b w:val="0"/>
          <w:i w:val="0"/>
        </w:rPr>
        <w:t>Recursos e nulidade de etapas (empate ficto e habilitação) por regra ambígua.</w:t>
      </w:r>
    </w:p>
    <w:p>
      <w:pPr>
        <w:spacing w:before="0" w:after="120" w:line="360" w:lineRule="auto"/>
        <w:ind w:firstLine="709"/>
        <w:jc w:val="both"/>
      </w:pPr>
      <w:r>
        <w:rPr>
          <w:b/>
          <w:i w:val="0"/>
          <w:color w:val="12324A"/>
        </w:rPr>
        <w:t xml:space="preserve">Providência recomendada. </w:t>
      </w:r>
      <w:r>
        <w:rPr>
          <w:b w:val="0"/>
          <w:i w:val="0"/>
        </w:rPr>
        <w:t>Definir de modo único, no edital e no TR, se o tratamento diferenciado é aplicado, com fundamento correto (art. 4º, § 1º, I, em razão do valor do item), e eliminar as cláusulas incompatíveis. Se o tratamento for afastado, remover empate ficto e prazo de regularização tardia.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diretriz de fomento à participação de micro e pequenas empresas deve ser interpretada em consonância com os limites legais estabelecidos na Lei nº 14.133/2021 e na Lei Complementar nº 123/2006. Elevado valor estimado da contratação, quando significativamente superior ao limite de receita bruta exigido para o enquadramento societário como empresa de pequeno porte, afasta a obrigatoriedade de concessão de tratamento favorecido, nos termos do art. 4º, §1º, I, da Lei nº 14.133/2021.</w:t>
      </w:r>
      <w:r>
        <w:rPr>
          <w:b w:val="0"/>
          <w:i w:val="0"/>
          <w:sz w:val="20"/>
        </w:rPr>
        <w:t xml:space="preserve"> (TCE-RJ, Acórdão 19519/2026 – Processo 100.467-3/2026)</w:t>
      </w:r>
      <w:r>
        <w:rPr>
          <w:b w:val="0"/>
          <w:i w:val="0"/>
          <w:sz w:val="20"/>
        </w:rPr>
        <w:t xml:space="preserve"> </w:t>
      </w:r>
      <w:hyperlink r:id="rId18">
        <w:r>
          <w:rPr>
            <w:color w:val="1F7A8C"/>
            <w:u w:val="single"/>
            <w:sz w:val="18"/>
          </w:rPr>
          <w:t xml:space="preserve">[fonte oficial]</w:t>
        </w:r>
      </w:hyperlink>
    </w:p>
    <w:p>
      <w:pPr>
        <w:spacing w:before="80" w:after="200" w:line="240" w:lineRule="auto"/>
        <w:ind w:firstLine="0" w:left="2268"/>
        <w:jc w:val="both"/>
      </w:pPr>
      <w:r>
        <w:rPr>
          <w:b w:val="0"/>
          <w:i w:val="0"/>
          <w:sz w:val="20"/>
        </w:rPr>
        <w:t>Em licitação de obras e serviços de engenharia dividida em itens ou lotes que resultem em contratações independentes, o critério para afastar o tratamento diferenciado às microempresas e às empresas de pequeno porte (art. 4º, § 1º, inciso II, da Lei 14.133/2021) deve ser o valor estimado de cada item ou lote, e não o valor global da licitação. O objetivo da norma é evitar que tais empresas concorram, com as vantagens do tratamento diferenciado, em empreendimentos de engenharia de grande vulto e elevada complexidade, mas quando a própria Administração estrutura o certame em serviços autônomos, há o reconhecimento de que a complexidade e o risco estão delimitados a cada contratação específica.</w:t>
      </w:r>
      <w:r>
        <w:rPr>
          <w:b w:val="0"/>
          <w:i w:val="0"/>
          <w:sz w:val="20"/>
        </w:rPr>
        <w:t xml:space="preserve"> (TCU, Acórdão 442/2026-Plenário)</w:t>
      </w:r>
      <w:r>
        <w:rPr>
          <w:b w:val="0"/>
          <w:i w:val="0"/>
          <w:sz w:val="20"/>
        </w:rPr>
        <w:t xml:space="preserve"> </w:t>
      </w:r>
      <w:hyperlink r:id="rId19">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3.9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Minuta de contrato (Anexo XII) [páginas 110-127]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é anexo do edital e contém objeto, valor, pagamento, reajuste, reequilíbrio, fiscalização, prazo, obrigações, recebimento, sanções, recursos, extinção, dotação e foro. É, porém, um modelo genérico não adaptado: mantém instruções entre colchetes e blocos alternativos (escopo e dedicação exclusiva); deixa em branco o objeto, o índice e o prazo de reajuste (Cláusula Quinta), o valor e a vigência; não tem cláusula de garantia nem matriz de riscos; as obrigações do contratante são apenas duas; a numeração salta do inciso XVII ao XXII; há erro de digitação ('cwnto e vinte') e referências cruzadas incorretas (Décima Sexta/Décima Quinta); a cláusula de reajuste não define índice nem data-base.</w:t>
      </w:r>
    </w:p>
    <w:p>
      <w:pPr>
        <w:spacing w:before="0" w:after="120" w:line="360" w:lineRule="auto"/>
        <w:ind w:firstLine="709"/>
        <w:jc w:val="both"/>
      </w:pPr>
      <w:r>
        <w:rPr>
          <w:b w:val="0"/>
          <w:i w:val="0"/>
        </w:rPr>
        <w:t>O documento dispõe: “[Sendo o serviço por escopo, incluir a seguinte previsão:]” (Minuta de contrato (Anexo XII) [páginas 110-127]).</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92 exige cláusulas necessárias em todo contrato (inclusive o índice de reajuste com data-base, § 3º), e o art. 18, VI, exige a minuta como anexo do edital. Um modelo com alternativas e lacunas gera insegurança sobre o instrumento efetivamente aceito pelos licitantes.</w:t>
      </w:r>
    </w:p>
    <w:p>
      <w:pPr>
        <w:spacing w:before="0" w:after="120" w:line="360" w:lineRule="auto"/>
        <w:ind w:firstLine="709"/>
        <w:jc w:val="both"/>
      </w:pPr>
      <w:r>
        <w:rPr>
          <w:b/>
          <w:i w:val="0"/>
          <w:color w:val="C9781E"/>
        </w:rPr>
        <w:t xml:space="preserve">Risco de manutenção. </w:t>
      </w:r>
      <w:r>
        <w:rPr>
          <w:b w:val="0"/>
          <w:i w:val="0"/>
        </w:rPr>
        <w:t>Lacuna na execução, dificuldade para aplicar sanções e reajustes e questionamentos sobre o conteúdo do contrato.</w:t>
      </w:r>
    </w:p>
    <w:p>
      <w:pPr>
        <w:spacing w:before="0" w:after="120" w:line="360" w:lineRule="auto"/>
        <w:ind w:firstLine="709"/>
        <w:jc w:val="both"/>
      </w:pPr>
      <w:r>
        <w:rPr>
          <w:b/>
          <w:i w:val="0"/>
          <w:color w:val="12324A"/>
        </w:rPr>
        <w:t xml:space="preserve">Providência recomendada. </w:t>
      </w:r>
      <w:r>
        <w:rPr>
          <w:b w:val="0"/>
          <w:i w:val="0"/>
        </w:rPr>
        <w:t>Adaptar a minuta ao objeto: preencher índice, interregno e data-base, indicar as medidas de garantia trabalhista (plan-05), detalhar as obrigações do contratante (pagamento, disponibilização de instalações, informações), remover instruções e blocos não aplicáveis, corrigir a numeração e as remissões. Avaliar a matriz de riscos.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Edital página 1 (preâmbulo); itens 5.1, 12.4, 17.10, 18.5; TR itens 11.16, 13, 24 e Anexos</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diversas divergências internas: (1) o número da contratação no PNCP no preâmbulo (469/2026) difere do número de controle fornecido pelo sistema (000445/2026); (2) a proposta e a declaração de ME/EPP citam 'Pregão ___/2025', embora o certame seja de 2026; (3) a dotação é 3.3.90.34 no edital e 339039 no TR (item 13); (4) o edital prevê juros pela Selic (limitados a 12% a.a.) na mora da Administração, e o TR (11.16) prevê correção pelo IPCA; (5) vedação a cooperativas (8.8; TR 12.3) coexistente com regras para adjudicatária cooperativa (17.10), declaração de cooperativa no Anexo XI e cláusulas da minuta; (6) os itens 10.3 e 10.4 contêm restos de modelo de cooperativa (dedução de contribuição previdenciária) e de fornecimento de bens ('entrega do(s) bem(ns)', marca dos produtos, 'materiais recusados'); (7) ME/EPP, reajuste, garantia e índices contábeis divergem, conforme itens específicos; (8) o TR remete ao 'item 16' para qualificação (que trata de sanções) e ao 'item 6' para obrigações (que trata de uniformes); (9) a nomenclatura de anexos diverge: 'Anexo I' e 'II' do edital e do TR têm conteúdos diferentes; (10) validade da proposta de 60 dias contados 'da data da realização da licitação' (7.3) ou 'da entrega ao pregoeiro' (Anexo II).</w:t>
      </w:r>
    </w:p>
    <w:p>
      <w:pPr>
        <w:spacing w:before="0" w:after="120" w:line="360" w:lineRule="auto"/>
        <w:ind w:firstLine="709"/>
        <w:jc w:val="both"/>
      </w:pPr>
      <w:r>
        <w:rPr>
          <w:b w:val="0"/>
          <w:i w:val="0"/>
        </w:rPr>
        <w:t>O documento dispõe: “Contratação PNCP: 469/2026” (Edital página 1 (preâmbulo); itens 5.1, 12.4, 17.10, 18.5; TR itens 11.16, 13, 24 e Anexos).</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edital deve conter regras claras de julgamento, pagamento, penalidades e habilitação (art. 25), e a fase preparatória exige motivação circunstanciada das condições do edital (art. 18, IX). Regras contraditórias geram dúvida sobre como competir, motivam impugnações e recursos e podem anular atos.</w:t>
      </w:r>
    </w:p>
    <w:p>
      <w:pPr>
        <w:spacing w:before="0" w:after="120" w:line="360" w:lineRule="auto"/>
        <w:ind w:firstLine="709"/>
        <w:jc w:val="both"/>
      </w:pPr>
      <w:r>
        <w:rPr>
          <w:b/>
          <w:i w:val="0"/>
          <w:color w:val="C9781E"/>
        </w:rPr>
        <w:t xml:space="preserve">Risco de manutenção. </w:t>
      </w:r>
      <w:r>
        <w:rPr>
          <w:b w:val="0"/>
          <w:i w:val="0"/>
        </w:rPr>
        <w:t>Impugnações, recursos, interpretações divergentes e nulidade de atos do certame; vinculação da Administração à interpretação mais favorável ao licitante.</w:t>
      </w:r>
    </w:p>
    <w:p>
      <w:pPr>
        <w:spacing w:before="0" w:after="120" w:line="360" w:lineRule="auto"/>
        <w:ind w:firstLine="709"/>
        <w:jc w:val="both"/>
      </w:pPr>
      <w:r>
        <w:rPr>
          <w:b/>
          <w:i w:val="0"/>
          <w:color w:val="12324A"/>
        </w:rPr>
        <w:t xml:space="preserve">Providência recomendada. </w:t>
      </w:r>
      <w:r>
        <w:rPr>
          <w:b w:val="0"/>
          <w:i w:val="0"/>
        </w:rPr>
        <w:t>Fazer uma revisão integrada de edital, TR, planilha e minuta antes de nova publicação ou de aditamento, com tabela única de datas, critério de julgamento, adjudicação, índices e remunerações da mora. Corrigir o número PNCP, a dotação, as remissões cruzadas e retirar os resíduos de modelos (cooperativa, bens, porteiros).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Possível terceirização de atividades de natureza pedagógica e de cuidado infantil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itens 2.1, 3.1-1 e 23 [páginas 54-56 e 87]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descreve para o posto atividades como ler textos, orientar atividades de desenho e jogos, avaliar e corrigir atividades, desenvolver capacidades intelectuais, dar banho e trocar fraldas, sob supervisão do professor, e justifica a contratação por insuficiência de pessoal da Secretaria. Ao mesmo tempo, qualifica o serviço como 'atividade meio', cita legislação federal (Lei 9.632/98, Decreto 9.507/2018) e afirma que 'não haverá concurso público' para esses cargos. O documento não informa se há cargo equivalente (monitor, auxiliar, professor) no quadro municipal. A questão deve ser esclarecida pelo órgão, e não se conclui por irregularidade.</w:t>
      </w:r>
    </w:p>
    <w:p>
      <w:pPr>
        <w:spacing w:before="0" w:after="120" w:line="360" w:lineRule="auto"/>
        <w:ind w:firstLine="709"/>
        <w:jc w:val="both"/>
      </w:pPr>
      <w:r>
        <w:rPr>
          <w:b w:val="0"/>
          <w:i w:val="0"/>
        </w:rPr>
        <w:t>O documento dispõe: “avaliar atividades dos alunos; corrigir atividades” (TR itens 2.1, 3.1-1 e 23 [páginas 54-56 e 87]).</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superposição entre funções de terceirizados e de servidores de carreira pode violar a regra do concurso público (art. 37, II, da Constituição); o TCU decidiu nesse sentido (Acórdão 987/2026-Plenário). A legislação federal citada vincula a União, e não o Município, salvo norma local.</w:t>
      </w:r>
    </w:p>
    <w:p>
      <w:pPr>
        <w:spacing w:before="0" w:after="120" w:line="360" w:lineRule="auto"/>
        <w:ind w:firstLine="709"/>
        <w:jc w:val="both"/>
      </w:pPr>
      <w:r>
        <w:rPr>
          <w:b/>
          <w:i w:val="0"/>
          <w:color w:val="C9781E"/>
        </w:rPr>
        <w:t xml:space="preserve">Risco de manutenção. </w:t>
      </w:r>
      <w:r>
        <w:rPr>
          <w:b w:val="0"/>
          <w:i w:val="0"/>
        </w:rPr>
        <w:t>Questionamento de controle externo, ação trabalhista com reconhecimento de vínculo e desvio de função dos empregados terceirizados.</w:t>
      </w:r>
    </w:p>
    <w:p>
      <w:pPr>
        <w:spacing w:before="0" w:after="120" w:line="360" w:lineRule="auto"/>
        <w:ind w:firstLine="709"/>
        <w:jc w:val="both"/>
      </w:pPr>
      <w:r>
        <w:rPr>
          <w:b/>
          <w:i w:val="0"/>
          <w:color w:val="12324A"/>
        </w:rPr>
        <w:t xml:space="preserve">Providência recomendada. </w:t>
      </w:r>
      <w:r>
        <w:rPr>
          <w:b w:val="0"/>
          <w:i w:val="0"/>
        </w:rPr>
        <w:t>Esclarecer no processo (por pedido de esclarecimento ou manifestação do órgão de pessoal) a natureza das atividades, a existência de cargos efetivos equivalentes e o fundamento local (Decreto 78/2025) da terceirização. Se for o caso, redefinir as atribuições do posto para atividades de apoio, ou fundamentar a escolha.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Orçamento estimado sem composição de custos e com metodologia ambígua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itens 14 e 15 [páginas 76-77]; Anexo I [página 43]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documentos trazem apenas o valor unitário (R$ 7.845,84 por posto/mês) e o total. O TR afirma, ao mesmo tempo, que o orçamento se baseia no salário da CCT do SEAC/RJ com 'encargos e benefícios' e 'cotações de mercado para uniformes' (item 14) e que o preço foi estimado por 'pesquisa de preço' da Subsecretaria de Planejamento (item 15). Nenhuma planilha de composição, cotação ou memória foi anexada. O orçamento não é sigiloso. A análise de preços do sistema não teve amostra suficiente, e por isso não se conclui por sobrepreço. A ausência de composição impede a verificação dos módulos, do BDI, dos tributos e dos itens de CCT não vinculantes.</w:t>
      </w:r>
    </w:p>
    <w:p>
      <w:pPr>
        <w:spacing w:before="0" w:after="120" w:line="360" w:lineRule="auto"/>
        <w:ind w:firstLine="709"/>
        <w:jc w:val="both"/>
      </w:pPr>
      <w:r>
        <w:rPr>
          <w:b w:val="0"/>
          <w:i w:val="0"/>
        </w:rPr>
        <w:t>O documento dispõe: “foi estimado através de pesquisa de preço realizada pela” (TR itens 14 e 15 [páginas 76-77]; Anexo I [página 43]).</w:t>
      </w:r>
    </w:p>
    <w:p>
      <w:pPr>
        <w:spacing w:before="0" w:after="80" w:line="360" w:lineRule="auto"/>
        <w:ind w:firstLine="709"/>
        <w:jc w:val="both"/>
      </w:pPr>
      <w:r>
        <w:rPr>
          <w:b/>
          <w:i w:val="0"/>
          <w:color w:val="12324A"/>
        </w:rPr>
        <w:t xml:space="preserve">Dispositivo aplicável. </w:t>
      </w:r>
      <w:r>
        <w:rPr>
          <w:b w:val="0"/>
          <w:i w:val="0"/>
        </w:rPr>
        <w:t>A matéria é disciplinada pelo art. 18, inciso IV e pelo art. 23,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0" w:after="120" w:line="360" w:lineRule="auto"/>
        <w:ind w:firstLine="709"/>
        <w:jc w:val="both"/>
      </w:pPr>
      <w:r>
        <w:rPr>
          <w:b/>
          <w:i w:val="0"/>
          <w:color w:val="12324A"/>
        </w:rPr>
        <w:t xml:space="preserve">Análise. </w:t>
      </w:r>
      <w:r>
        <w:rPr>
          <w:b w:val="0"/>
          <w:i w:val="0"/>
        </w:rPr>
        <w:t>O art. 18, IV, exige orçamento estimado 'com as composições dos preços utilizados para sua formação', e o art. 23 exige compatibilidade com o mercado. O Caderno de Logística (parâmetro federal) recomenda documentar a pesquisa.</w:t>
      </w:r>
    </w:p>
    <w:p>
      <w:pPr>
        <w:spacing w:before="0" w:after="120" w:line="360" w:lineRule="auto"/>
        <w:ind w:firstLine="709"/>
        <w:jc w:val="both"/>
      </w:pPr>
      <w:r>
        <w:rPr>
          <w:b/>
          <w:i w:val="0"/>
          <w:color w:val="C9781E"/>
        </w:rPr>
        <w:t xml:space="preserve">Risco de manutenção. </w:t>
      </w:r>
      <w:r>
        <w:rPr>
          <w:b w:val="0"/>
          <w:i w:val="0"/>
        </w:rPr>
        <w:t>Impossibilidade de controle de aceitabilidade das propostas, repactuação sem referência e contestação por sobrepreço ou inexequibilidade.</w:t>
      </w:r>
    </w:p>
    <w:p>
      <w:pPr>
        <w:spacing w:before="0" w:after="120" w:line="360" w:lineRule="auto"/>
        <w:ind w:firstLine="709"/>
        <w:jc w:val="both"/>
      </w:pPr>
      <w:r>
        <w:rPr>
          <w:b/>
          <w:i w:val="0"/>
          <w:color w:val="12324A"/>
        </w:rPr>
        <w:t xml:space="preserve">Providência recomendada. </w:t>
      </w:r>
      <w:r>
        <w:rPr>
          <w:b w:val="0"/>
          <w:i w:val="0"/>
        </w:rPr>
        <w:t>Juntar e publicar a planilha de composição do posto (módulos 1 a 6, BDI e tributos), a pesquisa de preços (fontes, datas, método) e a memória dos uniformes. Se o valor decorrer de pesquisa e não de planilha, esclarecer a metodologia. Caso o órgão esclareça a existência desses documentos, bastará publicá-los com o edital.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Garantia de proposta e garantia contratual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16.1 e 16.2.1 [página 30]; Minuta, Cláusula Décima, XIV [página 118] e Cláusula Décima Sétima [página 125]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garantia de proposta é de 1% do valor estimado (R$ 409.552,85), dentro do limite do art. 58, § 1º; é exigida no momento da proposta, como pré-habilitação. O edital não informa as modalidades, o local e o prazo de entrega, nem as regras de devolução. Quanto à garantia contratual, o edital e o TR a dispensam (16.1), mas a minuta ainda prevê 'manter hígidas as garantias contratuais', descontar a multa 'do valor da garantia' e devolver a garantia (Cláusulas Décima, XIV; Décima Sétima, parágrafos Quarto, Quinto e Sétimo; Edital 20.11).</w:t>
      </w:r>
    </w:p>
    <w:p>
      <w:pPr>
        <w:spacing w:before="0" w:after="120" w:line="360" w:lineRule="auto"/>
        <w:ind w:firstLine="709"/>
        <w:jc w:val="both"/>
      </w:pPr>
      <w:r>
        <w:rPr>
          <w:b w:val="0"/>
          <w:i w:val="0"/>
        </w:rPr>
        <w:t>O documento dispõe: “em valor correspondente a 1% (um por cento) do valor estimado” (Edital itens 16.1 e 16.2.1 [página 30]; Minuta, Cláusula Décima, XIV [página 118] e Cláusula Décima Sétima [página 125]).</w:t>
      </w:r>
    </w:p>
    <w:p>
      <w:pPr>
        <w:spacing w:before="0" w:after="80" w:line="360" w:lineRule="auto"/>
        <w:ind w:firstLine="709"/>
        <w:jc w:val="both"/>
      </w:pPr>
      <w:r>
        <w:rPr>
          <w:b/>
          <w:i w:val="0"/>
          <w:color w:val="12324A"/>
        </w:rPr>
        <w:t xml:space="preserve">Dispositivo aplicável. </w:t>
      </w:r>
      <w:r>
        <w:rPr>
          <w:b w:val="0"/>
          <w:i w:val="0"/>
        </w:rPr>
        <w:t>A matéria é disciplinada pelo art. 58, § 1º e pelo art. 98, da Lei 14.133/2021, que assim dispõem:</w:t>
      </w:r>
    </w:p>
    <w:p>
      <w:pPr>
        <w:spacing w:before="80" w:after="200" w:line="240" w:lineRule="auto"/>
        <w:ind w:firstLine="0" w:left="2268"/>
        <w:jc w:val="both"/>
      </w:pPr>
      <w:r>
        <w:rPr>
          <w:b w:val="0"/>
          <w:i w:val="0"/>
          <w:sz w:val="20"/>
        </w:rPr>
        <w:t>A garantia de proposta não poderá ser superior a 1% (um por cento) do valor estimado para a contratação.</w:t>
      </w:r>
      <w:r>
        <w:rPr>
          <w:b w:val="0"/>
          <w:i w:val="0"/>
          <w:sz w:val="20"/>
        </w:rPr>
        <w:t xml:space="preserve"> (BRASIL, 2021, art. 58, § 1º)</w:t>
      </w:r>
    </w:p>
    <w:p>
      <w:pPr>
        <w:spacing w:before="80" w:after="200" w:line="240" w:lineRule="auto"/>
        <w:ind w:firstLine="0" w:left="2268"/>
        <w:jc w:val="both"/>
      </w:pPr>
      <w:r>
        <w:rPr>
          <w:b w:val="0"/>
          <w:i w:val="0"/>
          <w:sz w:val="20"/>
        </w:rPr>
        <w:t>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r>
        <w:rPr>
          <w:b w:val="0"/>
          <w:i w:val="0"/>
          <w:sz w:val="20"/>
        </w:rPr>
        <w:t xml:space="preserve"> (BRASIL, 2021, art. 98)</w:t>
      </w:r>
    </w:p>
    <w:p>
      <w:pPr>
        <w:spacing w:before="0" w:after="120" w:line="360" w:lineRule="auto"/>
        <w:ind w:firstLine="709"/>
        <w:jc w:val="both"/>
      </w:pPr>
      <w:r>
        <w:rPr>
          <w:b/>
          <w:i w:val="0"/>
          <w:color w:val="12324A"/>
        </w:rPr>
        <w:t xml:space="preserve">Análise. </w:t>
      </w:r>
      <w:r>
        <w:rPr>
          <w:b w:val="0"/>
          <w:i w:val="0"/>
        </w:rPr>
        <w:t>Os limites do art. 58, § 1º, estão respeitados, mas a incoerência entre dispensa e referências a garantia gera dúvida de execução e de aplicação de multas.</w:t>
      </w:r>
    </w:p>
    <w:p>
      <w:pPr>
        <w:spacing w:before="0" w:after="120" w:line="360" w:lineRule="auto"/>
        <w:ind w:firstLine="709"/>
        <w:jc w:val="both"/>
      </w:pPr>
      <w:r>
        <w:rPr>
          <w:b/>
          <w:i w:val="0"/>
          <w:color w:val="3D8FA6"/>
        </w:rPr>
        <w:t xml:space="preserve">Risco de manutenção. </w:t>
      </w:r>
      <w:r>
        <w:rPr>
          <w:b w:val="0"/>
          <w:i w:val="0"/>
        </w:rPr>
        <w:t>Dúvidas operacionais, desclassificações por formalidade e cláusulas contratuais inaplicáveis.</w:t>
      </w:r>
    </w:p>
    <w:p>
      <w:pPr>
        <w:spacing w:before="0" w:after="120" w:line="360" w:lineRule="auto"/>
        <w:ind w:firstLine="709"/>
        <w:jc w:val="both"/>
      </w:pPr>
      <w:r>
        <w:rPr>
          <w:b/>
          <w:i w:val="0"/>
          <w:color w:val="12324A"/>
        </w:rPr>
        <w:t xml:space="preserve">Providência recomendada. </w:t>
      </w:r>
      <w:r>
        <w:rPr>
          <w:b w:val="0"/>
          <w:i w:val="0"/>
        </w:rPr>
        <w:t>Descrever as modalidades e o prazo da garantia de proposta e as hipóteses de devolução ou execução, e verificar se exigir a garantia de todos os licitantes antes da disputa não afasta competidores. Remover da minuta as referências à garantia contratual, ou prever a garantia (ver plan-05).</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Participação em consórcio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8.9 [página 6]; TR item 12.4 [página 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vedação consta do edital (8.9), e o TR (12.4) traz justificativa concreta: gestão centralizada, padronização de rotinas, coordenação operacional unificada e fiscalização. A trilha automática foi descartada por existir motivação. A justificativa, porém, é genérica para contrato de R$ 40,9 milhões e 435 postos, em que consórcios poderiam ampliar a competição e a responsabilidade é solidária entre consorciadas.</w:t>
      </w:r>
    </w:p>
    <w:p>
      <w:pPr>
        <w:spacing w:before="0" w:after="120" w:line="360" w:lineRule="auto"/>
        <w:ind w:firstLine="709"/>
        <w:jc w:val="both"/>
      </w:pPr>
      <w:r>
        <w:rPr>
          <w:b w:val="0"/>
          <w:i w:val="0"/>
        </w:rPr>
        <w:t>O documento dispõe: “Não será permitida a participação em consórcio.” (Edital item 8.9 [página 6]; TR item 12.4 [página 68]).</w:t>
      </w:r>
    </w:p>
    <w:p>
      <w:pPr>
        <w:spacing w:before="0" w:after="80" w:line="360" w:lineRule="auto"/>
        <w:ind w:firstLine="709"/>
        <w:jc w:val="both"/>
      </w:pPr>
      <w:r>
        <w:rPr>
          <w:b/>
          <w:i w:val="0"/>
          <w:color w:val="12324A"/>
        </w:rPr>
        <w:t xml:space="preserve">Dispositivo aplicável. </w:t>
      </w:r>
      <w:r>
        <w:rPr>
          <w:b w:val="0"/>
          <w:i w:val="0"/>
        </w:rPr>
        <w:t>A matéria é disciplinada pelo art. 15, da Lei 14.133/2021, que assim dispõe:</w:t>
      </w:r>
    </w:p>
    <w:p>
      <w:pPr>
        <w:spacing w:before="80" w:after="200" w:line="240" w:lineRule="auto"/>
        <w:ind w:firstLine="0" w:left="2268"/>
        <w:jc w:val="both"/>
      </w:pPr>
      <w:r>
        <w:rPr>
          <w:b w:val="0"/>
          <w:i w:val="0"/>
          <w:sz w:val="20"/>
        </w:rPr>
        <w:t>Salvo vedação devidamente justificada no processo licitatório, pessoa jurídica poderá participar de licitação em consórcio, observadas as seguintes normas: […]</w:t>
      </w:r>
      <w:r>
        <w:rPr>
          <w:b w:val="0"/>
          <w:i w:val="0"/>
          <w:sz w:val="20"/>
        </w:rPr>
        <w:t xml:space="preserve"> (BRASIL, 2021, art. 15)</w:t>
      </w:r>
    </w:p>
    <w:p>
      <w:pPr>
        <w:spacing w:before="0" w:after="120" w:line="360" w:lineRule="auto"/>
        <w:ind w:firstLine="709"/>
        <w:jc w:val="both"/>
      </w:pPr>
      <w:r>
        <w:rPr>
          <w:b/>
          <w:i w:val="0"/>
          <w:color w:val="12324A"/>
        </w:rPr>
        <w:t xml:space="preserve">Análise. </w:t>
      </w:r>
      <w:r>
        <w:rPr>
          <w:b w:val="0"/>
          <w:i w:val="0"/>
        </w:rPr>
        <w:t>O art. 15 admite a vedação 'devidamente justificada no processo'. Vedação em objeto de grande porte tem de ser explicada, não apenas afirmada.</w:t>
      </w:r>
    </w:p>
    <w:p>
      <w:pPr>
        <w:spacing w:before="0" w:after="120" w:line="360" w:lineRule="auto"/>
        <w:ind w:firstLine="709"/>
        <w:jc w:val="both"/>
      </w:pPr>
      <w:r>
        <w:rPr>
          <w:b/>
          <w:i w:val="0"/>
          <w:color w:val="3D8FA6"/>
        </w:rPr>
        <w:t xml:space="preserve">Risco de manutenção. </w:t>
      </w:r>
      <w:r>
        <w:rPr>
          <w:b w:val="0"/>
          <w:i w:val="0"/>
        </w:rPr>
        <w:t>Impugnação por restrição à competição e pedido de esclarecimento sobre a pertinência da vedação.</w:t>
      </w:r>
    </w:p>
    <w:p>
      <w:pPr>
        <w:spacing w:before="0" w:after="120" w:line="360" w:lineRule="auto"/>
        <w:ind w:firstLine="709"/>
        <w:jc w:val="both"/>
      </w:pPr>
      <w:r>
        <w:rPr>
          <w:b/>
          <w:i w:val="0"/>
          <w:color w:val="12324A"/>
        </w:rPr>
        <w:t xml:space="preserve">Providência recomendada. </w:t>
      </w:r>
      <w:r>
        <w:rPr>
          <w:b w:val="0"/>
          <w:i w:val="0"/>
        </w:rPr>
        <w:t>Complementar a justificativa no ETP/TR com a análise de mercado (número de empresas aptas a executar 435 postos isoladamente) ou admitir consórcio com as regras do art. 15.</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1.7 a 1.9 [páginas 2-3]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prazos de esclarecimento e impugnação (até 3 dias úteis antes da abertura) e a resposta em 3 dias úteis estão corretos. Mas: (a) o item 1.8.1 (impugnação) não repete o limite do 'último dia útil anterior à abertura' nem prevê a divulgação em sítio oficial (só o 1.7.1 prevê); (b) o item 1.8.2 atribui efeito suspensivo automático à impugnação, que o art. 164 não prevê; (c) o endereço eletrônico indicado é uma conta de e-mail pessoal (gmail).</w:t>
      </w:r>
    </w:p>
    <w:p>
      <w:pPr>
        <w:spacing w:before="0" w:after="120" w:line="360" w:lineRule="auto"/>
        <w:ind w:firstLine="709"/>
        <w:jc w:val="both"/>
      </w:pPr>
      <w:r>
        <w:rPr>
          <w:b w:val="0"/>
          <w:i w:val="0"/>
        </w:rPr>
        <w:t>O documento dispõe: “A impugnação possui efeito suspensivo até que sobrevenha decisão final da” (Edital itens 1.7 a 1.9 [páginas 2-3]).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art. 164, parágrafo único, exige a divulgação das respostas em sítio oficial no prazo legal, limitado ao último dia útil anterior à abertura. O efeito suspensivo automático amplia a possibilidade de adiamentos e dificulta o cumprimento do cronograma.</w:t>
      </w:r>
    </w:p>
    <w:p>
      <w:pPr>
        <w:spacing w:before="0" w:after="120" w:line="360" w:lineRule="auto"/>
        <w:ind w:firstLine="709"/>
        <w:jc w:val="both"/>
      </w:pPr>
      <w:r>
        <w:rPr>
          <w:b/>
          <w:i w:val="0"/>
          <w:color w:val="3D8FA6"/>
        </w:rPr>
        <w:t xml:space="preserve">Risco de manutenção. </w:t>
      </w:r>
      <w:r>
        <w:rPr>
          <w:b w:val="0"/>
          <w:i w:val="0"/>
        </w:rPr>
        <w:t>Adiamentos do certame e questionamentos sobre a tempestividade das respostas.</w:t>
      </w:r>
    </w:p>
    <w:p>
      <w:pPr>
        <w:spacing w:before="0" w:after="120" w:line="360" w:lineRule="auto"/>
        <w:ind w:firstLine="709"/>
        <w:jc w:val="both"/>
      </w:pPr>
      <w:r>
        <w:rPr>
          <w:b/>
          <w:i w:val="0"/>
          <w:color w:val="12324A"/>
        </w:rPr>
        <w:t xml:space="preserve">Providência recomendada. </w:t>
      </w:r>
      <w:r>
        <w:rPr>
          <w:b w:val="0"/>
          <w:i w:val="0"/>
        </w:rPr>
        <w:t>Reproduzir no item 1.8.1 o limite do art. 164 e a divulgação das respostas no PNCP e no sistema, e prever que a impugnação não tem efeito suspensivo, salvo decisão motivada. Indicar canal institucional.</w:t>
      </w: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Parágrafo único. Sem prejuízo do disposto no caput , é obrigatória a publicação de extrato do edital no Diário Oficial da União, do Estado, do Distrito Federal ou do Município, ou, no caso de consórcio público, do ente de maior nível entre eles, bem como em jornal diário de grande circulação. Modificação do edital de licitação Art. 15. Eventuais modificações no edital de licitação implicarão nova divulgação na mesma forma de sua divulgação inicial, além do cumprimento dos mesmos prazos dos atos e procedimentos originais, exceto se, inquestionavelmente, a alteração não comprometer a formulação das propostas, resguardado o tratamento isonômico …</w:t>
      </w:r>
      <w:r>
        <w:rPr>
          <w:b w:val="0"/>
          <w:i w:val="0"/>
          <w:sz w:val="20"/>
        </w:rPr>
        <w:t xml:space="preserve"> (Instrução Normativa SEGES/ME nº 73, de 30 de setembro de 2022 (licitação por menor preço ou maior desconto), CAPÍTULO V</w:t>
        <w:br/>
        <w:t>DA FASE DA DIVULGAÇÃO DO EDITAL DE LICITAÇÃO)</w:t>
      </w:r>
    </w:p>
    <w:p>
      <w:pPr>
        <w:spacing w:before="80" w:after="200" w:line="240" w:lineRule="auto"/>
        <w:ind w:firstLine="0" w:left="2268"/>
        <w:jc w:val="both"/>
      </w:pPr>
      <w:r>
        <w:rPr>
          <w:b w:val="0"/>
          <w:i w:val="0"/>
          <w:sz w:val="20"/>
        </w:rPr>
        <w:t>§ 2º A impugnação não possui efeito suspensivo, sendo a sua concessão medida excepcional que deverá ser motivada pelo agente de contratação ou pela comissão de contratação, quando o substituir, nos autos do processo de licitação. § 3º Acolhida a impugnação contra o edital de licitação, será definida e publicada nova data para realização do certame, observados os prazos fixados no art. 17. § 4º As respostas aos pedidos de esclarecimentos e impugnações serão divulgadas em sítio eletrônico oficial do órgão ou da entidade promotora da licitação e no sistema, dentro do prazo estabelecido no § 1º, e vincularão os participantes e a Administração. CA…</w:t>
      </w:r>
      <w:r>
        <w:rPr>
          <w:b w:val="0"/>
          <w:i w:val="0"/>
          <w:sz w:val="20"/>
        </w:rPr>
        <w:t xml:space="preserve"> (Instrução Normativa SEGES/ME nº 73, de 30 de setembro de 2022 (licitação por menor preço ou maior desconto), CAPÍTULO VI</w:t>
        <w:br/>
        <w:t>DA FASE DA APRESENTAÇÃO DA PROPOSTA E LANCES)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Sanções e multas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20.2 a 20.3.4 [páginas 35-38]; Minuta, Cláusula Décima Quinta e Décima Sétima [páginas 119-125]; TR item 8.1 [páginas 59-62]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rol das sanções corresponde ao art. 156 e a multa de 0,5% a 20% está dentro do intervalo de 0,5% a 30%. Pontos a corrigir: (a) a matriz de risco indica percentuais por nível (ex.: nível 9 = 10%), mas a tabela de infrações aponta mínimo e máximo diferentes (10% a 20% para todos os níveis), o que é incoerente; (b) a infração 3 remete ao 'item 6 deste Termo de Referência', que trata de uniformes; (c) a Cláusula Décima Sétima, parágrafo Terceiro, remete à 'Cláusula Décima Sexta, alínea c' (que trata de recursos) e a Cláusula Décima Quinta refere o item 'd' como se fosse a recusa de assinatura; (d) o IMR do TR prevê multa de 5% e 10% 'sobre o valor mensal', o que equivale a cerca de 0,42% e 0,83% do valor anual, abaixo do piso de 0,5% do valor do contrato no primeiro caso, além de cumular glosa e multa pelo mesmo fato; (e) o texto usa 'fornecimento' e 'entrega' para serviço.</w:t>
      </w:r>
    </w:p>
    <w:p>
      <w:pPr>
        <w:spacing w:before="0" w:after="120" w:line="360" w:lineRule="auto"/>
        <w:ind w:firstLine="709"/>
        <w:jc w:val="both"/>
      </w:pPr>
      <w:r>
        <w:rPr>
          <w:b w:val="0"/>
          <w:i w:val="0"/>
        </w:rPr>
        <w:t>O documento dispõe: “Multa de 0,5% (meio por cento) até 20% (vinte por cento) sobre o valor do” (Edital itens 20.2 a 20.3.4 [páginas 35-38]; Minuta, Cláusula Décima Quinta e Décima Sétima [páginas 119-125]; TR item 8.1 [páginas 59-62]).</w:t>
      </w:r>
    </w:p>
    <w:p>
      <w:pPr>
        <w:spacing w:before="0" w:after="80" w:line="360" w:lineRule="auto"/>
        <w:ind w:firstLine="709"/>
        <w:jc w:val="both"/>
      </w:pPr>
      <w:r>
        <w:rPr>
          <w:b/>
          <w:i w:val="0"/>
          <w:color w:val="12324A"/>
        </w:rPr>
        <w:t xml:space="preserve">Dispositivo aplicável. </w:t>
      </w:r>
      <w:r>
        <w:rPr>
          <w:b w:val="0"/>
          <w:i w:val="0"/>
        </w:rPr>
        <w:t>A matéria é disciplinada pelo art. 156 e pelo art. 156, § 3º, da Lei 14.133/2021, que assim dispõem:</w:t>
      </w:r>
    </w:p>
    <w:p>
      <w:pPr>
        <w:spacing w:before="80" w:after="200" w:line="240" w:lineRule="auto"/>
        <w:ind w:firstLine="0" w:left="2268"/>
        <w:jc w:val="both"/>
      </w:pPr>
      <w:r>
        <w:rPr>
          <w:b w:val="0"/>
          <w:i w:val="0"/>
          <w:sz w:val="20"/>
        </w:rPr>
        <w:t>Serão aplicadas ao responsável pelas infrações administrativas previstas nesta Lei as seguintes sanções: […]</w:t>
      </w:r>
      <w:r>
        <w:rPr>
          <w:b w:val="0"/>
          <w:i w:val="0"/>
          <w:sz w:val="20"/>
        </w:rPr>
        <w:t xml:space="preserve"> (BRASIL, 2021, art. 156)</w:t>
      </w:r>
    </w:p>
    <w:p>
      <w:pPr>
        <w:spacing w:before="80" w:after="200" w:line="240" w:lineRule="auto"/>
        <w:ind w:firstLine="0" w:left="2268"/>
        <w:jc w:val="both"/>
      </w:pPr>
      <w:r>
        <w:rPr>
          <w:b w:val="0"/>
          <w:i w:val="0"/>
          <w:sz w:val="20"/>
        </w:rPr>
        <w:t>A sanção prevista no inciso II do caput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w:t>
      </w:r>
      <w:r>
        <w:rPr>
          <w:b w:val="0"/>
          <w:i w:val="0"/>
          <w:sz w:val="20"/>
        </w:rPr>
        <w:t xml:space="preserve"> (BRASIL, 2021, art. 156, § 3º)</w:t>
      </w:r>
    </w:p>
    <w:p>
      <w:pPr>
        <w:spacing w:before="0" w:after="120" w:line="360" w:lineRule="auto"/>
        <w:ind w:firstLine="709"/>
        <w:jc w:val="both"/>
      </w:pPr>
      <w:r>
        <w:rPr>
          <w:b/>
          <w:i w:val="0"/>
          <w:color w:val="12324A"/>
        </w:rPr>
        <w:t xml:space="preserve">Análise. </w:t>
      </w:r>
      <w:r>
        <w:rPr>
          <w:b w:val="0"/>
          <w:i w:val="0"/>
        </w:rPr>
        <w:t>A multa deve ser calculada sobre o valor do contrato e permanecer entre 0,5% e 30% (art. 156, § 3º). Remissões erradas e matrizes incoerentes tornam as sanções de difícil aplicação e passíveis de anulação.</w:t>
      </w:r>
    </w:p>
    <w:p>
      <w:pPr>
        <w:spacing w:before="0" w:after="120" w:line="360" w:lineRule="auto"/>
        <w:ind w:firstLine="709"/>
        <w:jc w:val="both"/>
      </w:pPr>
      <w:r>
        <w:rPr>
          <w:b/>
          <w:i w:val="0"/>
          <w:color w:val="3D8FA6"/>
        </w:rPr>
        <w:t xml:space="preserve">Risco de manutenção. </w:t>
      </w:r>
      <w:r>
        <w:rPr>
          <w:b w:val="0"/>
          <w:i w:val="0"/>
        </w:rPr>
        <w:t>Multas contestadas judicialmente por violação de limites ou por falta de critério de gradação.</w:t>
      </w:r>
    </w:p>
    <w:p>
      <w:pPr>
        <w:spacing w:before="0" w:after="120" w:line="360" w:lineRule="auto"/>
        <w:ind w:firstLine="709"/>
        <w:jc w:val="both"/>
      </w:pPr>
      <w:r>
        <w:rPr>
          <w:b/>
          <w:i w:val="0"/>
          <w:color w:val="12324A"/>
        </w:rPr>
        <w:t xml:space="preserve">Providência recomendada. </w:t>
      </w:r>
      <w:r>
        <w:rPr>
          <w:b w:val="0"/>
          <w:i w:val="0"/>
        </w:rPr>
        <w:t>Compatibilizar a matriz com a tabela de percentuais, corrigir as remissões cruzadas, ajustar a base de cálculo das multas do IMR ao art. 156, § 3º, e evitar a cumulação de glosa e multa pelo mesmo fato, ou justificá-la.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3.17 Exigência de via física, autenticação e firma reconhecida em processo eletrônico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12.14 [página 18] e item 17.3 [página 31]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12.14 exige que o vencedor apresente a via física original ou autenticada dos documentos enviados em cópia simples, em 2 dias úteis. O item 17.3 exige procuração por instrumento 'com firma reconhecida'. Os atestados devem ser em papel timbrado, assinados e carimbados (E.2). Trilha confirmada.</w:t>
      </w:r>
    </w:p>
    <w:p>
      <w:pPr>
        <w:spacing w:before="0" w:after="120" w:line="360" w:lineRule="auto"/>
        <w:ind w:firstLine="709"/>
        <w:jc w:val="both"/>
      </w:pPr>
      <w:r>
        <w:rPr>
          <w:b w:val="0"/>
          <w:i w:val="0"/>
        </w:rPr>
        <w:t>O documento dispõe: “a via física original ou autenticada, no prazo de 2 (dois) dias úteis.” (Edital item 12.14 [página 18] e item 17.3 [página 31]).</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A lei admite a prova de autenticidade perante agente da Administração e só permite a exigência de reconhecimento de firma quando houver dúvida de autenticidade ou imposição legal.</w:t>
      </w:r>
    </w:p>
    <w:p>
      <w:pPr>
        <w:spacing w:before="0" w:after="120" w:line="360" w:lineRule="auto"/>
        <w:ind w:firstLine="709"/>
        <w:jc w:val="both"/>
      </w:pPr>
      <w:r>
        <w:rPr>
          <w:b/>
          <w:i w:val="0"/>
          <w:color w:val="3D8FA6"/>
        </w:rPr>
        <w:t xml:space="preserve">Risco de manutenção. </w:t>
      </w:r>
      <w:r>
        <w:rPr>
          <w:b w:val="0"/>
          <w:i w:val="0"/>
        </w:rPr>
        <w:t>Inabilitação por formalismo e barreira de acesso em licitação eletrônica.</w:t>
      </w:r>
    </w:p>
    <w:p>
      <w:pPr>
        <w:spacing w:before="0" w:after="120" w:line="360" w:lineRule="auto"/>
        <w:ind w:firstLine="709"/>
        <w:jc w:val="both"/>
      </w:pPr>
      <w:r>
        <w:rPr>
          <w:b/>
          <w:i w:val="0"/>
          <w:color w:val="12324A"/>
        </w:rPr>
        <w:t xml:space="preserve">Providência recomendada. </w:t>
      </w:r>
      <w:r>
        <w:rPr>
          <w:b w:val="0"/>
          <w:i w:val="0"/>
        </w:rPr>
        <w:t>Aceitar documentos digitais assinados eletronicamente, verificar a autenticidade pelo próprio sistema e exigir original ou firma reconhecida apenas em caso de dúvida fundamentada.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3.18 Divergência entre o elemento de despesa do edital e do TR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5.1 [página 4]; TR item 13 [página 76]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indica o elemento 3.3.90.34 e o TR (item 13) indica 339039, com a mesma fonte (1573). Os elementos têm naturezas distintas (terceirização de mão de obra em substituição de servidores × outros serviços de terceiros PJ).</w:t>
      </w:r>
    </w:p>
    <w:p>
      <w:pPr>
        <w:spacing w:before="0" w:after="120" w:line="360" w:lineRule="auto"/>
        <w:ind w:firstLine="709"/>
        <w:jc w:val="both"/>
      </w:pPr>
      <w:r>
        <w:rPr>
          <w:b w:val="0"/>
          <w:i w:val="0"/>
        </w:rPr>
        <w:t>O documento dispõe: “CÓDIGO DE DESPESA: 3.3.90.34” (Edital item 5.1 [página 4]; TR item 13 [página 76]).</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indicação do crédito orçamentário deve ser coerente, sob pena de dúvida sobre a adequação orçamentária e de classificação indevida da despesa.</w:t>
      </w:r>
    </w:p>
    <w:p>
      <w:pPr>
        <w:spacing w:before="0" w:after="120" w:line="360" w:lineRule="auto"/>
        <w:ind w:firstLine="709"/>
        <w:jc w:val="both"/>
      </w:pPr>
      <w:r>
        <w:rPr>
          <w:b/>
          <w:i w:val="0"/>
          <w:color w:val="3D8FA6"/>
        </w:rPr>
        <w:t xml:space="preserve">Risco de manutenção. </w:t>
      </w:r>
      <w:r>
        <w:rPr>
          <w:b w:val="0"/>
          <w:i w:val="0"/>
        </w:rPr>
        <w:t>Erro de classificação contábil e questionamento de auditoria.</w:t>
      </w:r>
    </w:p>
    <w:p>
      <w:pPr>
        <w:spacing w:before="0" w:after="120" w:line="360" w:lineRule="auto"/>
        <w:ind w:firstLine="709"/>
        <w:jc w:val="both"/>
      </w:pPr>
      <w:r>
        <w:rPr>
          <w:b/>
          <w:i w:val="0"/>
          <w:color w:val="12324A"/>
        </w:rPr>
        <w:t xml:space="preserve">Providência recomendada. </w:t>
      </w:r>
      <w:r>
        <w:rPr>
          <w:b w:val="0"/>
          <w:i w:val="0"/>
        </w:rPr>
        <w:t>Confirmar com a área orçamentária o elemento correto e uniformizar edital, TR e minuta (Cláusula Décima Oitava).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3.19 Fundamento e coerência da vedação à participação de cooperativas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8.8 [página 6]; TR item 12.3 [página 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veda cooperativas (8.8), e o TR (12.3) justifica pela necessidade de vínculo empregatício, mas cita o 'art. 16 da Lei 14.133/2021', cuja vigência e alcance devem ser conferidos. O edital contém ainda regras para adjudicatária cooperativa (17.10) e o modelo de declaração prevê a opção 'cooperativa'.</w:t>
      </w:r>
    </w:p>
    <w:p>
      <w:pPr>
        <w:spacing w:before="0" w:after="120" w:line="360" w:lineRule="auto"/>
        <w:ind w:firstLine="709"/>
        <w:jc w:val="both"/>
      </w:pPr>
      <w:r>
        <w:rPr>
          <w:b w:val="0"/>
          <w:i w:val="0"/>
        </w:rPr>
        <w:t>O documento dispõe: “Não será permitida a participação de sociedades cooperativas em razão da natureza do” (Edital item 8.8 [página 6]; TR item 12.3 [página 68]).</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vedação precisa de fundamentação vigente e coerente com o restante do edital, sob pena de impugnação.</w:t>
      </w:r>
    </w:p>
    <w:p>
      <w:pPr>
        <w:spacing w:before="0" w:after="120" w:line="360" w:lineRule="auto"/>
        <w:ind w:firstLine="709"/>
        <w:jc w:val="both"/>
      </w:pPr>
      <w:r>
        <w:rPr>
          <w:b/>
          <w:i w:val="0"/>
          <w:color w:val="3D8FA6"/>
        </w:rPr>
        <w:t xml:space="preserve">Risco de manutenção. </w:t>
      </w:r>
      <w:r>
        <w:rPr>
          <w:b w:val="0"/>
          <w:i w:val="0"/>
        </w:rPr>
        <w:t>Impugnação e interpretação contraditória sobre a possibilidade de participação.</w:t>
      </w:r>
    </w:p>
    <w:p>
      <w:pPr>
        <w:spacing w:before="0" w:after="120" w:line="360" w:lineRule="auto"/>
        <w:ind w:firstLine="709"/>
        <w:jc w:val="both"/>
      </w:pPr>
      <w:r>
        <w:rPr>
          <w:b/>
          <w:i w:val="0"/>
          <w:color w:val="12324A"/>
        </w:rPr>
        <w:t xml:space="preserve">Providência recomendada. </w:t>
      </w:r>
      <w:r>
        <w:rPr>
          <w:b w:val="0"/>
          <w:i w:val="0"/>
        </w:rPr>
        <w:t>Revisar o fundamento legal citado, manter apenas a justificativa material da vedação e excluir do edital, da minuta e do Anexo XI as referências a cooperativa.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09/10/2026;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1 dos 1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Serviço Educacional - Básico / Fundamental Auxiliar de desenvolvimento infantil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R$ 40.955.284,80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(2)</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declaração está inserida na seção de habilitação econômico-financeira. Convém exigi-la também no momento do cadastramento da proposta, pois se refere à data de entrega das propostas, e transferi-la para a seção de declarações. (art. 63, § 1º, da Lei 14.133/2021).</w:t>
      </w:r>
    </w:p>
    <w:p>
      <w:pPr>
        <w:spacing w:before="0" w:after="120" w:line="360" w:lineRule="auto"/>
        <w:ind w:left="425" w:hanging="425"/>
        <w:jc w:val="both"/>
      </w:pPr>
      <w:r>
        <w:rPr>
          <w:b/>
          <w:i w:val="0"/>
          <w:color w:val="1F7A8C"/>
        </w:rPr>
        <w:t xml:space="preserve">b) </w:t>
      </w:r>
      <w:r>
        <w:rPr>
          <w:b/>
          <w:i w:val="0"/>
        </w:rPr>
        <w:t xml:space="preserve">Conteúdo mínimo do edital: </w:t>
      </w:r>
      <w:r>
        <w:rPr>
          <w:b w:val="0"/>
          <w:i w:val="0"/>
        </w:rPr>
        <w:t>Prever endereço eletrônico institucional (não gmail) para esclarecimentos e impugnações, e indicar no edital a comissão ou os fiscais do contrato. (art. 25, da Lei 14.133/2021).</w:t>
      </w:r>
    </w:p>
    <w:p>
      <w:pPr>
        <w:spacing w:before="0" w:after="120" w:line="360" w:lineRule="auto"/>
        <w:ind w:left="425" w:hanging="425"/>
        <w:jc w:val="both"/>
      </w:pPr>
      <w:r>
        <w:rPr>
          <w:b/>
          <w:i w:val="0"/>
          <w:color w:val="1F7A8C"/>
        </w:rPr>
        <w:t xml:space="preserve">c) </w:t>
      </w:r>
      <w:r>
        <w:rPr>
          <w:b/>
          <w:i w:val="0"/>
        </w:rPr>
        <w:t xml:space="preserve">Prazo mínimo para apresentação de propostas: </w:t>
      </w:r>
      <w:r>
        <w:rPr>
          <w:b w:val="0"/>
          <w:i w:val="0"/>
        </w:rPr>
        <w:t>A sessão abre às 10h do último dia, e o dia do vencimento é incluído na contagem. Confirmar que não houve feriado municipal ou ponto facultativo no período, pois o sistema considerou apenas feriados nacionais. Em caso de dúvida, o TCU (Acórdão 2921/2026-Plenário) conta o prazo a partir do primeiro dia útil seguinte à divulgação no PNCP e tratou como falha, sem anular o certame por ausência de prejuízo e com competição efetiva, o encerramento antes do fim do prazo. Em certame futuro, fixar o encerramento ao final do último dia do prazo ou no dia seguinte. (art. 55, da Lei 14.133/2021; art. 183, da Lei 14.133/2021; art. 183, § 1º, inciso I, da Lei 14.133/2021).</w:t>
      </w:r>
    </w:p>
    <w:p>
      <w:pPr>
        <w:spacing w:before="0" w:after="120" w:line="360" w:lineRule="auto"/>
        <w:ind w:left="425" w:hanging="425"/>
        <w:jc w:val="both"/>
      </w:pPr>
      <w:r>
        <w:rPr>
          <w:b/>
          <w:i w:val="0"/>
          <w:color w:val="1F7A8C"/>
        </w:rPr>
        <w:t xml:space="preserve">d) </w:t>
      </w:r>
      <w:r>
        <w:rPr>
          <w:b/>
          <w:i w:val="0"/>
        </w:rPr>
        <w:t xml:space="preserve">Recursos administrativos: </w:t>
      </w:r>
      <w:r>
        <w:rPr>
          <w:b w:val="0"/>
          <w:i w:val="0"/>
        </w:rPr>
        <w:t>O item 14.6 fixa para a autoridade superior o 'mesmo prazo' de 3 dias úteis, enquanto o art. 165, § 2º, prevê até 10 dias úteis. Indicar o prazo legal evita questionamento. (art. 165, inciso I, da Lei 14.133/2021; art. 165, § 1º, da Lei 14.133/2021).</w:t>
      </w:r>
    </w:p>
    <w:p>
      <w:pPr>
        <w:spacing w:before="0" w:after="120" w:line="360" w:lineRule="auto"/>
        <w:ind w:left="425" w:hanging="425"/>
        <w:jc w:val="both"/>
      </w:pPr>
      <w:r>
        <w:rPr>
          <w:b/>
          <w:i w:val="0"/>
          <w:color w:val="1F7A8C"/>
        </w:rPr>
        <w:t xml:space="preserve">e) </w:t>
      </w:r>
      <w:r>
        <w:rPr>
          <w:b/>
          <w:i w:val="0"/>
        </w:rPr>
        <w:t xml:space="preserve">Vigência e prorrogação de serviços contínuos: </w:t>
      </w:r>
      <w:r>
        <w:rPr>
          <w:b w:val="0"/>
          <w:i w:val="0"/>
        </w:rPr>
        <w:t>O edital (7.2.1) cita o art. 106, § 2º, junto com o art. 107, e não repete a condição de vantajosidade; recomenda-se corrigir a remissão e reproduzir a condição do art. 107. Por analogia à IN 5/2017 (Anexo IX, item 9, parâmetro federal), prever que, nas prorrogações, sejam excluídos os custos não renováveis já amortizados (por exemplo, o enxoval inicial de 2 conjuntos de uniforme e a provisão de aviso prévio trabalhado reduzida), para evitar pagamento em duplicidade. (art. 106, da Lei 14.133/2021; art. 107,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O processo apresenta boa base formal, mas não está isento de vícios. Recomenda-se prioritariamente: (1) revisar o enquadramento sindical e refazer o orçamento com a convenção da categoria compatível com as atribuições efetivas do posto, com justificativa nos autos; (2) juntar e publicar a planilha de composição do custo unitário e a pesquisa de preços; (3) esclarecer a licitude de terceirizar as atribuições pedagógicas descritas no TR; (4) uniformizar edital, TR e minuta quanto a reajuste/repactuação, ME/EPP, garantia, índices contábeis, qualificação técnica, mora e referências cruzadas; (5) completar a minuta contratual e definir a conta-depósito vinculada ou outra medida do art. 121, § 3º. Como a sessão estava marcada para 27/10/2026 e a análise é de 30/10/2026, não há informação sobre julgamento, adjudicação ou contrato. Se o certame ainda não foi homologado, as correções que alterem a formulação das propostas exigem republicação e reabertura de prazo (art. 55, § 1º); se já houve contratação, devem ser tratadas por saneamento, apostilamento/aditivo e nas prorrogações e certames futuros. O parecer é opinativo, e a decisão de corrigir ou manter cabe ao órgão.</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Convenção coletiva da categoria correta </w:t>
      </w:r>
      <w:r>
        <w:rPr>
          <w:b w:val="0"/>
          <w:i w:val="0"/>
          <w:color w:val="B23A48"/>
        </w:rPr>
        <w:t xml:space="preserve">(gravidade alta, item 3.1): </w:t>
      </w:r>
      <w:r>
        <w:rPr>
          <w:b w:val="0"/>
          <w:i w:val="0"/>
        </w:rPr>
        <w:t>Identificar a categoria pela CBO e pelas atribuições reais, confirmar no Mediador/MTE a convenção aplicável na base territorial e refazer o orçamento. Registrar a justificativa do enquadramento sindical. Divulgar o salário e o auxílio-alimentação orçados se o piso do item 12.12 for mantido. Manter o licitante livre para indicar a sua própria convenção, conforme a jurisprudência citada.</w:t>
      </w:r>
    </w:p>
    <w:p>
      <w:pPr>
        <w:spacing w:before="0" w:after="80" w:line="360" w:lineRule="auto"/>
        <w:ind w:left="425" w:hanging="425"/>
        <w:jc w:val="both"/>
      </w:pPr>
      <w:r>
        <w:rPr>
          <w:b/>
          <w:i w:val="0"/>
          <w:color w:val="B23A48"/>
        </w:rPr>
        <w:t xml:space="preserve">2. </w:t>
      </w:r>
      <w:r>
        <w:rPr>
          <w:b/>
          <w:i w:val="0"/>
        </w:rPr>
        <w:t xml:space="preserve">Qualificação técnica proporcional </w:t>
      </w:r>
      <w:r>
        <w:rPr>
          <w:b w:val="0"/>
          <w:i w:val="0"/>
          <w:color w:val="B23A48"/>
        </w:rPr>
        <w:t xml:space="preserve">(gravidade alta, item 3.2): </w:t>
      </w:r>
      <w:r>
        <w:rPr>
          <w:b w:val="0"/>
          <w:i w:val="0"/>
        </w:rPr>
        <w:t>Harmonizar edital e TR e suprimir do TR a exigência de experiência em ambiente educacional, salvo justificativa técnica robusta. Delimitar o que se entende por 'serviços similares' ou suprimir o item E.10, mantendo E.2. Justificar ou suprimir a exigência do Técnico de Segurança do Trabalho. Indicar no ETP/TR a parcela de maior relevância e a memória do quantitativo de 50%. Retirar a referência a prazo de emissão do atestado, se não for adotada.</w:t>
      </w:r>
    </w:p>
    <w:p>
      <w:pPr>
        <w:spacing w:before="0" w:after="80" w:line="360" w:lineRule="auto"/>
        <w:ind w:left="425" w:hanging="425"/>
        <w:jc w:val="both"/>
      </w:pPr>
      <w:r>
        <w:rPr>
          <w:b/>
          <w:i w:val="0"/>
          <w:color w:val="C9781E"/>
        </w:rPr>
        <w:t xml:space="preserve">3. </w:t>
      </w:r>
      <w:r>
        <w:rPr>
          <w:b/>
          <w:i w:val="0"/>
        </w:rPr>
        <w:t xml:space="preserve">Enquadramento como dedicação exclusiva de mão de obra </w:t>
      </w:r>
      <w:r>
        <w:rPr>
          <w:b w:val="0"/>
          <w:i w:val="0"/>
          <w:color w:val="C9781E"/>
        </w:rPr>
        <w:t xml:space="preserve">(gravidade média, item 3.3): </w:t>
      </w:r>
      <w:r>
        <w:rPr>
          <w:b w:val="0"/>
          <w:i w:val="0"/>
        </w:rPr>
        <w:t>Uniformizar a denominação do posto e a descrição das atribuições no edital, no TR, na planilha e na proposta. Corrigir os resíduos (porteiros, 'administrativa e operacional'). Registrar nos autos como se atendem os requisitos do art. 6º, XVI (permanência nas dependências, não compartilhamento, controle de jornada).</w:t>
      </w:r>
    </w:p>
    <w:p>
      <w:pPr>
        <w:spacing w:before="0" w:after="80" w:line="360" w:lineRule="auto"/>
        <w:ind w:left="425" w:hanging="425"/>
        <w:jc w:val="both"/>
      </w:pPr>
      <w:r>
        <w:rPr>
          <w:b/>
          <w:i w:val="0"/>
          <w:color w:val="C9781E"/>
        </w:rPr>
        <w:t xml:space="preserve">4. </w:t>
      </w:r>
      <w:r>
        <w:rPr>
          <w:b/>
          <w:i w:val="0"/>
        </w:rPr>
        <w:t xml:space="preserve">Garantias do cumprimento das obrigações trabalhistas </w:t>
      </w:r>
      <w:r>
        <w:rPr>
          <w:b w:val="0"/>
          <w:i w:val="0"/>
          <w:color w:val="C9781E"/>
        </w:rPr>
        <w:t xml:space="preserve">(gravidade média, item 3.4): </w:t>
      </w:r>
      <w:r>
        <w:rPr>
          <w:b w:val="0"/>
          <w:i w:val="0"/>
        </w:rPr>
        <w:t>Definir no edital e na minuta quais medidas serão adotadas. Recomenda-se a conta-depósito vinculada bloqueada para movimentação (férias, 13º, rescisórias e encargos), com percentuais e rito de liberação, além do pagamento direto e da comprovação mensal. Considerar garantia contratual com cobertura trabalhista, ou justificar a dispensa. Corrigir as referências a 'garantias contratuais' na minuta, incoerentes com o item 16.1.</w:t>
      </w:r>
    </w:p>
    <w:p>
      <w:pPr>
        <w:spacing w:before="0" w:after="80" w:line="360" w:lineRule="auto"/>
        <w:ind w:left="425" w:hanging="425"/>
        <w:jc w:val="both"/>
      </w:pPr>
      <w:r>
        <w:rPr>
          <w:b/>
          <w:i w:val="0"/>
          <w:color w:val="C9781E"/>
        </w:rPr>
        <w:t xml:space="preserve">5. </w:t>
      </w:r>
      <w:r>
        <w:rPr>
          <w:b/>
          <w:i w:val="0"/>
        </w:rPr>
        <w:t xml:space="preserve">Índice de reajuste com data-base no orçamento </w:t>
      </w:r>
      <w:r>
        <w:rPr>
          <w:b w:val="0"/>
          <w:i w:val="0"/>
          <w:color w:val="C9781E"/>
        </w:rPr>
        <w:t xml:space="preserve">(gravidade média, item 3.5): </w:t>
      </w:r>
      <w:r>
        <w:rPr>
          <w:b w:val="0"/>
          <w:i w:val="0"/>
        </w:rPr>
        <w:t>Alinhar o TR (18.1.5) ao edital e preencher a minuta com o índice (IPCA), o interregno de 12 meses e a data-base 'mês/ano do orçamento estimado'. Ver também ed-03.</w:t>
      </w:r>
    </w:p>
    <w:p>
      <w:pPr>
        <w:spacing w:before="0" w:after="80" w:line="360" w:lineRule="auto"/>
        <w:ind w:left="425" w:hanging="425"/>
        <w:jc w:val="both"/>
      </w:pPr>
      <w:r>
        <w:rPr>
          <w:b/>
          <w:i w:val="0"/>
          <w:color w:val="C9781E"/>
        </w:rPr>
        <w:t xml:space="preserve">6. </w:t>
      </w:r>
      <w:r>
        <w:rPr>
          <w:b/>
          <w:i w:val="0"/>
        </w:rPr>
        <w:t xml:space="preserve">Critério de reajuste em serviços contínuos </w:t>
      </w:r>
      <w:r>
        <w:rPr>
          <w:b w:val="0"/>
          <w:i w:val="0"/>
          <w:color w:val="C9781E"/>
        </w:rPr>
        <w:t xml:space="preserve">(gravidade média, item 3.6): </w:t>
      </w:r>
      <w:r>
        <w:rPr>
          <w:b w:val="0"/>
          <w:i w:val="0"/>
        </w:rPr>
        <w:t>Delimitar no edital e na minuta que a mão de obra é repactuada (data da convenção) e que o IPCA se aplica apenas aos insumos. Excluir os blocos de modelo não aplicáveis. A repactuação da mão de obra depende ainda da convenção correta (plan-02).</w:t>
      </w:r>
    </w:p>
    <w:p>
      <w:pPr>
        <w:spacing w:before="0" w:after="80" w:line="360" w:lineRule="auto"/>
        <w:ind w:left="425" w:hanging="425"/>
        <w:jc w:val="both"/>
      </w:pPr>
      <w:r>
        <w:rPr>
          <w:b/>
          <w:i w:val="0"/>
          <w:color w:val="C9781E"/>
        </w:rPr>
        <w:t xml:space="preserve">7. </w:t>
      </w:r>
      <w:r>
        <w:rPr>
          <w:b/>
          <w:i w:val="0"/>
        </w:rPr>
        <w:t xml:space="preserve">Qualificação econômico-financeira </w:t>
      </w:r>
      <w:r>
        <w:rPr>
          <w:b w:val="0"/>
          <w:i w:val="0"/>
          <w:color w:val="C9781E"/>
        </w:rPr>
        <w:t xml:space="preserve">(gravidade média, item 3.7): </w:t>
      </w:r>
      <w:r>
        <w:rPr>
          <w:b w:val="0"/>
          <w:i w:val="0"/>
        </w:rPr>
        <w:t>Incluir no ETP/TR a justificativa de cada índice e dos percentuais (inclusive CCL de 16,66% sobre o valor anual, base correta segundo a jurisprudência do TCU). Alinhar o edital e o TR sobre o ILC, corrigir a denominação do ISG e a numeração. Avaliar se a cumulação é necessária em face do porte do contrato.</w:t>
      </w:r>
    </w:p>
    <w:p>
      <w:pPr>
        <w:spacing w:before="0" w:after="80" w:line="360" w:lineRule="auto"/>
        <w:ind w:left="425" w:hanging="425"/>
        <w:jc w:val="both"/>
      </w:pPr>
      <w:r>
        <w:rPr>
          <w:b/>
          <w:i w:val="0"/>
          <w:color w:val="C9781E"/>
        </w:rPr>
        <w:t xml:space="preserve">8. </w:t>
      </w:r>
      <w:r>
        <w:rPr>
          <w:b/>
          <w:i w:val="0"/>
        </w:rPr>
        <w:t xml:space="preserve">Tratamento diferenciado a ME e EPP </w:t>
      </w:r>
      <w:r>
        <w:rPr>
          <w:b w:val="0"/>
          <w:i w:val="0"/>
          <w:color w:val="C9781E"/>
        </w:rPr>
        <w:t xml:space="preserve">(gravidade média, item 3.8): </w:t>
      </w:r>
      <w:r>
        <w:rPr>
          <w:b w:val="0"/>
          <w:i w:val="0"/>
        </w:rPr>
        <w:t>Definir de modo único, no edital e no TR, se o tratamento diferenciado é aplicado, com fundamento correto (art. 4º, § 1º, I, em razão do valor do item), e eliminar as cláusulas incompatíveis. Se o tratamento for afastado, remover empate ficto e prazo de regularização tardia.</w:t>
      </w:r>
    </w:p>
    <w:p>
      <w:pPr>
        <w:spacing w:before="0" w:after="80" w:line="360" w:lineRule="auto"/>
        <w:ind w:left="425" w:hanging="425"/>
        <w:jc w:val="both"/>
      </w:pPr>
      <w:r>
        <w:rPr>
          <w:b/>
          <w:i w:val="0"/>
          <w:color w:val="C9781E"/>
        </w:rPr>
        <w:t xml:space="preserve">9. </w:t>
      </w:r>
      <w:r>
        <w:rPr>
          <w:b/>
          <w:i w:val="0"/>
        </w:rPr>
        <w:t xml:space="preserve">Minuta de contrato como anexo e cláusulas necessárias </w:t>
      </w:r>
      <w:r>
        <w:rPr>
          <w:b w:val="0"/>
          <w:i w:val="0"/>
          <w:color w:val="C9781E"/>
        </w:rPr>
        <w:t xml:space="preserve">(gravidade média, item 3.9): </w:t>
      </w:r>
      <w:r>
        <w:rPr>
          <w:b w:val="0"/>
          <w:i w:val="0"/>
        </w:rPr>
        <w:t>Adaptar a minuta ao objeto: preencher índice, interregno e data-base, indicar as medidas de garantia trabalhista (plan-05), detalhar as obrigações do contratante (pagamento, disponibilização de instalações, informações), remover instruções e blocos não aplicáveis, corrigir a numeração e as remissões. Avaliar a matriz de riscos.</w:t>
      </w:r>
    </w:p>
    <w:p>
      <w:pPr>
        <w:spacing w:before="0" w:after="80" w:line="360" w:lineRule="auto"/>
        <w:ind w:left="425" w:hanging="425"/>
        <w:jc w:val="both"/>
      </w:pPr>
      <w:r>
        <w:rPr>
          <w:b/>
          <w:i w:val="0"/>
          <w:color w:val="C9781E"/>
        </w:rPr>
        <w:t xml:space="preserve">10. </w:t>
      </w:r>
      <w:r>
        <w:rPr>
          <w:b/>
          <w:i w:val="0"/>
        </w:rPr>
        <w:t xml:space="preserve">Coerência interna do edital e dos anexos </w:t>
      </w:r>
      <w:r>
        <w:rPr>
          <w:b w:val="0"/>
          <w:i w:val="0"/>
          <w:color w:val="C9781E"/>
        </w:rPr>
        <w:t xml:space="preserve">(gravidade média, item 3.10): </w:t>
      </w:r>
      <w:r>
        <w:rPr>
          <w:b w:val="0"/>
          <w:i w:val="0"/>
        </w:rPr>
        <w:t>Fazer uma revisão integrada de edital, TR, planilha e minuta antes de nova publicação ou de aditamento, com tabela única de datas, critério de julgamento, adjudicação, índices e remunerações da mora. Corrigir o número PNCP, a dotação, as remissões cruzadas e retirar os resíduos de modelos (cooperativa, bens, porteiros).</w:t>
      </w:r>
    </w:p>
    <w:p>
      <w:pPr>
        <w:spacing w:before="0" w:after="80" w:line="360" w:lineRule="auto"/>
        <w:ind w:left="425" w:hanging="425"/>
        <w:jc w:val="both"/>
      </w:pPr>
      <w:r>
        <w:rPr>
          <w:b/>
          <w:i w:val="0"/>
          <w:color w:val="C9781E"/>
        </w:rPr>
        <w:t xml:space="preserve">11. </w:t>
      </w:r>
      <w:r>
        <w:rPr>
          <w:b/>
          <w:i w:val="0"/>
        </w:rPr>
        <w:t xml:space="preserve">Possível terceirização de atividades de natureza pedagógica e de cuidado infantil </w:t>
      </w:r>
      <w:r>
        <w:rPr>
          <w:b w:val="0"/>
          <w:i w:val="0"/>
          <w:color w:val="C9781E"/>
        </w:rPr>
        <w:t xml:space="preserve">(gravidade média, item 3.11): </w:t>
      </w:r>
      <w:r>
        <w:rPr>
          <w:b w:val="0"/>
          <w:i w:val="0"/>
        </w:rPr>
        <w:t>Esclarecer no processo (por pedido de esclarecimento ou manifestação do órgão de pessoal) a natureza das atividades, a existência de cargos efetivos equivalentes e o fundamento local (Decreto 78/2025) da terceirização. Se for o caso, redefinir as atribuições do posto para atividades de apoio, ou fundamentar a escolha.</w:t>
      </w:r>
    </w:p>
    <w:p>
      <w:pPr>
        <w:spacing w:before="0" w:after="80" w:line="360" w:lineRule="auto"/>
        <w:ind w:left="425" w:hanging="425"/>
        <w:jc w:val="both"/>
      </w:pPr>
      <w:r>
        <w:rPr>
          <w:b/>
          <w:i w:val="0"/>
          <w:color w:val="C9781E"/>
        </w:rPr>
        <w:t xml:space="preserve">12. </w:t>
      </w:r>
      <w:r>
        <w:rPr>
          <w:b/>
          <w:i w:val="0"/>
        </w:rPr>
        <w:t xml:space="preserve">Orçamento estimado sem composição de custos e com metodologia ambígua </w:t>
      </w:r>
      <w:r>
        <w:rPr>
          <w:b w:val="0"/>
          <w:i w:val="0"/>
          <w:color w:val="C9781E"/>
        </w:rPr>
        <w:t xml:space="preserve">(gravidade média, item 3.12): </w:t>
      </w:r>
      <w:r>
        <w:rPr>
          <w:b w:val="0"/>
          <w:i w:val="0"/>
        </w:rPr>
        <w:t>Juntar e publicar a planilha de composição do posto (módulos 1 a 6, BDI e tributos), a pesquisa de preços (fontes, datas, método) e a memória dos uniformes. Se o valor decorrer de pesquisa e não de planilha, esclarecer a metodologia. Caso o órgão esclareça a existência desses documentos, bastará publicá-los com o edital.</w:t>
      </w:r>
    </w:p>
    <w:p>
      <w:pPr>
        <w:spacing w:before="0" w:after="80" w:line="360" w:lineRule="auto"/>
        <w:ind w:left="425" w:hanging="425"/>
        <w:jc w:val="both"/>
      </w:pPr>
      <w:r>
        <w:rPr>
          <w:b/>
          <w:i w:val="0"/>
          <w:color w:val="3D8FA6"/>
        </w:rPr>
        <w:t xml:space="preserve">13. </w:t>
      </w:r>
      <w:r>
        <w:rPr>
          <w:b/>
          <w:i w:val="0"/>
        </w:rPr>
        <w:t xml:space="preserve">Garantia de proposta e garantia contratual </w:t>
      </w:r>
      <w:r>
        <w:rPr>
          <w:b w:val="0"/>
          <w:i w:val="0"/>
          <w:color w:val="3D8FA6"/>
        </w:rPr>
        <w:t xml:space="preserve">(gravidade baixa, item 3.13): </w:t>
      </w:r>
      <w:r>
        <w:rPr>
          <w:b w:val="0"/>
          <w:i w:val="0"/>
        </w:rPr>
        <w:t>Descrever as modalidades e o prazo da garantia de proposta e as hipóteses de devolução ou execução, e verificar se exigir a garantia de todos os licitantes antes da disputa não afasta competidores. Remover da minuta as referências à garantia contratual, ou prever a garantia (ver plan-05).</w:t>
      </w:r>
    </w:p>
    <w:p>
      <w:pPr>
        <w:spacing w:before="0" w:after="80" w:line="360" w:lineRule="auto"/>
        <w:ind w:left="425" w:hanging="425"/>
        <w:jc w:val="both"/>
      </w:pPr>
      <w:r>
        <w:rPr>
          <w:b/>
          <w:i w:val="0"/>
          <w:color w:val="3D8FA6"/>
        </w:rPr>
        <w:t xml:space="preserve">14. </w:t>
      </w:r>
      <w:r>
        <w:rPr>
          <w:b/>
          <w:i w:val="0"/>
        </w:rPr>
        <w:t xml:space="preserve">Participação em consórcio </w:t>
      </w:r>
      <w:r>
        <w:rPr>
          <w:b w:val="0"/>
          <w:i w:val="0"/>
          <w:color w:val="3D8FA6"/>
        </w:rPr>
        <w:t xml:space="preserve">(gravidade baixa, item 3.14): </w:t>
      </w:r>
      <w:r>
        <w:rPr>
          <w:b w:val="0"/>
          <w:i w:val="0"/>
        </w:rPr>
        <w:t>Complementar a justificativa no ETP/TR com a análise de mercado (número de empresas aptas a executar 435 postos isoladamente) ou admitir consórcio com as regras do art. 15.</w:t>
      </w:r>
    </w:p>
    <w:p>
      <w:pPr>
        <w:spacing w:before="0" w:after="80" w:line="360" w:lineRule="auto"/>
        <w:ind w:left="425" w:hanging="425"/>
        <w:jc w:val="both"/>
      </w:pPr>
      <w:r>
        <w:rPr>
          <w:b/>
          <w:i w:val="0"/>
          <w:color w:val="3D8FA6"/>
        </w:rPr>
        <w:t xml:space="preserve">15. </w:t>
      </w:r>
      <w:r>
        <w:rPr>
          <w:b/>
          <w:i w:val="0"/>
        </w:rPr>
        <w:t xml:space="preserve">Impugnação e esclarecimentos </w:t>
      </w:r>
      <w:r>
        <w:rPr>
          <w:b w:val="0"/>
          <w:i w:val="0"/>
          <w:color w:val="3D8FA6"/>
        </w:rPr>
        <w:t xml:space="preserve">(gravidade baixa, item 3.15): </w:t>
      </w:r>
      <w:r>
        <w:rPr>
          <w:b w:val="0"/>
          <w:i w:val="0"/>
        </w:rPr>
        <w:t>Reproduzir no item 1.8.1 o limite do art. 164 e a divulgação das respostas no PNCP e no sistema, e prever que a impugnação não tem efeito suspensivo, salvo decisão motivada. Indicar canal institucional.</w:t>
      </w:r>
    </w:p>
    <w:p>
      <w:pPr>
        <w:spacing w:before="0" w:after="80" w:line="360" w:lineRule="auto"/>
        <w:ind w:left="425" w:hanging="425"/>
        <w:jc w:val="both"/>
      </w:pPr>
      <w:r>
        <w:rPr>
          <w:b/>
          <w:i w:val="0"/>
          <w:color w:val="3D8FA6"/>
        </w:rPr>
        <w:t xml:space="preserve">16. </w:t>
      </w:r>
      <w:r>
        <w:rPr>
          <w:b/>
          <w:i w:val="0"/>
        </w:rPr>
        <w:t xml:space="preserve">Sanções e multas </w:t>
      </w:r>
      <w:r>
        <w:rPr>
          <w:b w:val="0"/>
          <w:i w:val="0"/>
          <w:color w:val="3D8FA6"/>
        </w:rPr>
        <w:t xml:space="preserve">(gravidade baixa, item 3.16): </w:t>
      </w:r>
      <w:r>
        <w:rPr>
          <w:b w:val="0"/>
          <w:i w:val="0"/>
        </w:rPr>
        <w:t>Compatibilizar a matriz com a tabela de percentuais, corrigir as remissões cruzadas, ajustar a base de cálculo das multas do IMR ao art. 156, § 3º, e evitar a cumulação de glosa e multa pelo mesmo fato, ou justificá-la.</w:t>
      </w:r>
    </w:p>
    <w:p>
      <w:pPr>
        <w:spacing w:before="0" w:after="80" w:line="360" w:lineRule="auto"/>
        <w:ind w:left="425" w:hanging="425"/>
        <w:jc w:val="both"/>
      </w:pPr>
      <w:r>
        <w:rPr>
          <w:b/>
          <w:i w:val="0"/>
          <w:color w:val="3D8FA6"/>
        </w:rPr>
        <w:t xml:space="preserve">17. </w:t>
      </w:r>
      <w:r>
        <w:rPr>
          <w:b/>
          <w:i w:val="0"/>
        </w:rPr>
        <w:t xml:space="preserve">Exigência de via física, autenticação e firma reconhecida em processo eletrônico </w:t>
      </w:r>
      <w:r>
        <w:rPr>
          <w:b w:val="0"/>
          <w:i w:val="0"/>
          <w:color w:val="3D8FA6"/>
        </w:rPr>
        <w:t xml:space="preserve">(gravidade baixa, item 3.17): </w:t>
      </w:r>
      <w:r>
        <w:rPr>
          <w:b w:val="0"/>
          <w:i w:val="0"/>
        </w:rPr>
        <w:t>Aceitar documentos digitais assinados eletronicamente, verificar a autenticidade pelo próprio sistema e exigir original ou firma reconhecida apenas em caso de dúvida fundamentada.</w:t>
      </w:r>
    </w:p>
    <w:p>
      <w:pPr>
        <w:spacing w:before="0" w:after="80" w:line="360" w:lineRule="auto"/>
        <w:ind w:left="425" w:hanging="425"/>
        <w:jc w:val="both"/>
      </w:pPr>
      <w:r>
        <w:rPr>
          <w:b/>
          <w:i w:val="0"/>
          <w:color w:val="3D8FA6"/>
        </w:rPr>
        <w:t xml:space="preserve">18. </w:t>
      </w:r>
      <w:r>
        <w:rPr>
          <w:b/>
          <w:i w:val="0"/>
        </w:rPr>
        <w:t xml:space="preserve">Divergência entre o elemento de despesa do edital e do TR </w:t>
      </w:r>
      <w:r>
        <w:rPr>
          <w:b w:val="0"/>
          <w:i w:val="0"/>
          <w:color w:val="3D8FA6"/>
        </w:rPr>
        <w:t xml:space="preserve">(gravidade baixa, item 3.18): </w:t>
      </w:r>
      <w:r>
        <w:rPr>
          <w:b w:val="0"/>
          <w:i w:val="0"/>
        </w:rPr>
        <w:t>Confirmar com a área orçamentária o elemento correto e uniformizar edital, TR e minuta (Cláusula Décima Oitava).</w:t>
      </w:r>
    </w:p>
    <w:p>
      <w:pPr>
        <w:spacing w:before="0" w:after="80" w:line="360" w:lineRule="auto"/>
        <w:ind w:left="425" w:hanging="425"/>
        <w:jc w:val="both"/>
      </w:pPr>
      <w:r>
        <w:rPr>
          <w:b/>
          <w:i w:val="0"/>
          <w:color w:val="3D8FA6"/>
        </w:rPr>
        <w:t xml:space="preserve">19. </w:t>
      </w:r>
      <w:r>
        <w:rPr>
          <w:b/>
          <w:i w:val="0"/>
        </w:rPr>
        <w:t xml:space="preserve">Fundamento e coerência da vedação à participação de cooperativas </w:t>
      </w:r>
      <w:r>
        <w:rPr>
          <w:b w:val="0"/>
          <w:i w:val="0"/>
          <w:color w:val="3D8FA6"/>
        </w:rPr>
        <w:t xml:space="preserve">(gravidade baixa, item 3.19): </w:t>
      </w:r>
      <w:r>
        <w:rPr>
          <w:b w:val="0"/>
          <w:i w:val="0"/>
        </w:rPr>
        <w:t>Revisar o fundamento legal citado, manter apenas a justificativa material da vedação e excluir do edital, da minuta e do Anexo XI as referências a cooperativa.</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30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30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30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30 out. 2026.</w:t>
      </w:r>
    </w:p>
    <w:p>
      <w:pPr>
        <w:spacing w:before="0" w:after="240" w:line="240" w:lineRule="auto"/>
        <w:ind w:firstLine="0"/>
        <w:jc w:val="left"/>
      </w:pPr>
      <w:r>
        <w:rPr>
          <w:b w:val="0"/>
          <w:i w:val="0"/>
          <w:sz w:val="22"/>
        </w:rPr>
        <w:t>BRASIL. Ministério da Economia. Secretaria de Gestão. Instrução Normativa SEGES/ME nº 65, de 7 de julho de 2021. Dispõe sobre o procedimento administrativo para a realização de pesquisa de preços. Brasília, DF: ME, 2021. Disponível em: https://www.gov.br/compras/pt-br/acesso-a-informacao/legislacao/instrucoes-normativas/instrucao-normativa-seges-me-no-65-de-7-de-julho-de-2021. Acesso em: 30 out. 2026.</w:t>
      </w:r>
    </w:p>
    <w:p>
      <w:pPr>
        <w:spacing w:before="0" w:after="240" w:line="240" w:lineRule="auto"/>
        <w:ind w:firstLine="0"/>
        <w:jc w:val="left"/>
      </w:pPr>
      <w:r>
        <w:rPr>
          <w:b w:val="0"/>
          <w:i w:val="0"/>
          <w:sz w:val="22"/>
        </w:rPr>
        <w:t>BRASIL. Ministério da Economia. Secretaria de Gestão. Instrução Normativa SEGES/ME nº 73, de 30 de setembro de 2022. Dispõe sobre a licitação pelos critérios de julgamento por menor preço ou maior desconto. Brasília, DF: ME, 2022. Disponível em: https://www.gov.br/compras/pt-br/acesso-a-informacao/legislacao/instrucoes-normativas/instrucao-normativa-seges-me-no-73-de-30-de-setembro-de-2022. Acesso em: 30 out. 2026.</w:t>
      </w:r>
    </w:p>
    <w:p>
      <w:pPr>
        <w:spacing w:before="0" w:after="240" w:line="240" w:lineRule="auto"/>
        <w:ind w:firstLine="0"/>
        <w:jc w:val="left"/>
      </w:pPr>
      <w:r>
        <w:rPr>
          <w:b w:val="0"/>
          <w:i w:val="0"/>
          <w:sz w:val="22"/>
        </w:rPr>
        <w:t>BRASIL. Ministério da Economia. Secretaria de Gestão. Instrução Normativa SEGES/ME nº 81, de 25 de novembro de 2022. Dispõe sobre a elaboração do Termo de Referência. Brasília, DF: ME, 2022. Disponível em: https://www.gov.br/compras/pt-br/acesso-a-informacao/legislacao/instrucoes-normativas/instrucao-normativa-seges-me-no-81-de-25-de-novembro-de-2022. Acesso em: 30 out. 2026.</w:t>
      </w:r>
    </w:p>
    <w:p>
      <w:pPr>
        <w:spacing w:before="0" w:after="240" w:line="240" w:lineRule="auto"/>
        <w:ind w:firstLine="0"/>
        <w:jc w:val="left"/>
      </w:pPr>
      <w:r>
        <w:rPr>
          <w:b w:val="0"/>
          <w:i w:val="0"/>
          <w:sz w:val="22"/>
        </w:rPr>
        <w:t>BRASIL. Ministério do Planejamento, Desenvolvimento e Gestão. Secretaria de Gestão. Instrução Normativa nº 5, de 26 de maio de 2017. Dispõe sobre as regras e diretrizes do procedimento de contratação de serviços sob o regime de execução indireta. Brasília, DF: MP, 2017. Disponível em: https://www.gov.br/compras/pt-br/acesso-a-informacao/legislacao/instrucoes-normativas/instrucao-normativa-no-5-de-26-de-maio-de-2017-atualizada. Acesso em: 30 out. 2026.</w:t>
      </w:r>
    </w:p>
    <w:p>
      <w:pPr>
        <w:spacing w:before="0" w:after="240" w:line="240" w:lineRule="auto"/>
        <w:ind w:firstLine="0"/>
        <w:jc w:val="left"/>
      </w:pPr>
      <w:r>
        <w:rPr>
          <w:b w:val="0"/>
          <w:i w:val="0"/>
          <w:sz w:val="22"/>
        </w:rPr>
        <w:t>BRASIL. Secretaria de Gestão. Caderno de Logística: conta-depósito vinculada – bloqueada para movimentação. Brasília, DF. Disponível em: https://www.gov.br/compras/pt-br/agente-publico/cadernos-de-logistica/midia/caderno_logistica_conta_vinculada.pdf. Acesso em: 30 out. 2026.</w:t>
      </w:r>
    </w:p>
    <w:p>
      <w:pPr>
        <w:spacing w:before="0" w:after="240" w:line="240" w:lineRule="auto"/>
        <w:ind w:firstLine="0"/>
        <w:jc w:val="left"/>
      </w:pPr>
      <w:r>
        <w:rPr>
          <w:b w:val="0"/>
          <w:i w:val="0"/>
          <w:sz w:val="22"/>
        </w:rPr>
        <w:t>BRASIL. Secretaria de Gestão. Caderno de Logística: pesquisa de preços. Brasília, DF, 2023. Disponível em: https://www.gov.br/compras/pt-br/agente-publico/cadernos-de-logistica/midia/temporario-caderno-de-pesquisa-de-precos-2023_final-1.pdf. Acesso em: 30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1207/2024-Plenário. Relator: Ministro(a) Antonio Anastasia. Julgado em 19 jun. 2024. TCU – Jurisprudência Selecionada. Disponível em: https://pesquisa.apps.tcu.gov.br/documento/jurisprudencia-selecionada/*/KEY%253AJURISPRUDENCIA-SELECIONADA-169900/score%2520desc/0. Acesso em: 30 out. 2026.</w:t>
      </w:r>
    </w:p>
    <w:p>
      <w:pPr>
        <w:spacing w:before="0" w:after="240" w:line="240" w:lineRule="auto"/>
        <w:ind w:firstLine="0"/>
        <w:jc w:val="left"/>
      </w:pPr>
      <w:r>
        <w:rPr>
          <w:b w:val="0"/>
          <w:i w:val="0"/>
          <w:sz w:val="22"/>
        </w:rPr>
        <w:t>BRASIL. Tribunal de Contas da União (Plenário). Acórdão 1207/2024-Plenário. Relator: Ministro(a) Antonio Anastasia. Julgado em 19 jun. 2024. TCU – Jurisprudência Selecionada. Disponível em: https://pesquisa.apps.tcu.gov.br/documento/jurisprudencia-selecionada/*/KEY%253AJURISPRUDENCIA-SELECIONADA-170041/score%2520desc/0. Acesso em: 30 out. 2026.</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30 out. 2026.</w:t>
      </w:r>
    </w:p>
    <w:p>
      <w:pPr>
        <w:spacing w:before="0" w:after="240" w:line="240" w:lineRule="auto"/>
        <w:ind w:firstLine="0"/>
        <w:jc w:val="left"/>
      </w:pPr>
      <w:r>
        <w:rPr>
          <w:b w:val="0"/>
          <w:i w:val="0"/>
          <w:sz w:val="22"/>
        </w:rPr>
        <w:t>BRASIL. Tribunal de Contas da União (Plenário). Acórdão 2717/2023-Plenário. Relator: Ministro(a) Vital Do Rêgo. Julgado em 13 dez. 2023. TCU – Jurisprudência Selecionada. Disponível em: https://pesquisa.apps.tcu.gov.br/documento/jurisprudencia-selecionada/*/KEY%253AJURISPRUDENCIA-SELECIONADA-162271/score%2520desc/0. Acesso em: 30 out. 2026.</w:t>
      </w:r>
    </w:p>
    <w:p>
      <w:pPr>
        <w:spacing w:before="0" w:after="240" w:line="240" w:lineRule="auto"/>
        <w:ind w:firstLine="0"/>
        <w:jc w:val="left"/>
      </w:pPr>
      <w:r>
        <w:rPr>
          <w:b w:val="0"/>
          <w:i w:val="0"/>
          <w:sz w:val="22"/>
        </w:rPr>
        <w:t>BRASIL. Tribunal de Contas da União (Plenário). Acórdão 2724/2025-Plenário. Relator: Ministro(a) Benjamin Zymler. Julgado em 18 nov. 2025. TCU – Jurisprudência Selecionada (Informativo de Licitações e Contratos nº 519 de 03/02/2026 BJ nº 567 de 15/12/2025). Disponível em: https://pesquisa.apps.tcu.gov.br/documento/jurisprudencia-selecionada/*/KEY%253AJURISPRUDENCIA-SELECIONADA-193580/score%2520desc/0. Acesso em: 30 out. 2026.</w:t>
      </w:r>
    </w:p>
    <w:p>
      <w:pPr>
        <w:spacing w:before="0" w:after="240" w:line="240" w:lineRule="auto"/>
        <w:ind w:firstLine="0"/>
        <w:jc w:val="left"/>
      </w:pPr>
      <w:r>
        <w:rPr>
          <w:b w:val="0"/>
          <w:i w:val="0"/>
          <w:sz w:val="22"/>
        </w:rPr>
        <w:t>BRASIL. Tribunal de Contas da União (Plenário). Acórdão 442/2026-Plenário. Relator: Ministro(a) Bruno Dantas. Julgado em 4 mar. 2026. TCU – Jurisprudência Selecionada (Informativo de Licitações e Contratos nº 522 de 24/03/2026 BJ nº 575 de 23/03/2026). Disponível em: https://pesquisa.apps.tcu.gov.br/documento/jurisprudencia-selecionada/*/KEY%253AJURISPRUDENCIA-SELECIONADA-197767/score%2520desc/0. Acesso em: 30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30 out. 2026.</w:t>
      </w:r>
    </w:p>
    <w:p>
      <w:pPr>
        <w:spacing w:before="0" w:after="240" w:line="240" w:lineRule="auto"/>
        <w:ind w:firstLine="0"/>
        <w:jc w:val="left"/>
      </w:pPr>
      <w:r>
        <w:rPr>
          <w:b w:val="0"/>
          <w:i w:val="0"/>
          <w:sz w:val="22"/>
        </w:rPr>
        <w:t>PREFEITURA MUNICIPAL DE MARICÁ – SECRETARIA DE EDUCAÇÃO. Edital e minutas (ata e contrato) — Pregão Eletrônico nº 54/2026 – Processo nº 18321/2025 (PNCP 29131075000193-1-000445/2026). Disponível em: https://pncp.gov.br/app/editais/29131075000193/2026/445. Acesso em: 30 out. 2026.</w:t>
      </w:r>
    </w:p>
    <w:p>
      <w:pPr>
        <w:spacing w:before="0" w:after="240" w:line="240" w:lineRule="auto"/>
        <w:ind w:firstLine="0"/>
        <w:jc w:val="left"/>
      </w:pPr>
      <w:r>
        <w:rPr>
          <w:b w:val="0"/>
          <w:i w:val="0"/>
          <w:sz w:val="22"/>
        </w:rPr>
        <w:t>RIO DE JANEIRO (Estado). Tribunal de Contas do Estado do Rio de Janeiro (Plenário). Acórdão 19519/2026 – Processo 100.467-3/2026. Relator: Conselheiro José Gomes Graciosa. Julgado em 10 jun. 2026. TCE-RJ – Jurisprudência Selecionada. Disponível em: https://www.tcerj.tc.br/cadastro-publicacoes/public/jurisprudencia-selecionada. Acesso em: 30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Possível terceirização de atividades de natureza pedagógica e de cuidado infantil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estimado sem composição de custos e com metodologia ambígua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IV; art. 23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 de via física, autenticação e firma reconhecida em processo eletrônico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Divergência entre o elemento de despesa do edital e do TR</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Fundamento e coerência da vedação à participação de cooperativas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Fontes técnicas de referência (instruções normativas, cadernos de logística, manuais e cartilhas oficiais) são consultadas por busca de trechos pertinentes a cada item; normas e orientações federais infralegais são indicadas como parâmetro para estados, municípios e DF, salvo adoção pelo ente.</w:t>
      </w:r>
    </w:p>
    <w:p>
      <w:pPr>
        <w:spacing w:before="0" w:after="120" w:line="360" w:lineRule="auto"/>
        <w:ind w:left="425" w:hanging="425"/>
        <w:jc w:val="both"/>
      </w:pPr>
      <w:r>
        <w:rPr>
          <w:b/>
          <w:i w:val="0"/>
          <w:color w:val="1F7A8C"/>
        </w:rPr>
        <w:t xml:space="preserve">j)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k) </w:t>
      </w:r>
      <w:r>
        <w:rPr>
          <w:b w:val="0"/>
          <w:i w:val="0"/>
        </w:rPr>
        <w:t>O código de verificação 0CC5BC5855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0CC5BC5855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0CC5/2026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jurisprudencia-selecionada/*/KEY%253AJURISPRUDENCIA-SELECIONADA-169900/score%2520desc/0" TargetMode="External"/><Relationship Id="rId13" Type="http://schemas.openxmlformats.org/officeDocument/2006/relationships/hyperlink" Target="https://pesquisa.apps.tcu.gov.br/documento/jurisprudencia-selecionada/*/KEY%253AJURISPRUDENCIA-SELECIONADA-170041/score%2520desc/0" TargetMode="External"/><Relationship Id="rId14" Type="http://schemas.openxmlformats.org/officeDocument/2006/relationships/hyperlink" Target="https://pesquisa.apps.tcu.gov.br/documento/jurisprudencia-selecionada/*/KEY%253AJURISPRUDENCIA-SELECIONADA-205696/score%2520desc/0" TargetMode="External"/><Relationship Id="rId15" Type="http://schemas.openxmlformats.org/officeDocument/2006/relationships/hyperlink" Target="https://pesquisa.apps.tcu.gov.br/documento/jurisprudencia-selecionada/*/KEY%253AJURISPRUDENCIA-SELECIONADA-162271/score%2520desc/0" TargetMode="External"/><Relationship Id="rId16" Type="http://schemas.openxmlformats.org/officeDocument/2006/relationships/hyperlink" Target="https://pesquisa.apps.tcu.gov.br/documento/sumula/*/KEY%253ASUMULA-EJURIS-1689/score%2520desc/0" TargetMode="External"/><Relationship Id="rId17" Type="http://schemas.openxmlformats.org/officeDocument/2006/relationships/hyperlink" Target="https://pesquisa.apps.tcu.gov.br/documento/jurisprudencia-selecionada/*/KEY%253AJURISPRUDENCIA-SELECIONADA-193580/score%2520desc/0" TargetMode="External"/><Relationship Id="rId18" Type="http://schemas.openxmlformats.org/officeDocument/2006/relationships/hyperlink" Target="https://www.tcerj.tc.br/cadastro-publicacoes/public/jurisprudencia-selecionada" TargetMode="External"/><Relationship Id="rId19" Type="http://schemas.openxmlformats.org/officeDocument/2006/relationships/hyperlink" Target="https://pesquisa.apps.tcu.gov.br/documento/jurisprudencia-selecionada/*/KEY%253AJURISPRUDENCIA-SELECIONADA-197767/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