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A7A50"/>
          <w:sz w:val="18"/>
        </w:rPr>
        <w:t>LICITACON · AGENTE DE ANÁLISE</w:t>
      </w:r>
    </w:p>
    <w:p>
      <w:pPr>
        <w:spacing w:after="80"/>
      </w:pPr>
      <w:r>
        <w:rPr>
          <w:b/>
          <w:i w:val="0"/>
          <w:color w:val="0A1F2A"/>
          <w:sz w:val="40"/>
        </w:rPr>
        <w:t>Relatório de análise da fase preparatória</w:t>
      </w:r>
    </w:p>
    <w:p>
      <w:pPr>
        <w:spacing w:after="240"/>
      </w:pPr>
      <w:r>
        <w:rPr>
          <w:b w:val="0"/>
          <w:i w:val="0"/>
          <w:color w:val="6A7B82"/>
          <w:sz w:val="24"/>
        </w:rPr>
        <w:t>Registro de preços para serviços de organização, produção e execução de estruturas decorativas e ornamentais para eventos públicos (82 itens em 7 lotes)</w:t>
      </w:r>
    </w:p>
    <w:p>
      <w:pPr>
        <w:spacing w:after="60"/>
      </w:pPr>
      <w:r>
        <w:rPr>
          <w:b/>
          <w:color w:val="0A1F2A"/>
        </w:rPr>
        <w:t xml:space="preserve">Órgão: </w:t>
      </w:r>
      <w:r>
        <w:t>Município de Campo Maior/PI — Secretaria Municipal de Cultura e Desenvolvimento do Turismo</w:t>
      </w:r>
    </w:p>
    <w:p>
      <w:pPr>
        <w:spacing w:after="60"/>
      </w:pPr>
      <w:r>
        <w:rPr>
          <w:b/>
          <w:color w:val="0A1F2A"/>
        </w:rPr>
        <w:t xml:space="preserve">Processo: </w:t>
      </w:r>
      <w:r>
        <w:t>Pregão Eletrônico nº 015/2026 – SRP · Processo nº 4232/2026 · PNCP 06716880000183-1-000022/2026</w:t>
      </w:r>
    </w:p>
    <w:p>
      <w:pPr>
        <w:spacing w:after="60"/>
      </w:pPr>
      <w:r>
        <w:rPr>
          <w:b/>
          <w:color w:val="0A1F2A"/>
        </w:rPr>
        <w:t xml:space="preserve">Modalidade / critério: </w:t>
      </w:r>
      <w:r>
        <w:t>Pregão eletrônico · menor preço por lote · registro de preços · orçamento sigiloso</w:t>
      </w:r>
    </w:p>
    <w:p>
      <w:pPr>
        <w:spacing w:after="60"/>
      </w:pPr>
      <w:r>
        <w:rPr>
          <w:b/>
          <w:color w:val="0A1F2A"/>
        </w:rPr>
        <w:t xml:space="preserve">Regime jurídico identificado: </w:t>
      </w:r>
      <w:r>
        <w:t>Lei 14.133/2021 — pregão eletrônico para registro de preços, menor preço por lote</w:t>
      </w:r>
    </w:p>
    <w:p>
      <w:pPr>
        <w:spacing w:after="60"/>
      </w:pPr>
      <w:r>
        <w:rPr>
          <w:b/>
          <w:color w:val="0A1F2A"/>
        </w:rPr>
        <w:t xml:space="preserve">Documentos analisados: </w:t>
      </w:r>
      <w:r>
        <w:t>Edital e minutas (ata e contrato) (EDITAL_PE_015-2026.pdf, obtido no PNCP — inclui Termo de Referência, ETP e minutas da ata e do contrato, 76 p.)</w:t>
      </w:r>
    </w:p>
    <w:p>
      <w:pPr>
        <w:spacing w:after="60"/>
      </w:pPr>
      <w:r>
        <w:rPr>
          <w:b/>
          <w:color w:val="0A1F2A"/>
        </w:rPr>
        <w:t xml:space="preserve">Data da análise: </w:t>
      </w:r>
      <w:r>
        <w:t>29/10/2026</w:t>
      </w:r>
    </w:p>
    <w:p>
      <w:pPr>
        <w:spacing w:after="60"/>
      </w:pPr>
      <w:r>
        <w:rPr>
          <w:b/>
          <w:color w:val="0A1F2A"/>
        </w:rPr>
        <w:t xml:space="preserve">Versão do roteiro: </w:t>
      </w:r>
      <w:r>
        <w:t>lei-14133 · 2026-10-29</w:t>
      </w:r>
    </w:p>
    <w:p>
      <w:pPr>
        <w:spacing w:before="200"/>
      </w:pPr>
      <w:r>
        <w:rPr>
          <w:i/>
          <w:color w:val="6A7B82"/>
          <w:sz w:val="18"/>
        </w:rPr>
        <w:t>Natureza deste relatório: análise técnica automatizada de apoio à instrução do processo, em gestão de licitações e contratos. Não é parecer jurídico e não substitui a análise jurídica prévia obrigatória (art. 53 da Lei 14.133/2021) nem a decisão da autoridade competente. Confira cada apontamento no documento e na fonte oficial antes de adotá-lo.</w:t>
      </w:r>
    </w:p>
    <w:p>
      <w:pPr>
        <w:pStyle w:val="Heading1"/>
      </w:pPr>
      <w:r>
        <w:t>1. Resumo executivo</w:t>
      </w:r>
    </w:p>
    <w:p>
      <w:pPr>
        <w:spacing w:after="120"/>
      </w:pPr>
      <w:r>
        <w:rPr>
          <w:b/>
          <w:i w:val="0"/>
          <w:color w:val="8A1230"/>
          <w:sz w:val="24"/>
        </w:rPr>
        <w:t>Há falhas graves que recomendam correção.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FCEEF1"/>
          </w:tcPr>
          <w:p>
            <w:pPr>
              <w:jc w:val="center"/>
            </w:pPr>
            <w:r/>
            <w:r>
              <w:rPr>
                <w:b/>
                <w:color w:val="8A1230"/>
                <w:sz w:val="36"/>
              </w:rPr>
              <w:t>2</w:t>
              <w:br/>
            </w:r>
            <w:r>
              <w:rPr>
                <w:sz w:val="18"/>
              </w:rPr>
              <w:t>Gravidade alta</w:t>
            </w:r>
          </w:p>
        </w:tc>
        <w:tc>
          <w:tcPr>
            <w:tcW w:type="dxa" w:w="2436"/>
            <w:shd w:val="clear" w:color="auto" w:fill="FDF1E3"/>
          </w:tcPr>
          <w:p>
            <w:pPr>
              <w:jc w:val="center"/>
            </w:pPr>
            <w:r/>
            <w:r>
              <w:rPr>
                <w:b/>
                <w:color w:val="8A4A12"/>
                <w:sz w:val="36"/>
              </w:rPr>
              <w:t>6</w:t>
              <w:br/>
            </w:r>
            <w:r>
              <w:rPr>
                <w:sz w:val="18"/>
              </w:rPr>
              <w:t>Gravidade média</w:t>
            </w:r>
          </w:p>
        </w:tc>
        <w:tc>
          <w:tcPr>
            <w:tcW w:type="dxa" w:w="2436"/>
            <w:shd w:val="clear" w:color="auto" w:fill="E9F3F5"/>
          </w:tcPr>
          <w:p>
            <w:pPr>
              <w:jc w:val="center"/>
            </w:pPr>
            <w:r/>
            <w:r>
              <w:rPr>
                <w:b/>
                <w:color w:val="0F6B7E"/>
                <w:sz w:val="36"/>
              </w:rPr>
              <w:t>0</w:t>
              <w:br/>
            </w:r>
            <w:r>
              <w:rPr>
                <w:sz w:val="18"/>
              </w:rPr>
              <w:t>Gravidade baixa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sz w:val="36"/>
              </w:rPr>
              <w:t>24</w:t>
              <w:br/>
            </w:r>
            <w:r>
              <w:rPr>
                <w:sz w:val="18"/>
              </w:rPr>
              <w:t>Itens verificados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i w:val="0"/>
        </w:rPr>
        <w:t>Edital analisado isoladamente, com seus anexos (TR, ETP e minutas), a partir da versão publicada no PNCP. O certame já foi homologado; os apontamentos servem para a gestão da ata em vigor (em especial a cláusula de adesão) e para os próximos editais. O edital está bem estruturado nos procedimentos gerais (impugnação, recursos, sanções, declarações, reajuste na minuta de contrato). As falhas se concentram no registro de preços: o julgamento por lote não tem a demonstração exigida pelo art. 82, § 1º, nem preço unitário máximo; a ata admite adesões que a lei veda para atas municipais; faltam regras obrigatórias do art. 82. O orçamento foi declarado sigiloso com justificativa genérica e, na prática, os valores unitários foram publicados no PNCP no mesmo dia. O prazo para propostas merece conferência, pela contagem do art. 183.</w:t>
      </w:r>
    </w:p>
    <w:p>
      <w:pPr>
        <w:pStyle w:val="Heading1"/>
      </w:pPr>
      <w:r>
        <w:t>2. Falhas identificadas</w:t>
      </w:r>
    </w:p>
    <w:p>
      <w:pPr>
        <w:pStyle w:val="Heading2"/>
      </w:pPr>
      <w:r>
        <w:rPr>
          <w:color w:val="0A1F2A"/>
        </w:rPr>
        <w:t xml:space="preserve">2.1. Registro de preços: julgamento por lote (grupo de itens)  </w:t>
      </w:r>
      <w:r>
        <w:rPr>
          <w:color w:val="8A1230"/>
          <w:sz w:val="20"/>
        </w:rPr>
        <w:t>[Alta · Não conforme]</w:t>
      </w:r>
    </w:p>
    <w:p>
      <w:pPr>
        <w:spacing w:after="60"/>
      </w:pPr>
      <w:r>
        <w:rPr>
          <w:b/>
          <w:color w:val="0A1F2A"/>
        </w:rPr>
        <w:t xml:space="preserve">Documento: </w:t>
      </w:r>
      <w:r>
        <w:t>Edital e minutas (ata e contrato), Edital, itens 1.3 (p. 3); TR, item 2.1 (p. 33); ETP, 'Justificativa para o parcelamento ou não da solução' (p. 59-60)</w:t>
      </w:r>
    </w:p>
    <w:p>
      <w:pPr>
        <w:spacing w:after="120"/>
        <w:ind w:left="454"/>
      </w:pPr>
      <w:r>
        <w:rPr>
          <w:b w:val="0"/>
          <w:i/>
          <w:color w:val="6A7B82"/>
        </w:rPr>
        <w:t>“Dessa forma, conclui-se que o parcelamento da execução contratual é a medida mais adequada ao interesse público […] diante disso, os serviços deveram ser agrupados em lotes de acordo com a demanda do evento em questão.”</w:t>
      </w:r>
    </w:p>
    <w:p>
      <w:pPr>
        <w:spacing w:after="60"/>
      </w:pPr>
      <w:r>
        <w:rPr>
          <w:b/>
          <w:color w:val="0A1F2A"/>
        </w:rPr>
        <w:t xml:space="preserve">O que está em desacordo: </w:t>
      </w:r>
      <w:r>
        <w:t>Os 82 itens foram agrupados em 7 lotes (um por evento) e julgados por menor preço por lote, em registro de preços. O ETP justifica o 'parcelamento da execução' — isto é, a contratação sob demanda ao longo do ano —, mas não demonstra por que cada item (portal, balões, cenários, montagem) não poderia ser adjudicado isoladamente, nem a vantagem técnica e econômica do agrupamento. O edital também não indica preço unitário máximo: o orçamento é sigiloso e o TR traz 'VALOR TOTAL ESTIMADO R$ XXXX'.</w:t>
      </w:r>
    </w:p>
    <w:p>
      <w:pPr>
        <w:spacing w:after="60"/>
      </w:pPr>
      <w:r>
        <w:rPr>
          <w:b/>
          <w:color w:val="0A1F2A"/>
        </w:rPr>
        <w:t xml:space="preserve">Fundamento legal: </w:t>
      </w:r>
      <w:r>
        <w:t>art. 82, § 1º, da Lei 14.133/2021; art. 82, § 2º, da Lei 14.133/2021.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82, § 1º, da Lei 14.133/2021: “O critério de julgamento de menor preço por grupo de itens somente poderá ser adotado quando for demonstrada a inviabilidade de se promover a adjudicação por item e for evidenciada a sua vantagem técnica e econômica, e o critério de aceitabilidade de preços unitários máximos deverá ser indicado no edital.”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82, § 2º, da Lei 14.133/2021: “Na hipótese de que trata o § 1º deste artigo, observados os parâmetros estabelecidos nos §§ 1º, 2º e 3º do art. 23 desta Lei, a contratação posterior de item específico constante de grupo de itens exigirá prévia pesquisa de mercado e demonstração de sua vantagem para o órgão ou entidade.”</w:t>
      </w:r>
    </w:p>
    <w:p>
      <w:pPr>
        <w:spacing w:after="60"/>
      </w:pPr>
      <w:r>
        <w:rPr>
          <w:b/>
          <w:color w:val="0A1F2A"/>
        </w:rPr>
        <w:t xml:space="preserve">Por que está errado: </w:t>
      </w:r>
      <w:r>
        <w:t>Em registro de preços, o julgamento por grupo de itens é exceção: só pode ser adotado com demonstração da inviabilidade da adjudicação por item e da vantagem técnica e econômica, e o edital precisa indicar o critério de aceitabilidade dos preços unitários máximos (art. 82, § 1º). Justificar a execução parcelada (pedidos ao longo do ano) não responde a essa exigência, que trata da divisão do objeto entre fornecedores.</w:t>
      </w:r>
    </w:p>
    <w:p>
      <w:pPr>
        <w:spacing w:after="60"/>
      </w:pPr>
      <w:r>
        <w:rPr>
          <w:b/>
          <w:color w:val="0A1F2A"/>
        </w:rPr>
        <w:t xml:space="preserve">Risco de manter: </w:t>
      </w:r>
      <w:r>
        <w:rPr>
          <w:color w:val="8A1230"/>
        </w:rPr>
        <w:t>Agrupamento sem a demonstração exigida restringe a competição (afasta quem fornece só parte dos itens) e permite registrar itens individualmente caros dentro de um lote barato no total (jogo de planilha); sem preço unitário máximo, não há como recusar itens com sobrepreço.</w:t>
      </w:r>
    </w:p>
    <w:p>
      <w:pPr>
        <w:spacing w:after="60"/>
      </w:pPr>
      <w:r>
        <w:rPr>
          <w:b/>
          <w:color w:val="0A1F2A"/>
        </w:rPr>
        <w:t xml:space="preserve">Como corrigir: </w:t>
      </w:r>
      <w:r>
        <w:t>Demonstre no ETP por que cada item não pode ser licitado isoladamente e qual a vantagem do lote; indique no edital o preço unitário máximo aceitável de cada item (ou o critério para aferi-lo).</w:t>
      </w:r>
    </w:p>
    <w:p>
      <w:pPr>
        <w:spacing w:after="120"/>
        <w:ind w:left="454"/>
      </w:pPr>
      <w:r>
        <w:rPr>
          <w:b w:val="0"/>
          <w:i w:val="0"/>
          <w:color w:val="0A7A50"/>
        </w:rPr>
        <w:t>Redação sugerida: Incluir no ETP tópico próprio demonstrando, item a item, a inviabilidade técnica da adjudicação isolada e a vantagem econômica do lote; e no edital: 'Serão desclassificadas as propostas cujo preço unitário de qualquer item supere o preço unitário máximo aceitável, informado [no Anexo X / aos órgãos de controle], ainda que o valor global do lote seja inferior ao estimado.'</w:t>
      </w:r>
    </w:p>
    <w:p>
      <w:pPr>
        <w:spacing w:after="40"/>
      </w:pPr>
      <w:r>
        <w:rPr>
          <w:b/>
          <w:color w:val="0A1F2A"/>
        </w:rPr>
        <w:t xml:space="preserve">Jurisprudência na Biblioteca Licitacon: </w:t>
      </w:r>
    </w:p>
    <w:p>
      <w:pPr>
        <w:pStyle w:val="ListBullet"/>
        <w:spacing w:after="40"/>
      </w:pPr>
      <w:r>
        <w:rPr>
          <w:b/>
        </w:rPr>
        <w:t xml:space="preserve">TCU · Acórdão 1347/2018-Plenário (2018-06-13): </w:t>
      </w:r>
      <w:r>
        <w:t xml:space="preserve">Nas licitações para registro de preços, a modelagem de aquisição por preço global de grupo de itens é medida excepcional que precisa ser devidamente justificada, a… </w:t>
      </w:r>
      <w:hyperlink r:id="rId9">
        <w:r>
          <w:rPr>
            <w:color w:val="0F6B7E"/>
            <w:u w:val="single"/>
          </w:rPr>
          <w:t>abrir na fonte oficial</w:t>
        </w:r>
      </w:hyperlink>
    </w:p>
    <w:p>
      <w:pPr>
        <w:pStyle w:val="ListBullet"/>
        <w:spacing w:after="40"/>
      </w:pPr>
      <w:r>
        <w:rPr>
          <w:b/>
        </w:rPr>
        <w:t xml:space="preserve">TCU · Acórdão 1347/2018-Plenário (2018-06-13): </w:t>
      </w:r>
      <w:r>
        <w:t xml:space="preserve">No sistema de registro de preços com critério de adjudicação pelo menor preço global por grupo (lote) de itens, não é admissível aquisição junto a empresa que… </w:t>
      </w:r>
      <w:hyperlink r:id="rId10">
        <w:r>
          <w:rPr>
            <w:color w:val="0F6B7E"/>
            <w:u w:val="single"/>
          </w:rPr>
          <w:t>abrir na fonte oficial</w:t>
        </w:r>
      </w:hyperlink>
    </w:p>
    <w:p>
      <w:pPr>
        <w:pStyle w:val="Heading2"/>
      </w:pPr>
      <w:r>
        <w:rPr>
          <w:color w:val="0A1F2A"/>
        </w:rPr>
        <w:t xml:space="preserve">2.2. Prazo mínimo para apresentação de propostas  </w:t>
      </w:r>
      <w:r>
        <w:rPr>
          <w:color w:val="8A1230"/>
          <w:sz w:val="20"/>
        </w:rPr>
        <w:t>[Alta · Parcialmente conforme]</w:t>
      </w:r>
    </w:p>
    <w:p>
      <w:pPr>
        <w:spacing w:after="60"/>
      </w:pPr>
      <w:r>
        <w:rPr>
          <w:b/>
          <w:color w:val="0A1F2A"/>
        </w:rPr>
        <w:t xml:space="preserve">Documento: </w:t>
      </w:r>
      <w:r>
        <w:t>Edital e minutas (ata e contrato), Edital, capa e preâmbulo (p. 1-2); data de divulgação no PNCP: 08/05/2026</w:t>
      </w:r>
    </w:p>
    <w:p>
      <w:pPr>
        <w:spacing w:after="120"/>
        <w:ind w:left="454"/>
      </w:pPr>
      <w:r>
        <w:rPr>
          <w:b w:val="0"/>
          <w:i/>
          <w:color w:val="6A7B82"/>
        </w:rPr>
        <w:t>“PRAZO FINAL PARA RECEBIMENTO DE PROPOSTAS 09:30 (NOVE E TRINTA HORAS) DO DIA 22/05/2026”</w:t>
      </w:r>
    </w:p>
    <w:p>
      <w:pPr>
        <w:spacing w:after="60"/>
      </w:pPr>
      <w:r>
        <w:rPr>
          <w:b/>
          <w:color w:val="0A1F2A"/>
        </w:rPr>
        <w:t xml:space="preserve">O que está em desacordo: </w:t>
      </w:r>
      <w:r>
        <w:t>Para serviços comuns com menor preço, o prazo mínimo é de 10 dias úteis (art. 55, II, 'a'). O edital foi divulgado no PNCP em 08/05/2026 (sexta-feira). Pelo art. 183, o dia do começo é o primeiro dia útil seguinte à disponibilização na internet (11/05) e é excluído da contagem; assim, 22/05 é o 9º dia útil, e o recebimento das propostas se encerra às 09h30 desse dia. Se não houve divulgação oficial anterior, o prazo mínimo não foi atendido; a sessão de lances, em 25/05, coincide com o 10º dia útil.</w:t>
      </w:r>
    </w:p>
    <w:p>
      <w:pPr>
        <w:spacing w:after="60"/>
      </w:pPr>
      <w:r>
        <w:rPr>
          <w:b/>
          <w:color w:val="0A1F2A"/>
        </w:rPr>
        <w:t xml:space="preserve">Fundamento legal: </w:t>
      </w:r>
      <w:r>
        <w:t>art. 55, da Lei 14.133/2021; art. 183, da Lei 14.133/2021; art. 183, § 1º, inciso I, da Lei 14.133/2021.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55, da Lei 14.133/2021: “Os prazos mínimos para apresentação de propostas e lances, contados a partir da data de divulgação do edital de licitação, são de:”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183, da Lei 14.133/2021: “Os prazos previstos nesta Lei serão contados com exclusão do dia do começo e inclusão do dia do vencimento e observarão as seguintes disposições:”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183, § 1º, inciso I, da Lei 14.133/2021: “Salvo disposição em contrário, considera-se dia do começo do prazo: […] o primeiro dia útil seguinte ao da disponibilização da informação na internet;”</w:t>
      </w:r>
    </w:p>
    <w:p>
      <w:pPr>
        <w:spacing w:after="60"/>
      </w:pPr>
      <w:r>
        <w:rPr>
          <w:b/>
          <w:color w:val="0A1F2A"/>
        </w:rPr>
        <w:t xml:space="preserve">Por que está errado: </w:t>
      </w:r>
      <w:r>
        <w:t>O art. 55 fixa prazos mínimos para apresentação de propostas contados da divulgação do edital, e o art. 183 define a contagem: exclui-se o dia do começo, que é o primeiro dia útil seguinte ao da disponibilização da informação na internet.</w:t>
      </w:r>
    </w:p>
    <w:p>
      <w:pPr>
        <w:spacing w:after="60"/>
      </w:pPr>
      <w:r>
        <w:rPr>
          <w:b/>
          <w:color w:val="0A1F2A"/>
        </w:rPr>
        <w:t xml:space="preserve">Risco de manter: </w:t>
      </w:r>
      <w:r>
        <w:rPr>
          <w:color w:val="8A1230"/>
        </w:rPr>
        <w:t>Prazo inferior ao mínimo legal é falha que pode ser questionada. No Acórdão 2921/2026-Plenário, o TCU tratou como falha o encerramento do recebimento antes do fim do prazo contado do primeiro dia útil seguinte à divulgação no PNCP, mas não anulou o certame porque houve competição efetiva e não se demonstrou prejuízo. Confira se houve divulgação oficial antes de 08/05/2026 e se houve feriado local no período.</w:t>
      </w:r>
    </w:p>
    <w:p>
      <w:pPr>
        <w:spacing w:after="60"/>
      </w:pPr>
      <w:r>
        <w:rPr>
          <w:b/>
          <w:color w:val="0A1F2A"/>
        </w:rPr>
        <w:t xml:space="preserve">Como corrigir: </w:t>
      </w:r>
      <w:r>
        <w:t>Conte o prazo pelo art. 183 a partir da divulgação no PNCP e fixe o fim do recebimento de propostas, no mínimo, no último dia do prazo — de preferência coincidindo com a abertura da sessão.</w:t>
      </w:r>
    </w:p>
    <w:p>
      <w:pPr>
        <w:spacing w:after="40"/>
      </w:pPr>
      <w:r>
        <w:rPr>
          <w:b/>
          <w:color w:val="0A1F2A"/>
        </w:rPr>
        <w:t xml:space="preserve">Jurisprudência na Biblioteca Licitacon: </w:t>
      </w:r>
    </w:p>
    <w:p>
      <w:pPr>
        <w:pStyle w:val="ListBullet"/>
        <w:spacing w:after="40"/>
      </w:pPr>
      <w:r>
        <w:rPr>
          <w:b/>
        </w:rPr>
        <w:t xml:space="preserve">TCU · Acórdão 2921/2026-Plenário – TC 021.316/2026-0 (2026-10-21): </w:t>
      </w:r>
      <w:r>
        <w:t xml:space="preserve">Prazo mínimo de propostas conta do primeiro dia útil após a divulgação do edital no PNCP; encerrá-lo antes é falha, sem anulação se houve competição e não há prejuízo </w:t>
      </w:r>
      <w:hyperlink r:id="rId11">
        <w:r>
          <w:rPr>
            <w:color w:val="0F6B7E"/>
            <w:u w:val="single"/>
          </w:rPr>
          <w:t>abrir na fonte oficial</w:t>
        </w:r>
      </w:hyperlink>
    </w:p>
    <w:p>
      <w:pPr>
        <w:pStyle w:val="Heading2"/>
      </w:pPr>
      <w:r>
        <w:rPr>
          <w:color w:val="0A1F2A"/>
        </w:rPr>
        <w:t xml:space="preserve">2.3. Orçamento sigiloso motivado  </w:t>
      </w:r>
      <w:r>
        <w:rPr>
          <w:color w:val="8A4A12"/>
          <w:sz w:val="20"/>
        </w:rPr>
        <w:t>[Média · Não conforme]</w:t>
      </w:r>
    </w:p>
    <w:p>
      <w:pPr>
        <w:spacing w:after="60"/>
      </w:pPr>
      <w:r>
        <w:rPr>
          <w:b/>
          <w:color w:val="0A1F2A"/>
        </w:rPr>
        <w:t xml:space="preserve">Documento: </w:t>
      </w:r>
      <w:r>
        <w:t>Edital e minutas (ata e contrato), TR, item 15.1 (p. 41); ETP, 'Estimativa do valor da contratação' (p. 59); Edital, item 6.23 (p. 9); dados publicados no PNCP</w:t>
      </w:r>
    </w:p>
    <w:p>
      <w:pPr>
        <w:spacing w:after="120"/>
        <w:ind w:left="454"/>
      </w:pPr>
      <w:r>
        <w:rPr>
          <w:b w:val="0"/>
          <w:i/>
          <w:color w:val="6A7B82"/>
        </w:rPr>
        <w:t>“A escolha do valor sigiloso visa a maior economicidade na administração publica quanto às contratações.”</w:t>
      </w:r>
    </w:p>
    <w:p>
      <w:pPr>
        <w:spacing w:after="60"/>
      </w:pPr>
      <w:r>
        <w:rPr>
          <w:b/>
          <w:color w:val="0A1F2A"/>
        </w:rPr>
        <w:t xml:space="preserve">O que está em desacordo: </w:t>
      </w:r>
      <w:r>
        <w:t>A motivação do sigilo é genérica: repete o art. 24 e afirma economicidade, sem explicar por que, neste objeto, a divulgação do orçamento prejudicaria a disputa. Além disso, o sigilo não se manteve: no PNCP, a contratação foi publicada em 08/05/2026 com os valores unitários estimados dos 82 itens e a marcação 'orçamento sigiloso: não', somando R$ 4.292.956,02. A garantia de proposta exigida por lote corresponde a exatamente 0,15% desse valor (R$ 6.439,38), o que também permite deduzir o orçamento de cada lote.</w:t>
      </w:r>
    </w:p>
    <w:p>
      <w:pPr>
        <w:spacing w:after="60"/>
      </w:pPr>
      <w:r>
        <w:rPr>
          <w:b/>
          <w:color w:val="0A1F2A"/>
        </w:rPr>
        <w:t xml:space="preserve">Fundamento legal: </w:t>
      </w:r>
      <w:r>
        <w:t>art. 24, da Lei 14.133/2021; art. 18, inciso XI, da Lei 14.133/2021.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24, da Lei 14.133/2021: “Desde que justificado, o orçamento estimado da contratação poderá ter caráter sigiloso, sem prejuízo da divulgação do detalhamento dos quantitativos e das demais informações necessárias para a elaboração das propostas, e, nesse caso:”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18, inciso XI, da Lei 14.133/2021: “A fase preparatória do processo licitatório é caracterizada pelo planejamento e deve compatibilizar-se com o plano de contratações anual de que trata o inciso VII do caput do art. 12 desta Lei, sempre que elaborado, e com as leis orçamentárias, bem como abordar todas as considerações técnicas, mercadológicas e de gestão que podem interferir na contratação, compreendidos: […] a motivação sobre o momento da divulgação do orçamento da licitação, observado o art. 24 desta Lei.”</w:t>
      </w:r>
    </w:p>
    <w:p>
      <w:pPr>
        <w:spacing w:after="60"/>
      </w:pPr>
      <w:r>
        <w:rPr>
          <w:b/>
          <w:color w:val="0A1F2A"/>
        </w:rPr>
        <w:t xml:space="preserve">Por que está errado: </w:t>
      </w:r>
      <w:r>
        <w:t>O sigilo do orçamento depende de justificativa no processo e da motivação sobre o momento da divulgação (art. 24 e art. 18, XI). Declarar sigilo e, ao mesmo tempo, publicar os valores no portal oficial tira o efeito pretendido e dá informação desigual aos licitantes: quem consultou o PNCP conhecia o orçamento; quem leu só o edital, não.</w:t>
      </w:r>
    </w:p>
    <w:p>
      <w:pPr>
        <w:spacing w:after="60"/>
      </w:pPr>
      <w:r>
        <w:rPr>
          <w:b/>
          <w:color w:val="0A1F2A"/>
        </w:rPr>
        <w:t xml:space="preserve">Risco de manter: </w:t>
      </w:r>
      <w:r>
        <w:rPr>
          <w:color w:val="8A4A12"/>
        </w:rPr>
        <w:t>Questionamento por quebra de isonomia entre licitantes, perda do efeito estratégico do sigilo e fragilidade da motivação diante do controle externo.</w:t>
      </w:r>
    </w:p>
    <w:p>
      <w:pPr>
        <w:spacing w:after="60"/>
      </w:pPr>
      <w:r>
        <w:rPr>
          <w:b/>
          <w:color w:val="0A1F2A"/>
        </w:rPr>
        <w:t xml:space="preserve">Como corrigir: </w:t>
      </w:r>
      <w:r>
        <w:t>Escolha um caminho e seja coerente: (a) orçamento público, divulgado no edital e no PNCP; ou (b) orçamento sigiloso, com justificativa específica para o objeto, cadastrado como sigiloso no PNCP e sem parâmetros que permitam deduzi-lo (como garantia proporcional ao valor estimado).</w:t>
      </w:r>
    </w:p>
    <w:p>
      <w:pPr>
        <w:spacing w:after="40"/>
      </w:pPr>
      <w:r>
        <w:rPr>
          <w:b/>
          <w:color w:val="0A1F2A"/>
        </w:rPr>
        <w:t xml:space="preserve">Jurisprudência na Biblioteca Licitacon: </w:t>
      </w:r>
    </w:p>
    <w:p>
      <w:pPr>
        <w:pStyle w:val="ListBullet"/>
        <w:spacing w:after="40"/>
      </w:pPr>
      <w:r>
        <w:rPr>
          <w:b/>
        </w:rPr>
        <w:t xml:space="preserve">TCU · Acórdão 1635/2026-Plenário (2026-06-24): </w:t>
      </w:r>
      <w:r>
        <w:t xml:space="preserve">É irregular a utilização de orçamento sigiloso (art. 24 da Lei 14.133/2021) sem justificativa adequada que indique a vantajosidade para o procedimento de contratação </w:t>
      </w:r>
      <w:hyperlink r:id="rId12">
        <w:r>
          <w:rPr>
            <w:color w:val="0F6B7E"/>
            <w:u w:val="single"/>
          </w:rPr>
          <w:t>abrir na fonte oficial</w:t>
        </w:r>
      </w:hyperlink>
    </w:p>
    <w:p>
      <w:pPr>
        <w:pStyle w:val="ListBullet"/>
        <w:spacing w:after="40"/>
      </w:pPr>
      <w:r>
        <w:rPr>
          <w:b/>
        </w:rPr>
        <w:t xml:space="preserve">TCU · Acórdão 2190/2024-Plenário (2024-10-16): </w:t>
      </w:r>
      <w:r>
        <w:t xml:space="preserve">Nas licitações regidas pela Lei 14.133/2021, deve ser permitida a abertura do sigilo do custo estimado da contratação após a fase de lances, quando as propostas… </w:t>
      </w:r>
      <w:hyperlink r:id="rId13">
        <w:r>
          <w:rPr>
            <w:color w:val="0F6B7E"/>
            <w:u w:val="single"/>
          </w:rPr>
          <w:t>abrir na fonte oficial</w:t>
        </w:r>
      </w:hyperlink>
    </w:p>
    <w:p>
      <w:pPr>
        <w:pStyle w:val="Heading2"/>
      </w:pPr>
      <w:r>
        <w:rPr>
          <w:color w:val="0A1F2A"/>
        </w:rPr>
        <w:t xml:space="preserve">2.4. Registro de preços: quem pode aderir à ata  </w:t>
      </w:r>
      <w:r>
        <w:rPr>
          <w:color w:val="8A4A12"/>
          <w:sz w:val="20"/>
        </w:rPr>
        <w:t>[Média · Não conforme]</w:t>
      </w:r>
    </w:p>
    <w:p>
      <w:pPr>
        <w:spacing w:after="60"/>
      </w:pPr>
      <w:r>
        <w:rPr>
          <w:b/>
          <w:color w:val="0A1F2A"/>
        </w:rPr>
        <w:t xml:space="preserve">Documento: </w:t>
      </w:r>
      <w:r>
        <w:t>Edital e minutas (ata e contrato), Minuta da Ata de Registro de Preços, item 4.1 (p. 64)</w:t>
      </w:r>
    </w:p>
    <w:p>
      <w:pPr>
        <w:spacing w:after="120"/>
        <w:ind w:left="454"/>
      </w:pPr>
      <w:r>
        <w:rPr>
          <w:b w:val="0"/>
          <w:i/>
          <w:color w:val="6A7B82"/>
        </w:rPr>
        <w:t>“Durante a vigência da ata, os órgãos e as entidades da Administração Pública federal, estadual, distrital e municipal poderão aderir à ata de registro de preços na condição de não participantes.”</w:t>
      </w:r>
    </w:p>
    <w:p>
      <w:pPr>
        <w:spacing w:after="60"/>
      </w:pPr>
      <w:r>
        <w:rPr>
          <w:b/>
          <w:color w:val="0A1F2A"/>
        </w:rPr>
        <w:t xml:space="preserve">O que está em desacordo: </w:t>
      </w:r>
      <w:r>
        <w:t>A ata é gerenciada por órgão municipal, mas admite adesão de órgãos federais, estaduais e distritais.</w:t>
      </w:r>
    </w:p>
    <w:p>
      <w:pPr>
        <w:spacing w:after="60"/>
      </w:pPr>
      <w:r>
        <w:rPr>
          <w:b/>
          <w:color w:val="0A1F2A"/>
        </w:rPr>
        <w:t xml:space="preserve">Fundamento legal: </w:t>
      </w:r>
      <w:r>
        <w:t>art. 86, § 3º, da Lei 14.133/2021; art. 86, § 3º, inciso II, da Lei 14.133/2021; art. 86, § 8º, da Lei 14.133/2021; art. 86, § 4º, da Lei 14.133/2021; art. 86, § 5º, da Lei 14.133/2021.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86, § 3º, da Lei 14.133/2021: “A faculdade de aderir à ata de registro de preços na condição de não participante poderá ser exercida:”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86, § 3º, inciso II, da Lei 14.133/2021: “A faculdade de aderir à ata de registro de preços na condição de não participante poderá ser exercida: […] por órgãos e entidades da Administração Pública municipal, relativamente a ata de registro de preços de órgão ou entidade gerenciadora municipal, desde que o sistema de registro de preços tenha sido formalizado mediante licitação.”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86, § 8º, da Lei 14.133/2021: “Será vedada aos órgãos e entidades da Administração Pública federal a adesão à ata de registro de preços gerenciada por órgão ou entidade estadual, distrital ou municipal.”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86, § 4º, da Lei 14.133/2021: “As aquisições ou as contratações adicionais a que se refere o § 2º deste artigo não poderão exceder, por órgão ou entidade, a 50% (cinquenta por cento) dos quantitativos dos itens do instrumento convocatório registrados na ata de registro de preços para o órgão gerenciador e para os órgãos participantes.”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86, § 5º, da Lei 14.133/2021: “O quantitativo decorrente das adesões à ata de registro de preços a que se refere o § 2º deste artigo não poderá exceder, na totalidade, ao dobro do quantitativo de cada item registrado na ata de registro de preços para o órgão gerenciador e órgãos participantes, independentemente do número de órgãos não participantes que aderirem.”</w:t>
      </w:r>
    </w:p>
    <w:p>
      <w:pPr>
        <w:spacing w:after="60"/>
      </w:pPr>
      <w:r>
        <w:rPr>
          <w:b/>
          <w:color w:val="0A1F2A"/>
        </w:rPr>
        <w:t xml:space="preserve">Por que está errado: </w:t>
      </w:r>
      <w:r>
        <w:t>Ata de gerenciador municipal só admite adesão de órgãos e entidades municipais, e desde que o registro tenha sido formalizado por licitação (art. 86, § 3º, II). Órgãos federais estão expressamente proibidos de aderir a atas municipais (art. 86, § 8º).</w:t>
      </w:r>
    </w:p>
    <w:p>
      <w:pPr>
        <w:spacing w:after="60"/>
      </w:pPr>
      <w:r>
        <w:rPr>
          <w:b/>
          <w:color w:val="0A1F2A"/>
        </w:rPr>
        <w:t xml:space="preserve">Risco de manter: </w:t>
      </w:r>
      <w:r>
        <w:rPr>
          <w:color w:val="8A4A12"/>
        </w:rPr>
        <w:t>Como a ata está vigente, a cláusula pode induzir órgãos de outras esferas a aderirem irregularmente, com risco de nulidade das contratações decorrentes e de responsabilização de quem autorizar a adesão.</w:t>
      </w:r>
    </w:p>
    <w:p>
      <w:pPr>
        <w:spacing w:after="60"/>
      </w:pPr>
      <w:r>
        <w:rPr>
          <w:b/>
          <w:color w:val="0A1F2A"/>
        </w:rPr>
        <w:t xml:space="preserve">Como corrigir: </w:t>
      </w:r>
      <w:r>
        <w:t>Restrinja a adesão aos órgãos e entidades municipais (art. 86, § 3º, II) e mantenha os limites dos §§ 4º e 5º.</w:t>
      </w:r>
    </w:p>
    <w:p>
      <w:pPr>
        <w:spacing w:after="120"/>
        <w:ind w:left="454"/>
      </w:pPr>
      <w:r>
        <w:rPr>
          <w:b w:val="0"/>
          <w:i w:val="0"/>
          <w:color w:val="0A7A50"/>
        </w:rPr>
        <w:t>Redação sugerida: 4.1. Durante a vigência da ata, os órgãos e as entidades da Administração Pública municipal poderão aderir à ata de registro de preços na condição de não participantes, observados os requisitos e limites do art. 86 da Lei nº 14.133/2021.</w:t>
      </w:r>
    </w:p>
    <w:p>
      <w:pPr>
        <w:spacing w:after="40"/>
      </w:pPr>
      <w:r>
        <w:rPr>
          <w:b/>
          <w:color w:val="0A1F2A"/>
        </w:rPr>
        <w:t xml:space="preserve">Jurisprudência na Biblioteca Licitacon: </w:t>
      </w:r>
    </w:p>
    <w:p>
      <w:pPr>
        <w:pStyle w:val="ListBullet"/>
        <w:spacing w:after="40"/>
      </w:pPr>
      <w:r>
        <w:rPr>
          <w:b/>
        </w:rPr>
        <w:t xml:space="preserve">TCU · Acórdão 1851/2022-Plenário (2022-08-10): </w:t>
      </w:r>
      <w:r>
        <w:t xml:space="preserve">Não é juridicamente possível o aproveitamento, por órgão federal, de contrato já firmado por órgão estadual ou municipal </w:t>
      </w:r>
      <w:hyperlink r:id="rId14">
        <w:r>
          <w:rPr>
            <w:color w:val="0F6B7E"/>
            <w:u w:val="single"/>
          </w:rPr>
          <w:t>abrir na fonte oficial</w:t>
        </w:r>
      </w:hyperlink>
    </w:p>
    <w:p>
      <w:pPr>
        <w:pStyle w:val="ListBullet"/>
        <w:spacing w:after="40"/>
      </w:pPr>
      <w:r>
        <w:rPr>
          <w:b/>
        </w:rPr>
        <w:t xml:space="preserve">TCE-RJ · Acórdão 49600/2025 – Processo 228.123-0/2025 (2025-10-06): </w:t>
      </w:r>
      <w:r>
        <w:t xml:space="preserve">A adesão à ata de registro de preços por ente não participante da licitação originária, ou “adesão carona”, está prevista expressamente nos arts </w:t>
      </w:r>
      <w:hyperlink r:id="rId15">
        <w:r>
          <w:rPr>
            <w:color w:val="0F6B7E"/>
            <w:u w:val="single"/>
          </w:rPr>
          <w:t>abrir na fonte oficial</w:t>
        </w:r>
      </w:hyperlink>
    </w:p>
    <w:p>
      <w:pPr>
        <w:pStyle w:val="Heading2"/>
      </w:pPr>
      <w:r>
        <w:rPr>
          <w:color w:val="0A1F2A"/>
        </w:rPr>
        <w:t xml:space="preserve">2.5. Registro de preços: regras obrigatórias do edital  </w:t>
      </w:r>
      <w:r>
        <w:rPr>
          <w:color w:val="8A4A12"/>
          <w:sz w:val="20"/>
        </w:rPr>
        <w:t>[Média · Parcialmente conforme]</w:t>
      </w:r>
    </w:p>
    <w:p>
      <w:pPr>
        <w:spacing w:after="60"/>
      </w:pPr>
      <w:r>
        <w:rPr>
          <w:b/>
          <w:color w:val="0A1F2A"/>
        </w:rPr>
        <w:t xml:space="preserve">Documento: </w:t>
      </w:r>
      <w:r>
        <w:t>Edital e minutas (ata e contrato), Edital e minuta da ata (p. 1-16 e 63-68)</w:t>
      </w:r>
    </w:p>
    <w:p>
      <w:pPr>
        <w:spacing w:after="60"/>
      </w:pPr>
      <w:r>
        <w:rPr>
          <w:b/>
          <w:color w:val="0A1F2A"/>
        </w:rPr>
        <w:t xml:space="preserve">O que está em desacordo: </w:t>
      </w:r>
      <w:r>
        <w:t>O edital trata das condições de alteração dos preços registrados (TR 15.2), do cadastro de reserva (edital, item 10) e do cancelamento (ata, item 8). Não foram localizadas as regras sobre: quantidade mínima a ser cotada (art. 82, II); possibilidade de cotar quantitativo inferior ao máximo (art. 82, IV); e vedação de o órgão participar de mais de uma ata com o mesmo objeto (art. 82, VIII).</w:t>
      </w:r>
    </w:p>
    <w:p>
      <w:pPr>
        <w:spacing w:after="60"/>
      </w:pPr>
      <w:r>
        <w:rPr>
          <w:b/>
          <w:color w:val="0A1F2A"/>
        </w:rPr>
        <w:t xml:space="preserve">Fundamento legal: </w:t>
      </w:r>
      <w:r>
        <w:t>art. 82, inciso II, da Lei 14.133/2021; art. 82, inciso IV, da Lei 14.133/2021; art. 82, inciso VI, da Lei 14.133/2021; art. 82, inciso VII, da Lei 14.133/2021; art. 82, inciso VIII, da Lei 14.133/2021; art. 82, inciso IX, da Lei 14.133/2021.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82, inciso II, da Lei 14.133/2021: “O edital de licitação para registro de preços observará as regras gerais desta Lei e deverá dispor sobre: […] a quantidade mínima a ser cotada de unidades de bens ou, no caso de serviços, de unidades de medida;”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82, inciso IV, da Lei 14.133/2021: “O edital de licitação para registro de preços observará as regras gerais desta Lei e deverá dispor sobre: […] a possibilidade de o licitante oferecer ou não proposta em quantitativo inferior ao máximo previsto no edital, obrigando-se nos limites dela;”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82, inciso VI, da Lei 14.133/2021: “O edital de licitação para registro de preços observará as regras gerais desta Lei e deverá dispor sobre: […] as condições para alteração de preços registrados;”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82, inciso VII, da Lei 14.133/2021: “O edital de licitação para registro de preços observará as regras gerais desta Lei e deverá dispor sobre: […] o registro de mais de um fornecedor ou prestador de serviço, desde que aceitem cotar o objeto em preço igual ao do licitante vencedor, assegurada a preferência de contratação de acordo com a ordem de classificação;”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82, inciso VIII, da Lei 14.133/2021: “O edital de licitação para registro de preços observará as regras gerais desta Lei e deverá dispor sobre: […] a vedação à participação do órgão ou entidade em mais de uma ata de registro de preços com o mesmo objeto no prazo de validade daquela de que já tiver participado, salvo na ocorrência de ata que tenha registrado quantitativo inferior ao máximo previsto no edital;”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82, inciso IX, da Lei 14.133/2021: “O edital de licitação para registro de preços observará as regras gerais desta Lei e deverá dispor sobre: […] as hipóteses de cancelamento da ata de registro de preços e suas consequências.”</w:t>
      </w:r>
    </w:p>
    <w:p>
      <w:pPr>
        <w:spacing w:after="60"/>
      </w:pPr>
      <w:r>
        <w:rPr>
          <w:b/>
          <w:color w:val="0A1F2A"/>
        </w:rPr>
        <w:t xml:space="preserve">Por que está errado: </w:t>
      </w:r>
      <w:r>
        <w:t>O edital dispõe sobre: quantidade mínima a ser cotada; possibilidade de cotar quantitativo inferior ao máximo; condições para alteração dos preços registrados; registro de mais de um fornecedor (cadastro de reserva); vedação de o órgão participar de mais de uma ata com o mesmo objeto; hipóteses de cancelamento da ata.</w:t>
      </w:r>
    </w:p>
    <w:p>
      <w:pPr>
        <w:spacing w:after="60"/>
      </w:pPr>
      <w:r>
        <w:rPr>
          <w:b/>
          <w:color w:val="0A1F2A"/>
        </w:rPr>
        <w:t xml:space="preserve">Risco de manter: </w:t>
      </w:r>
      <w:r>
        <w:rPr>
          <w:color w:val="8A4A12"/>
        </w:rPr>
        <w:t>A omissão de regras que a lei manda o edital prever gera insegurança na formação das propostas e na gestão da ata, e pode ser apontada em impugnação ou pelo controle.</w:t>
      </w:r>
    </w:p>
    <w:p>
      <w:pPr>
        <w:spacing w:after="60"/>
      </w:pPr>
      <w:r>
        <w:rPr>
          <w:b/>
          <w:color w:val="0A1F2A"/>
        </w:rPr>
        <w:t xml:space="preserve">Como corrigir: </w:t>
      </w:r>
      <w:r>
        <w:t>Inclua os três incisos faltantes no edital, ainda que para declarar a opção adotada (por exemplo: 'não será admitida proposta com quantitativo inferior ao máximo previsto').</w:t>
      </w:r>
    </w:p>
    <w:p>
      <w:pPr>
        <w:spacing w:after="40"/>
      </w:pPr>
      <w:r>
        <w:rPr>
          <w:b/>
          <w:color w:val="0A1F2A"/>
        </w:rPr>
        <w:t xml:space="preserve">Jurisprudência na Biblioteca Licitacon: </w:t>
      </w:r>
    </w:p>
    <w:p>
      <w:pPr>
        <w:pStyle w:val="ListBullet"/>
        <w:spacing w:after="40"/>
      </w:pPr>
      <w:r>
        <w:rPr>
          <w:b/>
        </w:rPr>
        <w:t xml:space="preserve">TCU · Acórdão 2272/2026-Plenário (2026-08-25): </w:t>
      </w:r>
      <w:r>
        <w:t xml:space="preserve">Diferença significativa entre os quantitativos mínimos e máximos previstos em licitação para registro de preços (art </w:t>
      </w:r>
      <w:hyperlink r:id="rId16">
        <w:r>
          <w:rPr>
            <w:color w:val="0F6B7E"/>
            <w:u w:val="single"/>
          </w:rPr>
          <w:t>abrir na fonte oficial</w:t>
        </w:r>
      </w:hyperlink>
    </w:p>
    <w:p>
      <w:pPr>
        <w:pStyle w:val="ListBullet"/>
        <w:spacing w:after="40"/>
      </w:pPr>
      <w:r>
        <w:rPr>
          <w:b/>
        </w:rPr>
        <w:t xml:space="preserve">TCU · Acórdão 1564/2025-Plenário (2025-07-16): </w:t>
      </w:r>
      <w:r>
        <w:t xml:space="preserve">Em licitação para registro de preços que permita cotação parcial (art </w:t>
      </w:r>
      <w:hyperlink r:id="rId17">
        <w:r>
          <w:rPr>
            <w:color w:val="0F6B7E"/>
            <w:u w:val="single"/>
          </w:rPr>
          <w:t>abrir na fonte oficial</w:t>
        </w:r>
      </w:hyperlink>
    </w:p>
    <w:p>
      <w:pPr>
        <w:pStyle w:val="Heading2"/>
      </w:pPr>
      <w:r>
        <w:rPr>
          <w:color w:val="0A1F2A"/>
        </w:rPr>
        <w:t xml:space="preserve">2.6. Registro de preços: quantidades e vigência da ata  </w:t>
      </w:r>
      <w:r>
        <w:rPr>
          <w:color w:val="8A4A12"/>
          <w:sz w:val="20"/>
        </w:rPr>
        <w:t>[Média · Parcialmente conforme]</w:t>
      </w:r>
    </w:p>
    <w:p>
      <w:pPr>
        <w:spacing w:after="60"/>
      </w:pPr>
      <w:r>
        <w:rPr>
          <w:b/>
          <w:color w:val="0A1F2A"/>
        </w:rPr>
        <w:t xml:space="preserve">Documento: </w:t>
      </w:r>
      <w:r>
        <w:t>Edital e minutas (ata e contrato), ETP, 'Descrição da necessidade' e 'Estimativa das quantidades' (p. 44 e 59); minuta da ata, item 5.1 (p. 64)</w:t>
      </w:r>
    </w:p>
    <w:p>
      <w:pPr>
        <w:spacing w:after="120"/>
        <w:ind w:left="454"/>
      </w:pPr>
      <w:r>
        <w:rPr>
          <w:b w:val="0"/>
          <w:i/>
          <w:color w:val="6A7B82"/>
        </w:rPr>
        <w:t>“permitindo contratações ao longo do período de 2026, 2017 e 2028 sem a necessidade de novas licitações”</w:t>
      </w:r>
    </w:p>
    <w:p>
      <w:pPr>
        <w:spacing w:after="60"/>
      </w:pPr>
      <w:r>
        <w:rPr>
          <w:b/>
          <w:color w:val="0A1F2A"/>
        </w:rPr>
        <w:t xml:space="preserve">O que está em desacordo: </w:t>
      </w:r>
      <w:r>
        <w:t>O ETP declara que as quantidades foram planejadas para 2026, 2027 e 2028 (com erro de digitação '2017'), enquanto a ata vale 1 ano, prorrogável por igual período (máximo de 2 anos). Todos os itens têm quantidade 3, sem memória de cálculo que relacione a estimativa ao número de edições de cada evento na vigência da ata ('As quantidades foram estimadas baseadas nas demandas utilizadas nos anos de exercício de 2021, a 2025').</w:t>
      </w:r>
    </w:p>
    <w:p>
      <w:pPr>
        <w:spacing w:after="60"/>
      </w:pPr>
      <w:r>
        <w:rPr>
          <w:b/>
          <w:color w:val="0A1F2A"/>
        </w:rPr>
        <w:t xml:space="preserve">Fundamento legal: </w:t>
      </w:r>
      <w:r>
        <w:t>art. 82, inciso I, da Lei 14.133/2021; art. 84, da Lei 14.133/2021; art. 18, § 1º, inciso IV, da Lei 14.133/2021.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82, inciso I, da Lei 14.133/2021: “O edital de licitação para registro de preços observará as regras gerais desta Lei e deverá dispor sobre: […] as especificidades da licitação e de seu objeto, inclusive a quantidade máxima de cada item que poderá ser adquirida;”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84, da Lei 14.133/2021: “O prazo de vigência da ata de registro de preços será de 1 (um) ano e poderá ser prorrogado, por igual período, desde que comprovado o preço vantajoso.”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18, § 1º, inciso IV, da Lei 14.133/2021: “O estudo técnico preliminar a que se refere o inciso I do caput deste artigo deverá evidenciar o problema a ser resolvido e a sua melhor solução, de modo a permitir a avaliação da viabilidade técnica e econômica da contratação, e conterá os seguintes elementos: […] estimativas das quantidades para a contratação, acompanhadas das memórias de cálculo e dos documentos que lhes dão suporte, que considerem interdependências com outras contratações, de modo a possibilitar economia de escala;”</w:t>
      </w:r>
    </w:p>
    <w:p>
      <w:pPr>
        <w:spacing w:after="60"/>
      </w:pPr>
      <w:r>
        <w:rPr>
          <w:b/>
          <w:color w:val="0A1F2A"/>
        </w:rPr>
        <w:t xml:space="preserve">Por que está errado: </w:t>
      </w:r>
      <w:r>
        <w:t>O edital fixa a quantidade máxima de cada item compatível com a vigência da ata (1 ano, prorrogável por igual período) e o planejamento não estima consumo para período maior que o da ata.</w:t>
      </w:r>
    </w:p>
    <w:p>
      <w:pPr>
        <w:spacing w:after="60"/>
      </w:pPr>
      <w:r>
        <w:rPr>
          <w:b/>
          <w:color w:val="0A1F2A"/>
        </w:rPr>
        <w:t xml:space="preserve">Risco de manter: </w:t>
      </w:r>
      <w:r>
        <w:rPr>
          <w:color w:val="8A4A12"/>
        </w:rPr>
        <w:t>Se as 3 unidades correspondem a três anos de eventos, o registro está superdimensionado para a vigência da ata — o que também amplia o limite das adesões, calculado sobre esse quantitativo.</w:t>
      </w:r>
    </w:p>
    <w:p>
      <w:pPr>
        <w:spacing w:after="60"/>
      </w:pPr>
      <w:r>
        <w:rPr>
          <w:b/>
          <w:color w:val="0A1F2A"/>
        </w:rPr>
        <w:t xml:space="preserve">Como corrigir: </w:t>
      </w:r>
      <w:r>
        <w:t>Dimensione a quantidade máxima para a vigência da ata, com memória de cálculo; planeje os anos seguintes em novo registro de preços.</w:t>
      </w:r>
    </w:p>
    <w:p>
      <w:pPr>
        <w:spacing w:after="40"/>
      </w:pPr>
      <w:r>
        <w:rPr>
          <w:b/>
          <w:color w:val="0A1F2A"/>
        </w:rPr>
        <w:t xml:space="preserve">Jurisprudência na Biblioteca Licitacon: </w:t>
      </w:r>
    </w:p>
    <w:p>
      <w:pPr>
        <w:pStyle w:val="ListBullet"/>
        <w:spacing w:after="40"/>
      </w:pPr>
      <w:r>
        <w:rPr>
          <w:b/>
        </w:rPr>
        <w:t xml:space="preserve">TCU · Acórdão 2910/2026-Plenário – TC 006.933/2025-4 (2026-10-21): </w:t>
      </w:r>
      <w:r>
        <w:t xml:space="preserve">Superestimar itens para comercializá-los na ata de registro de preços ('barriga de aluguel') é irregular </w:t>
      </w:r>
      <w:hyperlink r:id="rId18">
        <w:r>
          <w:rPr>
            <w:color w:val="0F6B7E"/>
            <w:u w:val="single"/>
          </w:rPr>
          <w:t>abrir na fonte oficial</w:t>
        </w:r>
      </w:hyperlink>
    </w:p>
    <w:p>
      <w:pPr>
        <w:pStyle w:val="ListBullet"/>
        <w:spacing w:after="40"/>
      </w:pPr>
      <w:r>
        <w:rPr>
          <w:b/>
        </w:rPr>
        <w:t xml:space="preserve">TCU · Acórdão 1387/2026-Plenário (2026-05-27): </w:t>
      </w:r>
      <w:r>
        <w:t xml:space="preserve">Em edital de registro de preços que não indique a estimativa dos quantitativos a serem contratados, é irregular a previsão de adesão de órgãos não participantes… </w:t>
      </w:r>
      <w:hyperlink r:id="rId19">
        <w:r>
          <w:rPr>
            <w:color w:val="0F6B7E"/>
            <w:u w:val="single"/>
          </w:rPr>
          <w:t>abrir na fonte oficial</w:t>
        </w:r>
      </w:hyperlink>
    </w:p>
    <w:p>
      <w:pPr>
        <w:pStyle w:val="Heading2"/>
      </w:pPr>
      <w:r>
        <w:rPr>
          <w:color w:val="0A1F2A"/>
        </w:rPr>
        <w:t xml:space="preserve">2.7. Coerência interna do edital e dos anexos  </w:t>
      </w:r>
      <w:r>
        <w:rPr>
          <w:color w:val="8A4A12"/>
          <w:sz w:val="20"/>
        </w:rPr>
        <w:t>[Média · Não conforme]</w:t>
      </w:r>
    </w:p>
    <w:p>
      <w:pPr>
        <w:spacing w:after="60"/>
      </w:pPr>
      <w:r>
        <w:rPr>
          <w:b/>
          <w:color w:val="0A1F2A"/>
        </w:rPr>
        <w:t xml:space="preserve">Documento: </w:t>
      </w:r>
      <w:r>
        <w:t>Edital e minutas (ata e contrato), Edital, itens 1.2 e 1.3 (p. 3), capa (p. 1-2) e item 4.8 (p. 5); TR, item 2.8 (p. 33); minuta do contrato, item 2.1.1 (p. 69)</w:t>
      </w:r>
    </w:p>
    <w:p>
      <w:pPr>
        <w:spacing w:after="120"/>
        <w:ind w:left="454"/>
      </w:pPr>
      <w:r>
        <w:rPr>
          <w:b w:val="0"/>
          <w:i/>
          <w:color w:val="6A7B82"/>
        </w:rPr>
        <w:t>“1.2. A licitação será dividida em ITENS, conforme tabela constante do Termo de Referência. 1.3. O critério de julgamento adotado será o menor preço POR LOTE”</w:t>
      </w:r>
    </w:p>
    <w:p>
      <w:pPr>
        <w:spacing w:after="60"/>
      </w:pPr>
      <w:r>
        <w:rPr>
          <w:b/>
          <w:color w:val="0A1F2A"/>
        </w:rPr>
        <w:t xml:space="preserve">O que está em desacordo: </w:t>
      </w:r>
      <w:r>
        <w:t>Três contradições: (1) o item 1.2 diz que a licitação é dividida em itens, e o item 1.3, que o julgamento é por lote; (2) o recebimento de propostas termina em 22/05 às 09h30, mas os itens 4.8 e 6.2 permitem retirar ou substituir propostas 'até a abertura da sessão pública', marcada para 25/05; (3) o TR e o ETP tratam o objeto como fornecimento continuado/serviços contínuos, mas a minuta do contrato prevê prorrogação automática da vigência quando o objeto não for concluído, regra própria de contratos por escopo (art. 111).</w:t>
      </w:r>
    </w:p>
    <w:p>
      <w:pPr>
        <w:spacing w:after="60"/>
      </w:pPr>
      <w:r>
        <w:rPr>
          <w:b/>
          <w:color w:val="0A1F2A"/>
        </w:rPr>
        <w:t xml:space="preserve">Fundamento legal: </w:t>
      </w:r>
      <w:r>
        <w:t>art. 25, da Lei 14.133/2021; art. 18, inciso IX, da Lei 14.133/2021.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25, da Lei 14.133/2021: “O edital deverá conter o objeto da licitação e as regras relativas à convocação, ao julgamento, à habilitação, aos recursos e às penalidades da licitação, à fiscalização e à gestão do contrato, à entrega do objeto e às condições de pagamento.”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18, inciso IX, da Lei 14.133/2021: “A fase preparatória do processo licitatório é caracterizada pelo planejamento e deve compatibilizar-se com o plano de contratações anual de que trata o inciso VII do caput do art. 12 desta Lei, sempre que elaborado, e com as leis orçamentárias, bem como abordar todas as considerações técnicas, mercadológicas e de gestão que podem interferir na contratação, compreendidos: […] a motivação circunstanciada das condições do edital, tais como justificativa de exigências de qualificação técnica, mediante indicação das parcelas de maior relevância técnica ou valor significativo do objeto, e de qualificação econômico-financeira, justificativa dos critérios de pontuação e julgamento das propostas técnicas, nas licitações com julgamento por melhor técnica ou técnica e preço, e justificativa das regras pertinentes à participação de empresas em consórcio;”</w:t>
      </w:r>
    </w:p>
    <w:p>
      <w:pPr>
        <w:spacing w:after="60"/>
      </w:pPr>
      <w:r>
        <w:rPr>
          <w:b/>
          <w:color w:val="0A1F2A"/>
        </w:rPr>
        <w:t xml:space="preserve">Por que está errado: </w:t>
      </w:r>
      <w:r>
        <w:t>Datas, critério de julgamento, forma de adjudicação e demais regras são os mesmos no corpo do edital, no termo de referência, no ETP e nas minutas, sem disposições contraditórias.</w:t>
      </w:r>
    </w:p>
    <w:p>
      <w:pPr>
        <w:spacing w:after="60"/>
      </w:pPr>
      <w:r>
        <w:rPr>
          <w:b/>
          <w:color w:val="0A1F2A"/>
        </w:rPr>
        <w:t xml:space="preserve">Risco de manter: </w:t>
      </w:r>
      <w:r>
        <w:rPr>
          <w:color w:val="8A4A12"/>
        </w:rPr>
        <w:t>Dúvida sobre a forma de adjudicação e sobre até quando a proposta pode ser alterada, com risco de impugnação e recurso; e cláusula de vigência aplicada a um tipo de contrato diferente do descrito no TR.</w:t>
      </w:r>
    </w:p>
    <w:p>
      <w:pPr>
        <w:spacing w:after="60"/>
      </w:pPr>
      <w:r>
        <w:rPr>
          <w:b/>
          <w:color w:val="0A1F2A"/>
        </w:rPr>
        <w:t xml:space="preserve">Como corrigir: </w:t>
      </w:r>
      <w:r>
        <w:t>Revise o edital e os anexos juntos antes da publicação, com uma tabela única de datas, critério de julgamento e forma de adjudicação.</w:t>
      </w:r>
    </w:p>
    <w:p>
      <w:pPr>
        <w:spacing w:after="40"/>
      </w:pPr>
      <w:r>
        <w:rPr>
          <w:b/>
          <w:color w:val="0A1F2A"/>
        </w:rPr>
        <w:t xml:space="preserve">Jurisprudência na Biblioteca Licitacon: </w:t>
      </w:r>
      <w:r>
        <w:t>nenhuma decisão sobre o tema localizada na Biblioteca até esta data.</w:t>
      </w:r>
    </w:p>
    <w:p>
      <w:pPr>
        <w:pStyle w:val="Heading2"/>
      </w:pPr>
      <w:r>
        <w:rPr>
          <w:color w:val="0A1F2A"/>
        </w:rPr>
        <w:t xml:space="preserve">2.8. Participação em consórcio  </w:t>
      </w:r>
      <w:r>
        <w:rPr>
          <w:color w:val="8A4A12"/>
          <w:sz w:val="20"/>
        </w:rPr>
        <w:t>[Média · Parcialmente conforme]</w:t>
      </w:r>
    </w:p>
    <w:p>
      <w:pPr>
        <w:spacing w:after="60"/>
      </w:pPr>
      <w:r>
        <w:rPr>
          <w:b/>
          <w:color w:val="0A1F2A"/>
        </w:rPr>
        <w:t xml:space="preserve">Documento: </w:t>
      </w:r>
      <w:r>
        <w:t>Edital e minutas (ata e contrato), TR, item 2.6 (p. 33); Edital, item 3.6.8.2 (p. 4)</w:t>
      </w:r>
    </w:p>
    <w:p>
      <w:pPr>
        <w:spacing w:after="120"/>
        <w:ind w:left="454"/>
      </w:pPr>
      <w:r>
        <w:rPr>
          <w:b w:val="0"/>
          <w:i/>
          <w:color w:val="6A7B82"/>
        </w:rPr>
        <w:t>“Nesta licitação não será admitida a possibilidade de Consórcio de empresas, para garantia de maior competitividade entre os participantes.”</w:t>
      </w:r>
    </w:p>
    <w:p>
      <w:pPr>
        <w:spacing w:after="60"/>
      </w:pPr>
      <w:r>
        <w:rPr>
          <w:b/>
          <w:color w:val="0A1F2A"/>
        </w:rPr>
        <w:t xml:space="preserve">O que está em desacordo: </w:t>
      </w:r>
      <w:r>
        <w:t>Há justificativa formal para vedar consórcios, mas ela é genérica e contraditória: a vedação reduz, e não amplia, as possibilidades de participação.</w:t>
      </w:r>
    </w:p>
    <w:p>
      <w:pPr>
        <w:spacing w:after="60"/>
      </w:pPr>
      <w:r>
        <w:rPr>
          <w:b/>
          <w:color w:val="0A1F2A"/>
        </w:rPr>
        <w:t xml:space="preserve">Fundamento legal: </w:t>
      </w:r>
      <w:r>
        <w:t>art. 15, da Lei 14.133/2021.</w:t>
      </w:r>
    </w:p>
    <w:p>
      <w:pPr>
        <w:spacing w:after="60"/>
        <w:ind w:left="454"/>
      </w:pPr>
      <w:r>
        <w:rPr>
          <w:b w:val="0"/>
          <w:i/>
          <w:color w:val="6A7B82"/>
          <w:sz w:val="18"/>
        </w:rPr>
        <w:t>Art. 15, da Lei 14.133/2021: “Salvo vedação devidamente justificada no processo licitatório, pessoa jurídica poderá participar de licitação em consórcio, observadas as seguintes normas:”</w:t>
      </w:r>
    </w:p>
    <w:p>
      <w:pPr>
        <w:spacing w:after="60"/>
      </w:pPr>
      <w:r>
        <w:rPr>
          <w:b/>
          <w:color w:val="0A1F2A"/>
        </w:rPr>
        <w:t xml:space="preserve">Por que está errado: </w:t>
      </w:r>
      <w:r>
        <w:t>Se o edital veda a participação de consórcios, a vedação está justificada no processo.</w:t>
      </w:r>
    </w:p>
    <w:p>
      <w:pPr>
        <w:spacing w:after="60"/>
      </w:pPr>
      <w:r>
        <w:rPr>
          <w:b/>
          <w:color w:val="0A1F2A"/>
        </w:rPr>
        <w:t xml:space="preserve">Risco de manter: </w:t>
      </w:r>
      <w:r>
        <w:rPr>
          <w:color w:val="8A4A12"/>
        </w:rPr>
        <w:t>Vedação sem motivação pode restringir a competição em objetos de maior porte ou complexidade.</w:t>
      </w:r>
    </w:p>
    <w:p>
      <w:pPr>
        <w:spacing w:after="60"/>
      </w:pPr>
      <w:r>
        <w:rPr>
          <w:b/>
          <w:color w:val="0A1F2A"/>
        </w:rPr>
        <w:t xml:space="preserve">Como corrigir: </w:t>
      </w:r>
      <w:r>
        <w:t>Fundamente a vedação nas características do objeto (por exemplo, baixa complexidade e mercado com muitos fornecedores aptos a executar cada lote isoladamente), ou admita consórcios com as regras do art. 15.</w:t>
      </w:r>
    </w:p>
    <w:p>
      <w:pPr>
        <w:spacing w:after="40"/>
      </w:pPr>
      <w:r>
        <w:rPr>
          <w:b/>
          <w:color w:val="0A1F2A"/>
        </w:rPr>
        <w:t xml:space="preserve">Jurisprudência na Biblioteca Licitacon: </w:t>
      </w:r>
    </w:p>
    <w:p>
      <w:pPr>
        <w:pStyle w:val="ListBullet"/>
        <w:spacing w:after="40"/>
      </w:pPr>
      <w:r>
        <w:rPr>
          <w:b/>
        </w:rPr>
        <w:t xml:space="preserve">TCU · Acórdão 25/2026-Plenário (2026-01-21): </w:t>
      </w:r>
      <w:r>
        <w:t xml:space="preserve">A vedação à participação de empresas em consórcio sem a apresentação, nos autos do processo licitatório, de justificativa técnica que demonstre a incompatibilidade… </w:t>
      </w:r>
      <w:hyperlink r:id="rId20">
        <w:r>
          <w:rPr>
            <w:color w:val="0F6B7E"/>
            <w:u w:val="single"/>
          </w:rPr>
          <w:t>abrir na fonte oficial</w:t>
        </w:r>
      </w:hyperlink>
    </w:p>
    <w:p>
      <w:pPr>
        <w:pStyle w:val="ListBullet"/>
        <w:spacing w:after="40"/>
      </w:pPr>
      <w:r>
        <w:rPr>
          <w:b/>
        </w:rPr>
        <w:t xml:space="preserve">TCM-RJ · Voto 136/2026 · Proc. 040/100611/2026 · Enunciado 143 (2026-03-11): </w:t>
      </w:r>
      <w:r>
        <w:t xml:space="preserve">A vedação da participação de consórcios em licitação deve ser justificada pela Administração </w:t>
      </w:r>
      <w:hyperlink r:id="rId21">
        <w:r>
          <w:rPr>
            <w:color w:val="0F6B7E"/>
            <w:u w:val="single"/>
          </w:rPr>
          <w:t>abrir na fonte oficial</w:t>
        </w:r>
      </w:hyperlink>
    </w:p>
    <w:p>
      <w:pPr>
        <w:pStyle w:val="Heading1"/>
      </w:pPr>
      <w:r>
        <w:t>3. Recomendações de melhoria</w:t>
      </w:r>
    </w:p>
    <w:p>
      <w:pPr>
        <w:spacing w:after="120"/>
      </w:pPr>
      <w:r>
        <w:rPr>
          <w:b w:val="0"/>
          <w:i/>
          <w:color w:val="6A7B82"/>
        </w:rPr>
        <w:t>Pontos sem irregularidade, mas que podem ser aperfeiçoados:</w:t>
      </w:r>
    </w:p>
    <w:p>
      <w:pPr>
        <w:pStyle w:val="ListBullet"/>
      </w:pPr>
      <w:r>
        <w:rPr>
          <w:b/>
        </w:rPr>
        <w:t xml:space="preserve">Índice de reajuste com data-base no orçamento: </w:t>
      </w:r>
      <w:r>
        <w:t>A minuta do contrato fixa corretamente o IPCA-E com data-base na data do orçamento estimado (cláusula 7ª), mas o TR (item 1.4) menciona só o índice. Indique também no TR e no edital a data-base e o mês/ano do orçamento, para evitar leitura divergente. (art. 25, § 7º, da Lei 14.133/2021; art. 92, § 3º, da Lei 14.133/2021)</w:t>
      </w:r>
    </w:p>
    <w:p>
      <w:pPr>
        <w:pStyle w:val="ListBullet"/>
      </w:pPr>
      <w:r>
        <w:rPr>
          <w:b/>
        </w:rPr>
        <w:t xml:space="preserve">Qualificação técnica proporcional: </w:t>
      </w:r>
      <w:r>
        <w:t>O atestado exige apenas 'serviços compatíveis com o objeto'. Defina critérios objetivos de compatibilidade (por exemplo, execução de ornamentação temática de evento público com estrutura metálica e iluminação), para evitar julgamento subjetivo na habilitação. (art. 67, § 1º, da Lei 14.133/2021; art. 67, § 2º, da Lei 14.133/2021)</w:t>
      </w:r>
    </w:p>
    <w:p>
      <w:pPr>
        <w:pStyle w:val="ListBullet"/>
      </w:pPr>
      <w:r>
        <w:rPr>
          <w:b/>
        </w:rPr>
        <w:t xml:space="preserve">Garantia de proposta e garantia contratual: </w:t>
      </w:r>
      <w:r>
        <w:t>A garantia de proposta (0,15% do valor estimado) está abaixo do limite de 1%. Avalie se ela é necessária num registro de preços de serviços eventuais — encarece a participação de pequenas empresas — e, se mantida, não a calcule como percentual do orçamento sigiloso. (art. 58, § 1º, da Lei 14.133/2021; art. 98, da Lei 14.133/2021)</w:t>
      </w:r>
    </w:p>
    <w:p>
      <w:pPr>
        <w:pStyle w:val="Heading1"/>
      </w:pPr>
      <w:r>
        <w:t>4. Lista de verificação</w:t>
      </w:r>
    </w:p>
    <w:p>
      <w:pPr>
        <w:spacing w:after="120"/>
      </w:pPr>
      <w:r>
        <w:rPr>
          <w:b w:val="0"/>
          <w:i/>
          <w:color w:val="6A7B82"/>
        </w:rPr>
        <w:t>Todos os itens do roteiro aplicados a este processo.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118"/>
            <w:shd w:val="clear" w:color="auto" w:fill="EAF2F1"/>
          </w:tcPr>
          <w:p>
            <w:r>
              <w:rPr>
                <w:b/>
                <w:sz w:val="17"/>
              </w:rPr>
              <w:t>Item</w:t>
            </w:r>
          </w:p>
        </w:tc>
        <w:tc>
          <w:tcPr>
            <w:tcW w:type="dxa" w:w="1814"/>
            <w:shd w:val="clear" w:color="auto" w:fill="EAF2F1"/>
          </w:tcPr>
          <w:p>
            <w:r>
              <w:rPr>
                <w:b/>
                <w:sz w:val="17"/>
              </w:rPr>
              <w:t>Documento</w:t>
            </w:r>
          </w:p>
        </w:tc>
        <w:tc>
          <w:tcPr>
            <w:tcW w:type="dxa" w:w="1814"/>
            <w:shd w:val="clear" w:color="auto" w:fill="EAF2F1"/>
          </w:tcPr>
          <w:p>
            <w:r>
              <w:rPr>
                <w:b/>
                <w:sz w:val="17"/>
              </w:rPr>
              <w:t>Resultado</w:t>
            </w:r>
          </w:p>
        </w:tc>
        <w:tc>
          <w:tcPr>
            <w:tcW w:type="dxa" w:w="2835"/>
            <w:shd w:val="clear" w:color="auto" w:fill="EAF2F1"/>
          </w:tcPr>
          <w:p>
            <w:r>
              <w:rPr>
                <w:b/>
                <w:sz w:val="17"/>
              </w:rPr>
              <w:t>Fundamento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Registro de preços: julgamento por lote (grupo de itens)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  <w:shd w:val="clear" w:color="auto" w:fill="FCEEF1"/>
          </w:tcPr>
          <w:p>
            <w:r>
              <w:rPr>
                <w:sz w:val="17"/>
              </w:rPr>
              <w:t>Não 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82, § 1º, da Lei 14.133/2021; art. 82, § 2º,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Orçamento sigiloso motivado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  <w:shd w:val="clear" w:color="auto" w:fill="FDF1E3"/>
          </w:tcPr>
          <w:p>
            <w:r>
              <w:rPr>
                <w:sz w:val="17"/>
              </w:rPr>
              <w:t>Não 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24, da Lei 14.133/2021; art. 18, inciso XI,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Registro de preços: quem pode aderir à ata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  <w:shd w:val="clear" w:color="auto" w:fill="FDF1E3"/>
          </w:tcPr>
          <w:p>
            <w:r>
              <w:rPr>
                <w:sz w:val="17"/>
              </w:rPr>
              <w:t>Não 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86, § 3º, da Lei 14.133/2021; art. 86, § 3º, inciso II, da Lei 14.133/2021; art. 86, § 8º, da Lei 14.133/2021; art. 86, § 4º, da Lei 14.133/2021; art. 86, § 5º,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Registro de preços: regras obrigatórias do edital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  <w:shd w:val="clear" w:color="auto" w:fill="FDF1E3"/>
          </w:tcPr>
          <w:p>
            <w:r>
              <w:rPr>
                <w:sz w:val="17"/>
              </w:rPr>
              <w:t>Parcialmente 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82, inciso II, da Lei 14.133/2021; art. 82, inciso IV, da Lei 14.133/2021; art. 82, inciso VI, da Lei 14.133/2021; art. 82, inciso VII, da Lei 14.133/2021; art. 82, inciso VIII, da Lei 14.133/2021; art. 82, inciso IX,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Registro de preços: quantidades e vigência da ata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  <w:shd w:val="clear" w:color="auto" w:fill="FDF1E3"/>
          </w:tcPr>
          <w:p>
            <w:r>
              <w:rPr>
                <w:sz w:val="17"/>
              </w:rPr>
              <w:t>Parcialmente 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82, inciso I, da Lei 14.133/2021; art. 84, da Lei 14.133/2021; art. 18, § 1º, inciso IV,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Prazo mínimo para apresentação de propostas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  <w:shd w:val="clear" w:color="auto" w:fill="FCEEF1"/>
          </w:tcPr>
          <w:p>
            <w:r>
              <w:rPr>
                <w:sz w:val="17"/>
              </w:rPr>
              <w:t>Parcialmente 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55, da Lei 14.133/2021; art. 183, da Lei 14.133/2021; art. 183, § 1º, inciso I,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Coerência interna do edital e dos anexos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  <w:shd w:val="clear" w:color="auto" w:fill="FDF1E3"/>
          </w:tcPr>
          <w:p>
            <w:r>
              <w:rPr>
                <w:sz w:val="17"/>
              </w:rPr>
              <w:t>Não 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25, da Lei 14.133/2021; art. 18, inciso IX,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Participação em consórcio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  <w:shd w:val="clear" w:color="auto" w:fill="FDF1E3"/>
          </w:tcPr>
          <w:p>
            <w:r>
              <w:rPr>
                <w:sz w:val="17"/>
              </w:rPr>
              <w:t>Parcialmente 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15,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Índice de reajuste com data-base no orçamento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25, § 7º, da Lei 14.133/2021; art. 92, § 3º,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Qualificação técnica proporcional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67, § 1º, da Lei 14.133/2021; art. 67, § 2º,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Garantia de proposta e garantia contratual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58, § 1º, da Lei 14.133/2021; art. 98,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Conteúdo mínimo do edital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25,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Critério de reajuste em serviços contínuos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25, § 8º, inciso I, da Lei 14.133/2021; art. 25, § 8º, inciso II, da Lei 14.133/2021; art. 92, § 4º, inciso II, da Lei 14.133/2021; art. 135,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Divulgação de todos os anexos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25, § 3º, da Lei 14.133/2021; art. 54,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Qualificação econômico-financeira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69, da Lei 14.133/2021; art. 69, § 2º, da Lei 14.133/2021; art. 69, § 4º, da Lei 14.133/2021; art. 69, § 5º,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Tratamento diferenciado a ME e EPP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4, da Lei 14.133/2021; art. 4, § 1º,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Impugnação e esclarecimentos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164, da Lei 14.133/2021; art. 164, Parágrafo único,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Recursos administrativos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165, inciso I, da Lei 14.133/2021; art. 165, § 1º,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Sanções e multas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156, da Lei 14.133/2021; art. 156, § 3º,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Minuta de contrato como anexo e cláusulas necessárias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Conforme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18, inciso VI, da Lei 14.133/2021; art. 92,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Vigência e prorrogação de serviços contínuos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Não se aplica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106, da Lei 14.133/2021; art. 107,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Matriz obrigatória em grande vulto e contratação integrada/semi-integrada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Mapa / Matriz de Riscos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Não se aplica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22, § 3º,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Vistoria prévia substituível por declaração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Termo de Referência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Não se aplica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63, § 2º, da Lei 14.133/2021; art. 63, § 3º, da Lei 14.133/2021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Parecer jurídico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Edital e minutas (ata e contrato)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Não verificável (documento ausente ou ilegível)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art. 53, da Lei 14.133/2021</w:t>
            </w:r>
          </w:p>
        </w:tc>
      </w:tr>
    </w:tbl>
    <w:p>
      <w:pPr>
        <w:pStyle w:val="Heading1"/>
      </w:pPr>
      <w:r>
        <w:t>5. Metodologia e limites</w:t>
      </w:r>
    </w:p>
    <w:p>
      <w:pPr>
        <w:pStyle w:val="ListBullet"/>
      </w:pPr>
      <w:r>
        <w:t>Cada item do roteiro foi verificado nos documentos enviados; o trecho citado indica onde a constatação foi feita.</w:t>
      </w:r>
    </w:p>
    <w:p>
      <w:pPr>
        <w:pStyle w:val="ListBullet"/>
      </w:pPr>
      <w:r>
        <w:t>Os dispositivos legais citados reproduzem o texto oficial vigente na base do Licitacon na data da análise.</w:t>
      </w:r>
    </w:p>
    <w:p>
      <w:pPr>
        <w:pStyle w:val="ListBullet"/>
      </w:pPr>
      <w:r>
        <w:t>A jurisprudência indicada vem exclusivamente da Biblioteca Licitacon, com link para a fonte oficial; a ausência de decisão listada não significa ausência de jurisprudência sobre o tema.</w:t>
      </w:r>
    </w:p>
    <w:p>
      <w:pPr>
        <w:pStyle w:val="ListBullet"/>
      </w:pPr>
      <w:r>
        <w:t>Cálculos de planilha são conferidos por programa, a partir do arquivo em Excel; planilhas em PDF não permitem conferir fórmulas.</w:t>
      </w:r>
    </w:p>
    <w:p>
      <w:pPr>
        <w:pStyle w:val="ListBullet"/>
      </w:pPr>
      <w:r>
        <w:t>Normas estaduais e municipais, regulamentos internos e orientações locais só são considerados quando enviados com os documentos.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esquisa.apps.tcu.gov.br/documento/jurisprudencia-selecionada/*/KEY%253AJURISPRUDENCIA-SELECIONADA-58300/score%2520desc/0" TargetMode="External"/><Relationship Id="rId10" Type="http://schemas.openxmlformats.org/officeDocument/2006/relationships/hyperlink" Target="https://pesquisa.apps.tcu.gov.br/documento/jurisprudencia-selecionada/*/KEY%253AJURISPRUDENCIA-SELECIONADA-58558/score%2520desc/0" TargetMode="External"/><Relationship Id="rId11" Type="http://schemas.openxmlformats.org/officeDocument/2006/relationships/hyperlink" Target="https://pesquisa.apps.tcu.gov.br/documento/acordao-completo/*/KEY%253AACORDAO-COMPLETO-2783491/score%2520desc/0" TargetMode="External"/><Relationship Id="rId12" Type="http://schemas.openxmlformats.org/officeDocument/2006/relationships/hyperlink" Target="https://pesquisa.apps.tcu.gov.br/documento/jurisprudencia-selecionada/*/KEY%253AJURISPRUDENCIA-SELECIONADA-205376/score%2520desc/0" TargetMode="External"/><Relationship Id="rId13" Type="http://schemas.openxmlformats.org/officeDocument/2006/relationships/hyperlink" Target="https://pesquisa.apps.tcu.gov.br/documento/jurisprudencia-selecionada/*/KEY%253AJURISPRUDENCIA-SELECIONADA-175486/score%2520desc/0" TargetMode="External"/><Relationship Id="rId14" Type="http://schemas.openxmlformats.org/officeDocument/2006/relationships/hyperlink" Target="https://pesquisa.apps.tcu.gov.br/documento/jurisprudencia-selecionada/*/KEY%253AJURISPRUDENCIA-SELECIONADA-137717/score%2520desc/0" TargetMode="External"/><Relationship Id="rId15" Type="http://schemas.openxmlformats.org/officeDocument/2006/relationships/hyperlink" Target="https://www.tcerj.tc.br/cadastro-publicacoes/public/jurisprudencia-selecionada" TargetMode="External"/><Relationship Id="rId16" Type="http://schemas.openxmlformats.org/officeDocument/2006/relationships/hyperlink" Target="https://pesquisa.apps.tcu.gov.br/documento/jurisprudencia-selecionada/*/KEY%253AJURISPRUDENCIA-SELECIONADA-208056/score%2520desc/0" TargetMode="External"/><Relationship Id="rId17" Type="http://schemas.openxmlformats.org/officeDocument/2006/relationships/hyperlink" Target="https://pesquisa.apps.tcu.gov.br/documento/jurisprudencia-selecionada/*/KEY%253AJURISPRUDENCIA-SELECIONADA-186887/score%2520desc/0" TargetMode="External"/><Relationship Id="rId18" Type="http://schemas.openxmlformats.org/officeDocument/2006/relationships/hyperlink" Target="https://pesquisa.apps.tcu.gov.br/documento/acordao-completo/*/KEY%253AACORDAO-COMPLETO-2782230/score%2520desc/0" TargetMode="External"/><Relationship Id="rId19" Type="http://schemas.openxmlformats.org/officeDocument/2006/relationships/hyperlink" Target="https://pesquisa.apps.tcu.gov.br/documento/jurisprudencia-selecionada/*/KEY%253AJURISPRUDENCIA-SELECIONADA-203563/score%2520desc/0" TargetMode="External"/><Relationship Id="rId20" Type="http://schemas.openxmlformats.org/officeDocument/2006/relationships/hyperlink" Target="https://pesquisa.apps.tcu.gov.br/documento/jurisprudencia-selecionada/*/KEY%253AJURISPRUDENCIA-SELECIONADA-195296/score%2520desc/0" TargetMode="External"/><Relationship Id="rId21" Type="http://schemas.openxmlformats.org/officeDocument/2006/relationships/hyperlink" Target="https://etcm.tcmrio.tc.br/Processo/Ficha?ctid=24278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